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35CEB">
      <w:pPr>
        <w:pStyle w:val="23"/>
        <w:jc w:val="center"/>
        <w:outlineLvl w:val="0"/>
        <w:rPr>
          <w:rFonts w:hint="default" w:ascii="Times New Roman" w:hAnsi="Times New Roman" w:eastAsia="黑体" w:cs="Times New Roman"/>
          <w:snapToGrid w:val="0"/>
          <w:color w:val="auto"/>
          <w:sz w:val="30"/>
          <w:szCs w:val="30"/>
          <w:highlight w:val="none"/>
        </w:rPr>
        <w:sectPr>
          <w:footerReference r:id="rId3" w:type="default"/>
          <w:pgSz w:w="11906" w:h="16838"/>
          <w:pgMar w:top="1417" w:right="1134" w:bottom="1417" w:left="1134" w:header="851" w:footer="851" w:gutter="0"/>
          <w:pgNumType w:start="1"/>
          <w:cols w:space="720" w:num="1"/>
          <w:docGrid w:linePitch="312" w:charSpace="0"/>
        </w:sectPr>
      </w:pPr>
      <w:r>
        <w:rPr>
          <w:rFonts w:hint="default" w:ascii="Times New Roman" w:hAnsi="Times New Roman" w:eastAsia="黑体" w:cs="Times New Roman"/>
          <w:snapToGrid w:val="0"/>
          <w:color w:val="auto"/>
          <w:sz w:val="30"/>
          <w:szCs w:val="30"/>
          <w:highlight w:val="none"/>
        </w:rPr>
        <w:drawing>
          <wp:inline distT="0" distB="0" distL="114300" distR="114300">
            <wp:extent cx="6115050" cy="8645525"/>
            <wp:effectExtent l="0" t="0" r="0" b="3175"/>
            <wp:docPr id="238" name="图片 238" descr="2026072311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descr="20260723115402"/>
                    <pic:cNvPicPr>
                      <a:picLocks noChangeAspect="1"/>
                    </pic:cNvPicPr>
                  </pic:nvPicPr>
                  <pic:blipFill>
                    <a:blip r:embed="rId14"/>
                    <a:stretch>
                      <a:fillRect/>
                    </a:stretch>
                  </pic:blipFill>
                  <pic:spPr>
                    <a:xfrm>
                      <a:off x="0" y="0"/>
                      <a:ext cx="6115050" cy="8645525"/>
                    </a:xfrm>
                    <a:prstGeom prst="rect">
                      <a:avLst/>
                    </a:prstGeom>
                  </pic:spPr>
                </pic:pic>
              </a:graphicData>
            </a:graphic>
          </wp:inline>
        </w:drawing>
      </w:r>
    </w:p>
    <w:p w14:paraId="48BFC212">
      <w:pPr>
        <w:pStyle w:val="23"/>
        <w:jc w:val="center"/>
        <w:outlineLvl w:val="0"/>
        <w:rPr>
          <w:rFonts w:hint="default" w:ascii="Times New Roman" w:hAnsi="Times New Roman" w:eastAsia="黑体" w:cs="Times New Roman"/>
          <w:snapToGrid w:val="0"/>
          <w:color w:val="auto"/>
          <w:sz w:val="30"/>
          <w:szCs w:val="30"/>
          <w:highlight w:val="none"/>
        </w:rPr>
        <w:sectPr>
          <w:footerReference r:id="rId4" w:type="default"/>
          <w:pgSz w:w="11906" w:h="16838"/>
          <w:pgMar w:top="1417" w:right="1134" w:bottom="1417" w:left="1134" w:header="851" w:footer="851" w:gutter="0"/>
          <w:pgNumType w:start="1"/>
          <w:cols w:space="720" w:num="1"/>
          <w:docGrid w:linePitch="312" w:charSpace="0"/>
        </w:sectPr>
      </w:pPr>
      <w:r>
        <w:rPr>
          <w:rFonts w:hint="default" w:ascii="Times New Roman" w:hAnsi="Times New Roman" w:eastAsia="黑体" w:cs="Times New Roman"/>
          <w:snapToGrid w:val="0"/>
          <w:color w:val="auto"/>
          <w:sz w:val="30"/>
          <w:szCs w:val="30"/>
          <w:highlight w:val="none"/>
        </w:rPr>
        <w:drawing>
          <wp:inline distT="0" distB="0" distL="114300" distR="114300">
            <wp:extent cx="6115050" cy="8645525"/>
            <wp:effectExtent l="0" t="0" r="0" b="3175"/>
            <wp:docPr id="67" name="图片 67" descr="2026072311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20260723115432"/>
                    <pic:cNvPicPr>
                      <a:picLocks noChangeAspect="1"/>
                    </pic:cNvPicPr>
                  </pic:nvPicPr>
                  <pic:blipFill>
                    <a:blip r:embed="rId15"/>
                    <a:stretch>
                      <a:fillRect/>
                    </a:stretch>
                  </pic:blipFill>
                  <pic:spPr>
                    <a:xfrm>
                      <a:off x="0" y="0"/>
                      <a:ext cx="6115050" cy="8645525"/>
                    </a:xfrm>
                    <a:prstGeom prst="rect">
                      <a:avLst/>
                    </a:prstGeom>
                  </pic:spPr>
                </pic:pic>
              </a:graphicData>
            </a:graphic>
          </wp:inline>
        </w:drawing>
      </w:r>
    </w:p>
    <w:p w14:paraId="46474604">
      <w:pPr>
        <w:pStyle w:val="23"/>
        <w:jc w:val="center"/>
        <w:outlineLvl w:val="0"/>
        <w:rPr>
          <w:rFonts w:hint="default" w:ascii="Times New Roman" w:hAnsi="Times New Roman" w:eastAsia="黑体" w:cs="Times New Roman"/>
          <w:snapToGrid w:val="0"/>
          <w:color w:val="auto"/>
          <w:sz w:val="30"/>
          <w:szCs w:val="30"/>
          <w:highlight w:val="none"/>
        </w:rPr>
        <w:sectPr>
          <w:footerReference r:id="rId5" w:type="default"/>
          <w:pgSz w:w="11906" w:h="16838"/>
          <w:pgMar w:top="1417" w:right="1134" w:bottom="1417" w:left="1134" w:header="851" w:footer="851" w:gutter="0"/>
          <w:pgNumType w:start="1"/>
          <w:cols w:space="720" w:num="1"/>
          <w:docGrid w:linePitch="312" w:charSpace="0"/>
        </w:sectPr>
      </w:pPr>
      <w:r>
        <w:rPr>
          <w:rFonts w:hint="default" w:ascii="Times New Roman" w:hAnsi="Times New Roman" w:eastAsia="黑体" w:cs="Times New Roman"/>
          <w:snapToGrid w:val="0"/>
          <w:color w:val="auto"/>
          <w:sz w:val="30"/>
          <w:szCs w:val="30"/>
          <w:highlight w:val="none"/>
        </w:rPr>
        <w:drawing>
          <wp:inline distT="0" distB="0" distL="114300" distR="114300">
            <wp:extent cx="6115050" cy="8645525"/>
            <wp:effectExtent l="0" t="0" r="0" b="3175"/>
            <wp:docPr id="246" name="图片 246" descr="20260722122438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descr="20260722122438_页面_2"/>
                    <pic:cNvPicPr>
                      <a:picLocks noChangeAspect="1"/>
                    </pic:cNvPicPr>
                  </pic:nvPicPr>
                  <pic:blipFill>
                    <a:blip r:embed="rId16"/>
                    <a:stretch>
                      <a:fillRect/>
                    </a:stretch>
                  </pic:blipFill>
                  <pic:spPr>
                    <a:xfrm>
                      <a:off x="0" y="0"/>
                      <a:ext cx="6115050" cy="8645525"/>
                    </a:xfrm>
                    <a:prstGeom prst="rect">
                      <a:avLst/>
                    </a:prstGeom>
                  </pic:spPr>
                </pic:pic>
              </a:graphicData>
            </a:graphic>
          </wp:inline>
        </w:drawing>
      </w:r>
      <w:bookmarkStart w:id="5" w:name="_GoBack"/>
      <w:bookmarkEnd w:id="5"/>
    </w:p>
    <w:p w14:paraId="729A36FE">
      <w:pPr>
        <w:pStyle w:val="23"/>
        <w:jc w:val="center"/>
        <w:outlineLvl w:val="0"/>
        <w:rPr>
          <w:rFonts w:hint="default" w:ascii="Times New Roman" w:hAnsi="Times New Roman" w:eastAsia="黑体" w:cs="Times New Roman"/>
          <w:snapToGrid w:val="0"/>
          <w:color w:val="auto"/>
          <w:sz w:val="30"/>
          <w:szCs w:val="30"/>
          <w:highlight w:val="none"/>
        </w:rPr>
        <w:sectPr>
          <w:footerReference r:id="rId6" w:type="default"/>
          <w:pgSz w:w="11906" w:h="16838"/>
          <w:pgMar w:top="1417" w:right="1134" w:bottom="1417" w:left="1134" w:header="851" w:footer="851" w:gutter="0"/>
          <w:pgNumType w:start="1"/>
          <w:cols w:space="720" w:num="1"/>
          <w:docGrid w:linePitch="312" w:charSpace="0"/>
        </w:sectPr>
      </w:pPr>
      <w:r>
        <w:rPr>
          <w:rFonts w:hint="default" w:ascii="Times New Roman" w:hAnsi="Times New Roman" w:eastAsia="黑体" w:cs="Times New Roman"/>
          <w:snapToGrid w:val="0"/>
          <w:color w:val="auto"/>
          <w:sz w:val="30"/>
          <w:szCs w:val="30"/>
          <w:highlight w:val="none"/>
        </w:rPr>
        <w:drawing>
          <wp:inline distT="0" distB="0" distL="114300" distR="114300">
            <wp:extent cx="6115050" cy="8645525"/>
            <wp:effectExtent l="0" t="0" r="0" b="3175"/>
            <wp:docPr id="244" name="图片 244" descr="20260722122438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descr="20260722122438_页面_3"/>
                    <pic:cNvPicPr>
                      <a:picLocks noChangeAspect="1"/>
                    </pic:cNvPicPr>
                  </pic:nvPicPr>
                  <pic:blipFill>
                    <a:blip r:embed="rId17"/>
                    <a:stretch>
                      <a:fillRect/>
                    </a:stretch>
                  </pic:blipFill>
                  <pic:spPr>
                    <a:xfrm>
                      <a:off x="0" y="0"/>
                      <a:ext cx="6115050" cy="8645525"/>
                    </a:xfrm>
                    <a:prstGeom prst="rect">
                      <a:avLst/>
                    </a:prstGeom>
                  </pic:spPr>
                </pic:pic>
              </a:graphicData>
            </a:graphic>
          </wp:inline>
        </w:drawing>
      </w:r>
    </w:p>
    <w:p w14:paraId="66267E46">
      <w:pPr>
        <w:pStyle w:val="23"/>
        <w:jc w:val="center"/>
        <w:outlineLvl w:val="0"/>
        <w:rPr>
          <w:rFonts w:hint="default" w:ascii="Times New Roman" w:hAnsi="Times New Roman" w:eastAsia="黑体" w:cs="Times New Roman"/>
          <w:snapToGrid w:val="0"/>
          <w:color w:val="auto"/>
          <w:sz w:val="30"/>
          <w:szCs w:val="30"/>
          <w:highlight w:val="none"/>
        </w:rPr>
        <w:sectPr>
          <w:footerReference r:id="rId7" w:type="default"/>
          <w:pgSz w:w="11906" w:h="16838"/>
          <w:pgMar w:top="1417" w:right="1134" w:bottom="1417" w:left="1134" w:header="851" w:footer="851" w:gutter="0"/>
          <w:pgNumType w:start="1"/>
          <w:cols w:space="720" w:num="1"/>
          <w:docGrid w:linePitch="312" w:charSpace="0"/>
        </w:sectPr>
      </w:pPr>
      <w:r>
        <w:rPr>
          <w:rFonts w:hint="default" w:ascii="Times New Roman" w:hAnsi="Times New Roman" w:eastAsia="黑体" w:cs="Times New Roman"/>
          <w:snapToGrid w:val="0"/>
          <w:color w:val="auto"/>
          <w:sz w:val="30"/>
          <w:szCs w:val="30"/>
          <w:highlight w:val="none"/>
        </w:rPr>
        <w:drawing>
          <wp:inline distT="0" distB="0" distL="114300" distR="114300">
            <wp:extent cx="6115050" cy="8645525"/>
            <wp:effectExtent l="0" t="0" r="0" b="3175"/>
            <wp:docPr id="243" name="图片 243" descr="20260722122438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descr="20260722122438_页面_4"/>
                    <pic:cNvPicPr>
                      <a:picLocks noChangeAspect="1"/>
                    </pic:cNvPicPr>
                  </pic:nvPicPr>
                  <pic:blipFill>
                    <a:blip r:embed="rId18"/>
                    <a:stretch>
                      <a:fillRect/>
                    </a:stretch>
                  </pic:blipFill>
                  <pic:spPr>
                    <a:xfrm>
                      <a:off x="0" y="0"/>
                      <a:ext cx="6115050" cy="8645525"/>
                    </a:xfrm>
                    <a:prstGeom prst="rect">
                      <a:avLst/>
                    </a:prstGeom>
                  </pic:spPr>
                </pic:pic>
              </a:graphicData>
            </a:graphic>
          </wp:inline>
        </w:drawing>
      </w:r>
    </w:p>
    <w:p w14:paraId="2C9828FD">
      <w:pPr>
        <w:pStyle w:val="23"/>
        <w:jc w:val="center"/>
        <w:outlineLvl w:val="0"/>
        <w:rPr>
          <w:rFonts w:hint="default" w:ascii="Times New Roman" w:hAnsi="Times New Roman" w:eastAsia="黑体" w:cs="Times New Roman"/>
          <w:snapToGrid w:val="0"/>
          <w:color w:val="auto"/>
          <w:sz w:val="30"/>
          <w:szCs w:val="30"/>
          <w:highlight w:val="none"/>
        </w:rPr>
        <w:sectPr>
          <w:footerReference r:id="rId8" w:type="default"/>
          <w:pgSz w:w="11906" w:h="16838"/>
          <w:pgMar w:top="1417" w:right="1134" w:bottom="1417" w:left="1134" w:header="851" w:footer="851" w:gutter="0"/>
          <w:pgNumType w:start="1"/>
          <w:cols w:space="720" w:num="1"/>
          <w:docGrid w:linePitch="312" w:charSpace="0"/>
        </w:sectPr>
      </w:pPr>
      <w:r>
        <w:rPr>
          <w:sz w:val="30"/>
        </w:rPr>
        <mc:AlternateContent>
          <mc:Choice Requires="wps">
            <w:drawing>
              <wp:anchor distT="0" distB="0" distL="114300" distR="114300" simplePos="0" relativeHeight="251752448" behindDoc="0" locked="0" layoutInCell="1" allowOverlap="1">
                <wp:simplePos x="0" y="0"/>
                <wp:positionH relativeFrom="column">
                  <wp:posOffset>4406900</wp:posOffset>
                </wp:positionH>
                <wp:positionV relativeFrom="paragraph">
                  <wp:posOffset>1967865</wp:posOffset>
                </wp:positionV>
                <wp:extent cx="1212215" cy="190500"/>
                <wp:effectExtent l="12700" t="12700" r="13335" b="25400"/>
                <wp:wrapNone/>
                <wp:docPr id="248" name="矩形 248"/>
                <wp:cNvGraphicFramePr/>
                <a:graphic xmlns:a="http://schemas.openxmlformats.org/drawingml/2006/main">
                  <a:graphicData uri="http://schemas.microsoft.com/office/word/2010/wordprocessingShape">
                    <wps:wsp>
                      <wps:cNvSpPr/>
                      <wps:spPr>
                        <a:xfrm>
                          <a:off x="5126990" y="2867660"/>
                          <a:ext cx="1212215" cy="190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7pt;margin-top:154.95pt;height:15pt;width:95.45pt;z-index:251752448;v-text-anchor:middle;mso-width-relative:page;mso-height-relative:page;" fillcolor="#4F81BD [3204]" filled="t" stroked="t" coordsize="21600,21600" o:gfxdata="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wxAb8toAAAALAQAADwAA&#10;AAAAAAABACAAAAAiAAAAZHJzL2Rvd25yZXYueG1sUEsBAhQAFAAAAAgAh07iQC43eyuGAgAADwUA&#10;AA4AAAAAAAAAAQAgAAAAKQEAAGRycy9lMm9Eb2MueG1sUEsFBgAAAAAGAAYAWQEAACEGAAAAAA==&#10;">
                <v:fill on="t" focussize="0,0"/>
                <v:stroke weight="2pt" color="#376092 [2404]" joinstyle="round"/>
                <v:imagedata o:title=""/>
                <o:lock v:ext="edit" aspectratio="f"/>
              </v:rect>
            </w:pict>
          </mc:Fallback>
        </mc:AlternateContent>
      </w:r>
      <w:r>
        <w:rPr>
          <w:rFonts w:hint="default" w:ascii="Times New Roman" w:hAnsi="Times New Roman" w:eastAsia="黑体" w:cs="Times New Roman"/>
          <w:snapToGrid w:val="0"/>
          <w:color w:val="auto"/>
          <w:sz w:val="30"/>
          <w:szCs w:val="30"/>
          <w:highlight w:val="none"/>
        </w:rPr>
        <w:drawing>
          <wp:inline distT="0" distB="0" distL="114300" distR="114300">
            <wp:extent cx="6115050" cy="8645525"/>
            <wp:effectExtent l="0" t="0" r="0" b="3175"/>
            <wp:docPr id="239" name="图片 239" descr="20260722122438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20260722122438_页面_5"/>
                    <pic:cNvPicPr>
                      <a:picLocks noChangeAspect="1"/>
                    </pic:cNvPicPr>
                  </pic:nvPicPr>
                  <pic:blipFill>
                    <a:blip r:embed="rId19"/>
                    <a:stretch>
                      <a:fillRect/>
                    </a:stretch>
                  </pic:blipFill>
                  <pic:spPr>
                    <a:xfrm>
                      <a:off x="0" y="0"/>
                      <a:ext cx="6115050" cy="8645525"/>
                    </a:xfrm>
                    <a:prstGeom prst="rect">
                      <a:avLst/>
                    </a:prstGeom>
                  </pic:spPr>
                </pic:pic>
              </a:graphicData>
            </a:graphic>
          </wp:inline>
        </w:drawing>
      </w:r>
    </w:p>
    <w:p w14:paraId="5EA9FCCC">
      <w:pPr>
        <w:pStyle w:val="23"/>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一、建设项目基本情况</w:t>
      </w:r>
    </w:p>
    <w:tbl>
      <w:tblPr>
        <w:tblStyle w:val="26"/>
        <w:tblW w:w="95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50"/>
        <w:gridCol w:w="2169"/>
        <w:gridCol w:w="2212"/>
        <w:gridCol w:w="3318"/>
      </w:tblGrid>
      <w:tr w14:paraId="279388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0" w:type="dxa"/>
            <w:tcMar>
              <w:top w:w="16" w:type="dxa"/>
              <w:left w:w="16" w:type="dxa"/>
              <w:right w:w="16" w:type="dxa"/>
            </w:tcMar>
            <w:vAlign w:val="center"/>
          </w:tcPr>
          <w:p w14:paraId="3A5406C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建设项目名称</w:t>
            </w:r>
          </w:p>
        </w:tc>
        <w:tc>
          <w:tcPr>
            <w:tcW w:w="7699" w:type="dxa"/>
            <w:gridSpan w:val="3"/>
            <w:vAlign w:val="center"/>
          </w:tcPr>
          <w:p w14:paraId="44951D5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韶关博尔兹阀门工业有限公司新增金属表面处理项目 </w:t>
            </w:r>
          </w:p>
        </w:tc>
      </w:tr>
      <w:tr w14:paraId="4070B4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0" w:type="dxa"/>
            <w:tcMar>
              <w:top w:w="16" w:type="dxa"/>
              <w:left w:w="16" w:type="dxa"/>
              <w:right w:w="16" w:type="dxa"/>
            </w:tcMar>
            <w:vAlign w:val="center"/>
          </w:tcPr>
          <w:p w14:paraId="61D5F37E">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项目代码</w:t>
            </w:r>
          </w:p>
        </w:tc>
        <w:tc>
          <w:tcPr>
            <w:tcW w:w="7699" w:type="dxa"/>
            <w:gridSpan w:val="3"/>
            <w:vAlign w:val="center"/>
          </w:tcPr>
          <w:p w14:paraId="67EB1425">
            <w:pPr>
              <w:pStyle w:val="11"/>
              <w:jc w:val="center"/>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2512-440281-04-02-220456</w:t>
            </w:r>
          </w:p>
        </w:tc>
      </w:tr>
      <w:tr w14:paraId="3C715D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0" w:type="dxa"/>
            <w:tcMar>
              <w:top w:w="16" w:type="dxa"/>
              <w:left w:w="16" w:type="dxa"/>
              <w:right w:w="16" w:type="dxa"/>
            </w:tcMar>
            <w:vAlign w:val="center"/>
          </w:tcPr>
          <w:p w14:paraId="3EC74D8F">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建设单位联系人</w:t>
            </w:r>
          </w:p>
        </w:tc>
        <w:tc>
          <w:tcPr>
            <w:tcW w:w="2169" w:type="dxa"/>
            <w:vAlign w:val="center"/>
          </w:tcPr>
          <w:p w14:paraId="7EF7401C">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李</w:t>
            </w:r>
            <w:r>
              <w:rPr>
                <w:rFonts w:hint="eastAsia" w:cs="Times New Roman"/>
                <w:color w:val="auto"/>
                <w:sz w:val="24"/>
                <w:highlight w:val="none"/>
                <w:lang w:val="en-US" w:eastAsia="zh-CN"/>
              </w:rPr>
              <w:t>**</w:t>
            </w:r>
          </w:p>
        </w:tc>
        <w:tc>
          <w:tcPr>
            <w:tcW w:w="2212" w:type="dxa"/>
            <w:vAlign w:val="center"/>
          </w:tcPr>
          <w:p w14:paraId="6E63783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联系方式</w:t>
            </w:r>
          </w:p>
        </w:tc>
        <w:tc>
          <w:tcPr>
            <w:tcW w:w="3318" w:type="dxa"/>
            <w:vAlign w:val="center"/>
          </w:tcPr>
          <w:p w14:paraId="7907D488">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138</w:t>
            </w:r>
            <w:r>
              <w:rPr>
                <w:rFonts w:hint="eastAsia" w:cs="Times New Roman"/>
                <w:color w:val="auto"/>
                <w:sz w:val="24"/>
                <w:highlight w:val="none"/>
                <w:lang w:val="en-US" w:eastAsia="zh-CN"/>
              </w:rPr>
              <w:t>********</w:t>
            </w:r>
          </w:p>
        </w:tc>
      </w:tr>
      <w:tr w14:paraId="3C074C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0" w:type="dxa"/>
            <w:tcMar>
              <w:top w:w="16" w:type="dxa"/>
              <w:left w:w="16" w:type="dxa"/>
              <w:right w:w="16" w:type="dxa"/>
            </w:tcMar>
            <w:vAlign w:val="center"/>
          </w:tcPr>
          <w:p w14:paraId="64233120">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建设地点</w:t>
            </w:r>
          </w:p>
        </w:tc>
        <w:tc>
          <w:tcPr>
            <w:tcW w:w="7699" w:type="dxa"/>
            <w:gridSpan w:val="3"/>
            <w:vAlign w:val="center"/>
          </w:tcPr>
          <w:p w14:paraId="352087D2">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韶关市乐昌市乐城街道乐昌市东莞东坑(乐昌)产业转移工业园</w:t>
            </w:r>
          </w:p>
        </w:tc>
      </w:tr>
      <w:tr w14:paraId="214F67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0" w:type="dxa"/>
            <w:tcMar>
              <w:top w:w="16" w:type="dxa"/>
              <w:left w:w="16" w:type="dxa"/>
              <w:right w:w="16" w:type="dxa"/>
            </w:tcMar>
            <w:vAlign w:val="center"/>
          </w:tcPr>
          <w:p w14:paraId="7EFD2A25">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地理坐标</w:t>
            </w:r>
          </w:p>
        </w:tc>
        <w:tc>
          <w:tcPr>
            <w:tcW w:w="7699" w:type="dxa"/>
            <w:gridSpan w:val="3"/>
            <w:vAlign w:val="center"/>
          </w:tcPr>
          <w:p w14:paraId="5146B9B6">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（东经</w:t>
            </w:r>
            <w:r>
              <w:rPr>
                <w:rFonts w:hint="default" w:ascii="Times New Roman" w:hAnsi="Times New Roman" w:cs="Times New Roman"/>
                <w:color w:val="auto"/>
                <w:sz w:val="24"/>
                <w:highlight w:val="none"/>
                <w:u w:val="single"/>
              </w:rPr>
              <w:t>113</w:t>
            </w:r>
            <w:r>
              <w:rPr>
                <w:rFonts w:hint="default" w:ascii="Times New Roman" w:hAnsi="Times New Roman" w:cs="Times New Roman"/>
                <w:color w:val="auto"/>
                <w:sz w:val="24"/>
                <w:highlight w:val="none"/>
              </w:rPr>
              <w:t>度</w:t>
            </w:r>
            <w:r>
              <w:rPr>
                <w:rFonts w:hint="default" w:ascii="Times New Roman" w:hAnsi="Times New Roman" w:cs="Times New Roman"/>
                <w:color w:val="auto"/>
                <w:sz w:val="24"/>
                <w:highlight w:val="none"/>
                <w:u w:val="single"/>
              </w:rPr>
              <w:t>23</w:t>
            </w:r>
            <w:r>
              <w:rPr>
                <w:rFonts w:hint="default" w:ascii="Times New Roman" w:hAnsi="Times New Roman" w:cs="Times New Roman"/>
                <w:color w:val="auto"/>
                <w:sz w:val="24"/>
                <w:highlight w:val="none"/>
              </w:rPr>
              <w:t>分</w:t>
            </w:r>
            <w:r>
              <w:rPr>
                <w:rFonts w:hint="default" w:ascii="Times New Roman" w:hAnsi="Times New Roman" w:cs="Times New Roman"/>
                <w:color w:val="auto"/>
                <w:sz w:val="24"/>
                <w:highlight w:val="none"/>
                <w:u w:val="single"/>
              </w:rPr>
              <w:t>57.961</w:t>
            </w:r>
            <w:r>
              <w:rPr>
                <w:rFonts w:hint="default" w:ascii="Times New Roman" w:hAnsi="Times New Roman" w:cs="Times New Roman"/>
                <w:color w:val="auto"/>
                <w:sz w:val="24"/>
                <w:highlight w:val="none"/>
              </w:rPr>
              <w:t>秒，北纬</w:t>
            </w:r>
            <w:r>
              <w:rPr>
                <w:rFonts w:hint="default" w:ascii="Times New Roman" w:hAnsi="Times New Roman" w:cs="Times New Roman"/>
                <w:color w:val="auto"/>
                <w:sz w:val="24"/>
                <w:highlight w:val="none"/>
                <w:u w:val="single"/>
              </w:rPr>
              <w:t>25</w:t>
            </w:r>
            <w:r>
              <w:rPr>
                <w:rFonts w:hint="default" w:ascii="Times New Roman" w:hAnsi="Times New Roman" w:cs="Times New Roman"/>
                <w:color w:val="auto"/>
                <w:sz w:val="24"/>
                <w:highlight w:val="none"/>
              </w:rPr>
              <w:t>度</w:t>
            </w:r>
            <w:r>
              <w:rPr>
                <w:rFonts w:hint="default" w:ascii="Times New Roman" w:hAnsi="Times New Roman" w:cs="Times New Roman"/>
                <w:color w:val="auto"/>
                <w:sz w:val="24"/>
                <w:highlight w:val="none"/>
                <w:u w:val="single"/>
              </w:rPr>
              <w:t>8</w:t>
            </w:r>
            <w:r>
              <w:rPr>
                <w:rFonts w:hint="default" w:ascii="Times New Roman" w:hAnsi="Times New Roman" w:cs="Times New Roman"/>
                <w:color w:val="auto"/>
                <w:sz w:val="24"/>
                <w:highlight w:val="none"/>
              </w:rPr>
              <w:t>分</w:t>
            </w:r>
            <w:r>
              <w:rPr>
                <w:rFonts w:hint="default" w:ascii="Times New Roman" w:hAnsi="Times New Roman" w:cs="Times New Roman"/>
                <w:color w:val="auto"/>
                <w:sz w:val="24"/>
                <w:highlight w:val="none"/>
                <w:u w:val="single"/>
              </w:rPr>
              <w:t>25.007</w:t>
            </w:r>
            <w:r>
              <w:rPr>
                <w:rFonts w:hint="default" w:ascii="Times New Roman" w:hAnsi="Times New Roman" w:cs="Times New Roman"/>
                <w:color w:val="auto"/>
                <w:sz w:val="24"/>
                <w:highlight w:val="none"/>
              </w:rPr>
              <w:t>秒）</w:t>
            </w:r>
          </w:p>
        </w:tc>
      </w:tr>
      <w:tr w14:paraId="5BA33F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850" w:type="dxa"/>
            <w:tcMar>
              <w:top w:w="16" w:type="dxa"/>
              <w:left w:w="16" w:type="dxa"/>
              <w:right w:w="16" w:type="dxa"/>
            </w:tcMar>
            <w:vAlign w:val="center"/>
          </w:tcPr>
          <w:p w14:paraId="7E32AD60">
            <w:pPr>
              <w:adjustRightInd w:val="0"/>
              <w:snapToGrid w:val="0"/>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国民经济</w:t>
            </w:r>
          </w:p>
          <w:p w14:paraId="79323BC6">
            <w:pPr>
              <w:adjustRightInd w:val="0"/>
              <w:snapToGrid w:val="0"/>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行业类别</w:t>
            </w:r>
          </w:p>
        </w:tc>
        <w:tc>
          <w:tcPr>
            <w:tcW w:w="2169" w:type="dxa"/>
            <w:vAlign w:val="center"/>
          </w:tcPr>
          <w:p w14:paraId="172C1D88">
            <w:pPr>
              <w:adjustRightInd w:val="0"/>
              <w:snapToGrid w:val="0"/>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C3360 金属表面处理及热处理加工</w:t>
            </w:r>
          </w:p>
        </w:tc>
        <w:tc>
          <w:tcPr>
            <w:tcW w:w="2212" w:type="dxa"/>
            <w:vAlign w:val="center"/>
          </w:tcPr>
          <w:p w14:paraId="1275B4F7">
            <w:pPr>
              <w:adjustRightInd w:val="0"/>
              <w:snapToGrid w:val="0"/>
              <w:jc w:val="center"/>
              <w:rPr>
                <w:rFonts w:hint="default" w:ascii="Times New Roman" w:hAnsi="Times New Roman" w:cs="Times New Roman"/>
                <w:color w:val="auto"/>
                <w:sz w:val="24"/>
                <w:highlight w:val="none"/>
              </w:rPr>
            </w:pPr>
            <w:bookmarkStart w:id="0" w:name="_Hlk49843745"/>
            <w:r>
              <w:rPr>
                <w:rFonts w:hint="default" w:ascii="Times New Roman" w:hAnsi="Times New Roman" w:cs="Times New Roman"/>
                <w:color w:val="auto"/>
                <w:sz w:val="24"/>
                <w:highlight w:val="none"/>
              </w:rPr>
              <w:t>建设项目</w:t>
            </w:r>
          </w:p>
          <w:p w14:paraId="48AC10F1">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行业类别</w:t>
            </w:r>
            <w:bookmarkEnd w:id="0"/>
          </w:p>
        </w:tc>
        <w:tc>
          <w:tcPr>
            <w:tcW w:w="3318" w:type="dxa"/>
            <w:vAlign w:val="center"/>
          </w:tcPr>
          <w:p w14:paraId="0C12C3A6">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三十、金属制品业33；67</w:t>
            </w:r>
          </w:p>
          <w:p w14:paraId="46E85F77">
            <w:pPr>
              <w:adjustRightInd w:val="0"/>
              <w:snapToGrid w:val="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、金属表面处理及热处理加工 其他（年用非溶剂型低VOCs含量涂料10吨以下的除外）</w:t>
            </w:r>
          </w:p>
        </w:tc>
      </w:tr>
      <w:tr w14:paraId="368B5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850" w:type="dxa"/>
            <w:tcMar>
              <w:top w:w="16" w:type="dxa"/>
              <w:left w:w="16" w:type="dxa"/>
              <w:right w:w="16" w:type="dxa"/>
            </w:tcMar>
            <w:vAlign w:val="center"/>
          </w:tcPr>
          <w:p w14:paraId="20D5966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建设性质</w:t>
            </w:r>
          </w:p>
        </w:tc>
        <w:tc>
          <w:tcPr>
            <w:tcW w:w="2169" w:type="dxa"/>
            <w:vAlign w:val="center"/>
          </w:tcPr>
          <w:p w14:paraId="3CF842E4">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□新建（迁建）</w:t>
            </w:r>
          </w:p>
          <w:p w14:paraId="1B2AEB43">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□改建</w:t>
            </w:r>
          </w:p>
          <w:p w14:paraId="5890394A">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□扩建</w:t>
            </w:r>
          </w:p>
          <w:p w14:paraId="2FF29E75">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☑技术改造</w:t>
            </w:r>
          </w:p>
        </w:tc>
        <w:tc>
          <w:tcPr>
            <w:tcW w:w="2212" w:type="dxa"/>
            <w:vAlign w:val="center"/>
          </w:tcPr>
          <w:p w14:paraId="09B5A86D">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w:t>
            </w:r>
          </w:p>
          <w:p w14:paraId="190B20B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申报情形</w:t>
            </w:r>
          </w:p>
        </w:tc>
        <w:tc>
          <w:tcPr>
            <w:tcW w:w="3318" w:type="dxa"/>
            <w:vAlign w:val="center"/>
          </w:tcPr>
          <w:p w14:paraId="5AF39C8B">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☑首次申报项目             </w:t>
            </w:r>
          </w:p>
          <w:p w14:paraId="4EC96EF1">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□不予批准后再次申报项目</w:t>
            </w:r>
          </w:p>
          <w:p w14:paraId="20B1E35A">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□超五年重新审核项目     </w:t>
            </w:r>
          </w:p>
          <w:p w14:paraId="636BB854">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□重大变动重新报批项目</w:t>
            </w:r>
          </w:p>
        </w:tc>
      </w:tr>
      <w:tr w14:paraId="07319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850" w:type="dxa"/>
            <w:tcMar>
              <w:top w:w="16" w:type="dxa"/>
              <w:left w:w="16" w:type="dxa"/>
              <w:right w:w="16" w:type="dxa"/>
            </w:tcMar>
            <w:vAlign w:val="center"/>
          </w:tcPr>
          <w:p w14:paraId="1A97036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w:t>
            </w:r>
          </w:p>
          <w:p w14:paraId="2E699DE5">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备案）部门（选填）</w:t>
            </w:r>
          </w:p>
        </w:tc>
        <w:tc>
          <w:tcPr>
            <w:tcW w:w="2169" w:type="dxa"/>
            <w:vAlign w:val="center"/>
          </w:tcPr>
          <w:p w14:paraId="24DB251F">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乐昌市工业和信息化局</w:t>
            </w:r>
          </w:p>
        </w:tc>
        <w:tc>
          <w:tcPr>
            <w:tcW w:w="2212" w:type="dxa"/>
            <w:vAlign w:val="center"/>
          </w:tcPr>
          <w:p w14:paraId="062BE251">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w:t>
            </w:r>
          </w:p>
          <w:p w14:paraId="5C95FEE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备案）文号（选填）</w:t>
            </w:r>
          </w:p>
        </w:tc>
        <w:tc>
          <w:tcPr>
            <w:tcW w:w="3318" w:type="dxa"/>
            <w:vAlign w:val="center"/>
          </w:tcPr>
          <w:p w14:paraId="0161276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2512-440281-04-02-220456</w:t>
            </w:r>
          </w:p>
        </w:tc>
      </w:tr>
      <w:tr w14:paraId="38C9A1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0" w:type="dxa"/>
            <w:tcMar>
              <w:top w:w="16" w:type="dxa"/>
              <w:left w:w="16" w:type="dxa"/>
              <w:right w:w="16" w:type="dxa"/>
            </w:tcMar>
            <w:vAlign w:val="center"/>
          </w:tcPr>
          <w:p w14:paraId="1472FE0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总投资（万元）</w:t>
            </w:r>
          </w:p>
        </w:tc>
        <w:tc>
          <w:tcPr>
            <w:tcW w:w="2169" w:type="dxa"/>
            <w:vAlign w:val="center"/>
          </w:tcPr>
          <w:p w14:paraId="1A8849C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50</w:t>
            </w:r>
          </w:p>
        </w:tc>
        <w:tc>
          <w:tcPr>
            <w:tcW w:w="2212" w:type="dxa"/>
            <w:tcMar>
              <w:top w:w="16" w:type="dxa"/>
              <w:left w:w="16" w:type="dxa"/>
              <w:right w:w="16" w:type="dxa"/>
            </w:tcMar>
            <w:vAlign w:val="center"/>
          </w:tcPr>
          <w:p w14:paraId="7983BA8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环保投资（万元）</w:t>
            </w:r>
          </w:p>
        </w:tc>
        <w:tc>
          <w:tcPr>
            <w:tcW w:w="3318" w:type="dxa"/>
            <w:vAlign w:val="center"/>
          </w:tcPr>
          <w:p w14:paraId="4D9719E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w:t>
            </w:r>
          </w:p>
        </w:tc>
      </w:tr>
      <w:tr w14:paraId="4DD4D3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0" w:type="dxa"/>
            <w:tcMar>
              <w:top w:w="16" w:type="dxa"/>
              <w:left w:w="16" w:type="dxa"/>
              <w:right w:w="16" w:type="dxa"/>
            </w:tcMar>
            <w:vAlign w:val="center"/>
          </w:tcPr>
          <w:p w14:paraId="2A379CF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环保投资占比（%）</w:t>
            </w:r>
          </w:p>
        </w:tc>
        <w:tc>
          <w:tcPr>
            <w:tcW w:w="2169" w:type="dxa"/>
            <w:vAlign w:val="center"/>
          </w:tcPr>
          <w:p w14:paraId="328DCD75">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w:t>
            </w:r>
          </w:p>
        </w:tc>
        <w:tc>
          <w:tcPr>
            <w:tcW w:w="2212" w:type="dxa"/>
            <w:tcMar>
              <w:top w:w="16" w:type="dxa"/>
              <w:left w:w="16" w:type="dxa"/>
              <w:right w:w="16" w:type="dxa"/>
            </w:tcMar>
            <w:vAlign w:val="center"/>
          </w:tcPr>
          <w:p w14:paraId="050FC28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施工工期</w:t>
            </w:r>
          </w:p>
        </w:tc>
        <w:tc>
          <w:tcPr>
            <w:tcW w:w="3318" w:type="dxa"/>
            <w:vAlign w:val="center"/>
          </w:tcPr>
          <w:p w14:paraId="48A71B72">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3个月</w:t>
            </w:r>
          </w:p>
        </w:tc>
      </w:tr>
      <w:tr w14:paraId="3AB22D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850" w:type="dxa"/>
            <w:tcMar>
              <w:top w:w="16" w:type="dxa"/>
              <w:left w:w="16" w:type="dxa"/>
              <w:right w:w="16" w:type="dxa"/>
            </w:tcMar>
            <w:vAlign w:val="center"/>
          </w:tcPr>
          <w:p w14:paraId="78B5913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是否开工建设</w:t>
            </w:r>
          </w:p>
        </w:tc>
        <w:tc>
          <w:tcPr>
            <w:tcW w:w="2169" w:type="dxa"/>
            <w:vAlign w:val="center"/>
          </w:tcPr>
          <w:p w14:paraId="68905267">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☑否</w:t>
            </w:r>
          </w:p>
          <w:p w14:paraId="03B62372">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w:t>
            </w:r>
            <w:r>
              <w:rPr>
                <w:rFonts w:hint="default" w:ascii="Times New Roman" w:hAnsi="Times New Roman" w:cs="Times New Roman"/>
                <w:color w:val="auto"/>
                <w:sz w:val="24"/>
                <w:highlight w:val="none"/>
                <w:u w:val="single"/>
              </w:rPr>
              <w:t xml:space="preserve">             </w:t>
            </w:r>
          </w:p>
        </w:tc>
        <w:tc>
          <w:tcPr>
            <w:tcW w:w="2212" w:type="dxa"/>
            <w:tcMar>
              <w:top w:w="16" w:type="dxa"/>
              <w:left w:w="16" w:type="dxa"/>
              <w:right w:w="16" w:type="dxa"/>
            </w:tcMar>
            <w:vAlign w:val="center"/>
          </w:tcPr>
          <w:p w14:paraId="7D7A80B6">
            <w:pPr>
              <w:adjustRightInd w:val="0"/>
              <w:snapToGrid w:val="0"/>
              <w:jc w:val="center"/>
              <w:rPr>
                <w:rFonts w:hint="default" w:ascii="Times New Roman" w:hAnsi="Times New Roman" w:cs="Times New Roman"/>
                <w:color w:val="auto"/>
                <w:spacing w:val="-6"/>
                <w:sz w:val="24"/>
                <w:highlight w:val="none"/>
              </w:rPr>
            </w:pPr>
            <w:r>
              <w:rPr>
                <w:rFonts w:hint="default" w:ascii="Times New Roman" w:hAnsi="Times New Roman" w:cs="Times New Roman"/>
                <w:color w:val="auto"/>
                <w:spacing w:val="-6"/>
                <w:sz w:val="24"/>
                <w:highlight w:val="none"/>
              </w:rPr>
              <w:t>用地（用海）</w:t>
            </w:r>
          </w:p>
          <w:p w14:paraId="5FA8BE1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pacing w:val="-6"/>
                <w:sz w:val="24"/>
                <w:highlight w:val="none"/>
              </w:rPr>
              <w:t>面积（m</w:t>
            </w:r>
            <w:r>
              <w:rPr>
                <w:rFonts w:hint="default" w:ascii="Times New Roman" w:hAnsi="Times New Roman" w:cs="Times New Roman"/>
                <w:color w:val="auto"/>
                <w:spacing w:val="-6"/>
                <w:sz w:val="24"/>
                <w:highlight w:val="none"/>
                <w:vertAlign w:val="superscript"/>
              </w:rPr>
              <w:t>2</w:t>
            </w:r>
            <w:r>
              <w:rPr>
                <w:rFonts w:hint="default" w:ascii="Times New Roman" w:hAnsi="Times New Roman" w:cs="Times New Roman"/>
                <w:color w:val="auto"/>
                <w:spacing w:val="-6"/>
                <w:sz w:val="24"/>
                <w:highlight w:val="none"/>
              </w:rPr>
              <w:t>）</w:t>
            </w:r>
          </w:p>
        </w:tc>
        <w:tc>
          <w:tcPr>
            <w:tcW w:w="3318" w:type="dxa"/>
            <w:vAlign w:val="center"/>
          </w:tcPr>
          <w:p w14:paraId="6790D7C2">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0（未新增用地）</w:t>
            </w:r>
          </w:p>
        </w:tc>
      </w:tr>
      <w:tr w14:paraId="66ABD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0" w:type="dxa"/>
            <w:vAlign w:val="center"/>
          </w:tcPr>
          <w:p w14:paraId="607B1EC9">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专项评价设置情况</w:t>
            </w:r>
          </w:p>
        </w:tc>
        <w:tc>
          <w:tcPr>
            <w:tcW w:w="7699" w:type="dxa"/>
            <w:gridSpan w:val="3"/>
            <w:vAlign w:val="center"/>
          </w:tcPr>
          <w:p w14:paraId="6E58FB41">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无</w:t>
            </w:r>
          </w:p>
        </w:tc>
      </w:tr>
      <w:tr w14:paraId="7E38D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50" w:type="dxa"/>
            <w:vAlign w:val="center"/>
          </w:tcPr>
          <w:p w14:paraId="6A86B83E">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规划情况</w:t>
            </w:r>
          </w:p>
        </w:tc>
        <w:tc>
          <w:tcPr>
            <w:tcW w:w="7699" w:type="dxa"/>
            <w:gridSpan w:val="3"/>
            <w:vAlign w:val="center"/>
          </w:tcPr>
          <w:p w14:paraId="4D57129E">
            <w:pPr>
              <w:autoSpaceDE w:val="0"/>
              <w:autoSpaceDN w:val="0"/>
              <w:adjustRightInd w:val="0"/>
              <w:snapToGrid w:val="0"/>
              <w:spacing w:line="360" w:lineRule="auto"/>
              <w:jc w:val="left"/>
              <w:rPr>
                <w:rFonts w:hint="default" w:ascii="Times New Roman" w:hAnsi="Times New Roman" w:cs="Times New Roman"/>
                <w:color w:val="auto"/>
                <w:sz w:val="24"/>
                <w:highlight w:val="none"/>
                <w:lang w:bidi="ar"/>
              </w:rPr>
            </w:pPr>
            <w:r>
              <w:rPr>
                <w:rFonts w:hint="default" w:ascii="Times New Roman" w:hAnsi="Times New Roman" w:cs="Times New Roman"/>
                <w:color w:val="auto"/>
                <w:sz w:val="24"/>
                <w:highlight w:val="none"/>
                <w:lang w:bidi="ar"/>
              </w:rPr>
              <w:t xml:space="preserve">规划名称：《乐昌产业转移工业园城东片区控制性详细规划修编》； </w:t>
            </w:r>
          </w:p>
          <w:p w14:paraId="2072070D">
            <w:pPr>
              <w:autoSpaceDE w:val="0"/>
              <w:autoSpaceDN w:val="0"/>
              <w:adjustRightInd w:val="0"/>
              <w:snapToGrid w:val="0"/>
              <w:spacing w:line="360" w:lineRule="auto"/>
              <w:jc w:val="left"/>
              <w:rPr>
                <w:rFonts w:hint="default" w:ascii="Times New Roman" w:hAnsi="Times New Roman" w:cs="Times New Roman"/>
                <w:color w:val="auto"/>
                <w:sz w:val="24"/>
                <w:highlight w:val="none"/>
                <w:lang w:bidi="ar"/>
              </w:rPr>
            </w:pPr>
            <w:r>
              <w:rPr>
                <w:rFonts w:hint="default" w:ascii="Times New Roman" w:hAnsi="Times New Roman" w:cs="Times New Roman"/>
                <w:color w:val="auto"/>
                <w:sz w:val="24"/>
                <w:highlight w:val="none"/>
                <w:lang w:bidi="ar"/>
              </w:rPr>
              <w:t xml:space="preserve">审批机关：乐昌市自然资源局； </w:t>
            </w:r>
          </w:p>
          <w:p w14:paraId="5185346B">
            <w:pPr>
              <w:autoSpaceDE w:val="0"/>
              <w:autoSpaceDN w:val="0"/>
              <w:adjustRightInd w:val="0"/>
              <w:snapToGrid w:val="0"/>
              <w:spacing w:line="360" w:lineRule="auto"/>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lang w:bidi="ar"/>
              </w:rPr>
              <w:t>审批文号：关于《乐昌产业转移工业园城东片区控制性详细规划修编》等六项规划的批后公告</w:t>
            </w:r>
          </w:p>
        </w:tc>
      </w:tr>
      <w:tr w14:paraId="60BAD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50" w:type="dxa"/>
            <w:vAlign w:val="center"/>
          </w:tcPr>
          <w:p w14:paraId="669B9E3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规划环境影响</w:t>
            </w:r>
          </w:p>
          <w:p w14:paraId="7B118250">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评价情况</w:t>
            </w:r>
          </w:p>
        </w:tc>
        <w:tc>
          <w:tcPr>
            <w:tcW w:w="7699" w:type="dxa"/>
            <w:gridSpan w:val="3"/>
            <w:vAlign w:val="center"/>
          </w:tcPr>
          <w:p w14:paraId="69C12B33">
            <w:pPr>
              <w:autoSpaceDE w:val="0"/>
              <w:autoSpaceDN w:val="0"/>
              <w:adjustRightInd w:val="0"/>
              <w:snapToGrid w:val="0"/>
              <w:spacing w:line="360" w:lineRule="auto"/>
              <w:jc w:val="left"/>
              <w:rPr>
                <w:rFonts w:hint="default" w:ascii="Times New Roman" w:hAnsi="Times New Roman" w:cs="Times New Roman"/>
                <w:color w:val="auto"/>
                <w:sz w:val="24"/>
                <w:highlight w:val="none"/>
                <w:lang w:bidi="ar"/>
              </w:rPr>
            </w:pPr>
            <w:r>
              <w:rPr>
                <w:rFonts w:hint="default" w:ascii="Times New Roman" w:hAnsi="Times New Roman" w:cs="Times New Roman"/>
                <w:color w:val="auto"/>
                <w:sz w:val="24"/>
                <w:highlight w:val="none"/>
                <w:lang w:bidi="ar"/>
              </w:rPr>
              <w:t>规划环境影响评价文件名称：</w:t>
            </w:r>
            <w:r>
              <w:rPr>
                <w:rFonts w:hint="default" w:ascii="Times New Roman" w:hAnsi="Times New Roman" w:cs="Times New Roman"/>
                <w:color w:val="auto"/>
                <w:spacing w:val="-1"/>
                <w:kern w:val="2"/>
                <w:sz w:val="24"/>
                <w:szCs w:val="24"/>
                <w:highlight w:val="none"/>
              </w:rPr>
              <w:t>《</w:t>
            </w:r>
            <w:r>
              <w:rPr>
                <w:rFonts w:hint="default" w:ascii="Times New Roman" w:hAnsi="Times New Roman" w:cs="Times New Roman"/>
                <w:color w:val="auto"/>
                <w:spacing w:val="-1"/>
                <w:kern w:val="2"/>
                <w:sz w:val="24"/>
                <w:szCs w:val="24"/>
                <w:highlight w:val="none"/>
                <w:lang w:val="en-US" w:eastAsia="zh-CN"/>
              </w:rPr>
              <w:t>韶关乐昌经济开发区规划环境影响报告书</w:t>
            </w:r>
            <w:r>
              <w:rPr>
                <w:rFonts w:hint="default" w:ascii="Times New Roman" w:hAnsi="Times New Roman" w:cs="Times New Roman"/>
                <w:color w:val="auto"/>
                <w:spacing w:val="-1"/>
                <w:kern w:val="2"/>
                <w:sz w:val="24"/>
                <w:szCs w:val="24"/>
                <w:highlight w:val="none"/>
              </w:rPr>
              <w:t>》</w:t>
            </w:r>
            <w:r>
              <w:rPr>
                <w:rFonts w:hint="default" w:ascii="Times New Roman" w:hAnsi="Times New Roman" w:cs="Times New Roman"/>
                <w:color w:val="auto"/>
                <w:sz w:val="24"/>
                <w:highlight w:val="none"/>
                <w:lang w:bidi="ar"/>
              </w:rPr>
              <w:t>；</w:t>
            </w:r>
          </w:p>
          <w:p w14:paraId="32A33259">
            <w:pPr>
              <w:autoSpaceDE w:val="0"/>
              <w:autoSpaceDN w:val="0"/>
              <w:adjustRightInd w:val="0"/>
              <w:snapToGrid w:val="0"/>
              <w:spacing w:line="360" w:lineRule="auto"/>
              <w:jc w:val="left"/>
              <w:rPr>
                <w:rFonts w:hint="default" w:ascii="Times New Roman" w:hAnsi="Times New Roman" w:cs="Times New Roman"/>
                <w:color w:val="auto"/>
                <w:sz w:val="24"/>
                <w:highlight w:val="none"/>
                <w:lang w:bidi="ar"/>
              </w:rPr>
            </w:pPr>
            <w:r>
              <w:rPr>
                <w:rFonts w:hint="default" w:ascii="Times New Roman" w:hAnsi="Times New Roman" w:cs="Times New Roman"/>
                <w:color w:val="auto"/>
                <w:sz w:val="24"/>
                <w:highlight w:val="none"/>
                <w:lang w:bidi="ar"/>
              </w:rPr>
              <w:t>审查机关：广东省生态环境厅；</w:t>
            </w:r>
          </w:p>
          <w:p w14:paraId="39CF4C9C">
            <w:pPr>
              <w:autoSpaceDE w:val="0"/>
              <w:autoSpaceDN w:val="0"/>
              <w:adjustRightInd w:val="0"/>
              <w:snapToGrid w:val="0"/>
              <w:spacing w:line="360" w:lineRule="auto"/>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bidi="ar"/>
              </w:rPr>
              <w:t>审批文件名称及文号：</w:t>
            </w:r>
            <w:r>
              <w:rPr>
                <w:rFonts w:hint="default" w:ascii="Times New Roman" w:hAnsi="Times New Roman" w:cs="Times New Roman"/>
                <w:color w:val="auto"/>
                <w:spacing w:val="-1"/>
                <w:kern w:val="2"/>
                <w:sz w:val="24"/>
                <w:szCs w:val="24"/>
                <w:highlight w:val="none"/>
              </w:rPr>
              <w:t>广东省</w:t>
            </w:r>
            <w:r>
              <w:rPr>
                <w:rFonts w:hint="default" w:ascii="Times New Roman" w:hAnsi="Times New Roman" w:cs="Times New Roman"/>
                <w:color w:val="auto"/>
                <w:spacing w:val="-1"/>
                <w:kern w:val="2"/>
                <w:sz w:val="24"/>
                <w:szCs w:val="24"/>
                <w:highlight w:val="none"/>
                <w:lang w:val="en-US" w:eastAsia="zh-CN"/>
              </w:rPr>
              <w:t>生态环境厅</w:t>
            </w:r>
            <w:r>
              <w:rPr>
                <w:rFonts w:hint="default" w:ascii="Times New Roman" w:hAnsi="Times New Roman" w:cs="Times New Roman"/>
                <w:color w:val="auto"/>
                <w:spacing w:val="-1"/>
                <w:kern w:val="2"/>
                <w:sz w:val="24"/>
                <w:szCs w:val="24"/>
                <w:highlight w:val="none"/>
              </w:rPr>
              <w:t>关于印发《</w:t>
            </w:r>
            <w:r>
              <w:rPr>
                <w:rFonts w:hint="default" w:ascii="Times New Roman" w:hAnsi="Times New Roman" w:cs="Times New Roman"/>
                <w:color w:val="auto"/>
                <w:spacing w:val="-1"/>
                <w:kern w:val="2"/>
                <w:sz w:val="24"/>
                <w:szCs w:val="24"/>
                <w:highlight w:val="none"/>
                <w:lang w:val="en-US" w:eastAsia="zh-CN"/>
              </w:rPr>
              <w:t>韶关乐昌经济开发区规划环境影响报告书审查意见</w:t>
            </w:r>
            <w:r>
              <w:rPr>
                <w:rFonts w:hint="default" w:ascii="Times New Roman" w:hAnsi="Times New Roman" w:cs="Times New Roman"/>
                <w:color w:val="auto"/>
                <w:spacing w:val="-1"/>
                <w:kern w:val="2"/>
                <w:sz w:val="24"/>
                <w:szCs w:val="24"/>
                <w:highlight w:val="none"/>
              </w:rPr>
              <w:t>》的函（粤环函</w:t>
            </w:r>
            <w:r>
              <w:rPr>
                <w:rFonts w:hint="default" w:ascii="Times New Roman" w:hAnsi="Times New Roman" w:cs="Times New Roman"/>
                <w:color w:val="auto"/>
                <w:spacing w:val="-1"/>
                <w:kern w:val="2"/>
                <w:sz w:val="24"/>
                <w:szCs w:val="24"/>
                <w:highlight w:val="none"/>
                <w:lang w:eastAsia="zh-CN"/>
              </w:rPr>
              <w:t>〔</w:t>
            </w:r>
            <w:r>
              <w:rPr>
                <w:rFonts w:hint="default" w:ascii="Times New Roman" w:hAnsi="Times New Roman" w:cs="Times New Roman"/>
                <w:color w:val="auto"/>
                <w:spacing w:val="-1"/>
                <w:kern w:val="2"/>
                <w:sz w:val="24"/>
                <w:szCs w:val="24"/>
                <w:highlight w:val="none"/>
              </w:rPr>
              <w:t>20</w:t>
            </w:r>
            <w:r>
              <w:rPr>
                <w:rFonts w:hint="default" w:ascii="Times New Roman" w:hAnsi="Times New Roman" w:cs="Times New Roman"/>
                <w:color w:val="auto"/>
                <w:spacing w:val="-1"/>
                <w:kern w:val="2"/>
                <w:sz w:val="24"/>
                <w:szCs w:val="24"/>
                <w:highlight w:val="none"/>
                <w:lang w:val="en-US" w:eastAsia="zh-CN"/>
              </w:rPr>
              <w:t>26</w:t>
            </w:r>
            <w:r>
              <w:rPr>
                <w:rFonts w:hint="default" w:ascii="Times New Roman" w:hAnsi="Times New Roman" w:cs="Times New Roman"/>
                <w:color w:val="auto"/>
                <w:spacing w:val="-1"/>
                <w:kern w:val="2"/>
                <w:sz w:val="24"/>
                <w:szCs w:val="24"/>
                <w:highlight w:val="none"/>
                <w:lang w:eastAsia="zh-CN"/>
              </w:rPr>
              <w:t>〕</w:t>
            </w:r>
            <w:r>
              <w:rPr>
                <w:rFonts w:hint="default" w:ascii="Times New Roman" w:hAnsi="Times New Roman" w:cs="Times New Roman"/>
                <w:color w:val="auto"/>
                <w:spacing w:val="-1"/>
                <w:kern w:val="2"/>
                <w:sz w:val="24"/>
                <w:szCs w:val="24"/>
                <w:highlight w:val="none"/>
                <w:lang w:val="en-US" w:eastAsia="zh-CN"/>
              </w:rPr>
              <w:t>80</w:t>
            </w:r>
            <w:r>
              <w:rPr>
                <w:rFonts w:hint="default" w:ascii="Times New Roman" w:hAnsi="Times New Roman" w:cs="Times New Roman"/>
                <w:color w:val="auto"/>
                <w:spacing w:val="-1"/>
                <w:kern w:val="2"/>
                <w:sz w:val="24"/>
                <w:szCs w:val="24"/>
                <w:highlight w:val="none"/>
              </w:rPr>
              <w:t>号）</w:t>
            </w:r>
          </w:p>
        </w:tc>
      </w:tr>
      <w:tr w14:paraId="6872D3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0" w:type="dxa"/>
            <w:vAlign w:val="center"/>
          </w:tcPr>
          <w:p w14:paraId="7A3FF735">
            <w:pPr>
              <w:autoSpaceDE w:val="0"/>
              <w:autoSpaceDN w:val="0"/>
              <w:adjustRightInd w:val="0"/>
              <w:snapToGrid w:val="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规划及规划环境影响评价符合性分析</w:t>
            </w:r>
          </w:p>
        </w:tc>
        <w:tc>
          <w:tcPr>
            <w:tcW w:w="7699" w:type="dxa"/>
            <w:gridSpan w:val="3"/>
            <w:vAlign w:val="center"/>
          </w:tcPr>
          <w:p w14:paraId="02FBA9C3">
            <w:pPr>
              <w:autoSpaceDE w:val="0"/>
              <w:autoSpaceDN w:val="0"/>
              <w:adjustRightInd w:val="0"/>
              <w:snapToGrid w:val="0"/>
              <w:spacing w:line="360" w:lineRule="auto"/>
              <w:ind w:firstLine="482" w:firstLineChars="200"/>
              <w:jc w:val="left"/>
              <w:rPr>
                <w:rFonts w:hint="default" w:ascii="Times New Roman" w:hAnsi="Times New Roman" w:cs="Times New Roman"/>
                <w:b/>
                <w:bCs/>
                <w:color w:val="auto"/>
                <w:sz w:val="24"/>
                <w:highlight w:val="none"/>
                <w:lang w:bidi="ar"/>
              </w:rPr>
            </w:pPr>
            <w:r>
              <w:rPr>
                <w:rFonts w:hint="default" w:ascii="Times New Roman" w:hAnsi="Times New Roman" w:cs="Times New Roman"/>
                <w:b/>
                <w:bCs/>
                <w:color w:val="auto"/>
                <w:sz w:val="24"/>
                <w:highlight w:val="none"/>
                <w:lang w:bidi="ar"/>
              </w:rPr>
              <w:t>1、与《乐昌产业转移工业园城东片区控制性详细规划修编》相符性分析</w:t>
            </w:r>
          </w:p>
          <w:p w14:paraId="0BAC5AE9">
            <w:pPr>
              <w:autoSpaceDE w:val="0"/>
              <w:autoSpaceDN w:val="0"/>
              <w:adjustRightInd w:val="0"/>
              <w:snapToGrid w:val="0"/>
              <w:spacing w:line="360" w:lineRule="auto"/>
              <w:ind w:firstLine="480" w:firstLineChars="200"/>
              <w:jc w:val="left"/>
              <w:rPr>
                <w:rFonts w:hint="default" w:ascii="Times New Roman" w:hAnsi="Times New Roman" w:cs="Times New Roman" w:eastAsiaTheme="minorEastAsia"/>
                <w:color w:val="auto"/>
                <w:sz w:val="24"/>
                <w:highlight w:val="none"/>
                <w:lang w:bidi="ar"/>
              </w:rPr>
            </w:pPr>
            <w:r>
              <w:rPr>
                <w:rFonts w:hint="default" w:ascii="Times New Roman" w:hAnsi="Times New Roman" w:cs="Times New Roman"/>
                <w:color w:val="auto"/>
                <w:sz w:val="24"/>
                <w:highlight w:val="none"/>
                <w:lang w:bidi="ar"/>
              </w:rPr>
              <w:t>根据《乐昌产业转移工业园城东片区控制性详细规划修编》，所在片区规划发展目标为：两大主导产业和一个重点发展产业的“2+1”产业发展模式，即“粤北机械装备制造的重要承接地”、“粤北绿色家居建筑装饰新材料的聚集地”两个主导产业和“特色轻工业”一个重点发展产业的新型园区。本企业位于乐昌产业转移工业园城东片区，主要从事阀门、机械配件生产，本项目为原项目配套新增金属表面处理项目，属于机械装备制造，满足国家和地方相关产业政策，不排放一类污染物和有毒有害物质，不向河流排放含汞、砷、镉、铬、铅等重金属污染物和持久性有机污染物，不属于园区禁止项目，符合园区准入条件。 根据上述分析可知，本项目符合乐昌产业转移工业园城东片区控制性详细规划，选址是合理的，与园区布局是相符的</w:t>
            </w:r>
            <w:r>
              <w:rPr>
                <w:rStyle w:val="37"/>
                <w:rFonts w:hint="default" w:ascii="Times New Roman" w:hAnsi="Times New Roman" w:cs="Times New Roman" w:eastAsiaTheme="minorEastAsia"/>
                <w:color w:val="auto"/>
                <w:sz w:val="24"/>
                <w:highlight w:val="none"/>
              </w:rPr>
              <w:t>。</w:t>
            </w:r>
          </w:p>
          <w:p w14:paraId="6E28518B">
            <w:pPr>
              <w:autoSpaceDE w:val="0"/>
              <w:autoSpaceDN w:val="0"/>
              <w:adjustRightInd w:val="0"/>
              <w:snapToGrid w:val="0"/>
              <w:spacing w:line="360" w:lineRule="auto"/>
              <w:ind w:firstLine="482" w:firstLineChars="200"/>
              <w:jc w:val="left"/>
              <w:rPr>
                <w:rFonts w:hint="default" w:ascii="Times New Roman" w:hAnsi="Times New Roman" w:cs="Times New Roman"/>
                <w:b/>
                <w:bCs/>
                <w:color w:val="auto"/>
                <w:sz w:val="24"/>
                <w:highlight w:val="none"/>
                <w:lang w:bidi="ar"/>
              </w:rPr>
            </w:pPr>
            <w:r>
              <w:rPr>
                <w:rFonts w:hint="default" w:ascii="Times New Roman" w:hAnsi="Times New Roman" w:cs="Times New Roman"/>
                <w:b/>
                <w:bCs/>
                <w:color w:val="auto"/>
                <w:sz w:val="24"/>
                <w:highlight w:val="none"/>
                <w:lang w:bidi="ar"/>
              </w:rPr>
              <w:t>2、与</w:t>
            </w:r>
            <w:r>
              <w:rPr>
                <w:rFonts w:hint="default" w:ascii="Times New Roman" w:hAnsi="Times New Roman" w:cs="Times New Roman"/>
                <w:b/>
                <w:bCs/>
                <w:color w:val="auto"/>
                <w:sz w:val="24"/>
                <w:highlight w:val="none"/>
                <w:lang w:eastAsia="zh-CN" w:bidi="ar"/>
              </w:rPr>
              <w:t>《韶关乐昌经济开发区规划环境影响报告书》</w:t>
            </w:r>
            <w:r>
              <w:rPr>
                <w:rFonts w:hint="default" w:ascii="Times New Roman" w:hAnsi="Times New Roman" w:cs="Times New Roman"/>
                <w:b/>
                <w:bCs/>
                <w:color w:val="auto"/>
                <w:sz w:val="24"/>
                <w:highlight w:val="none"/>
                <w:lang w:bidi="ar"/>
              </w:rPr>
              <w:t>及其审查意见相符性分析</w:t>
            </w:r>
          </w:p>
          <w:p w14:paraId="5FBAC69A">
            <w:pPr>
              <w:keepNext w:val="0"/>
              <w:keepLines w:val="0"/>
              <w:pageBreakBefore w:val="0"/>
              <w:widowControl/>
              <w:numPr>
                <w:ilvl w:val="0"/>
                <w:numId w:val="0"/>
              </w:numPr>
              <w:suppressLineNumbers w:val="0"/>
              <w:tabs>
                <w:tab w:val="left" w:pos="0"/>
              </w:tabs>
              <w:kinsoku/>
              <w:wordWrap w:val="0"/>
              <w:overflowPunct/>
              <w:topLinePunct w:val="0"/>
              <w:bidi w:val="0"/>
              <w:adjustRightInd/>
              <w:snapToGrid/>
              <w:spacing w:before="0" w:beforeAutospacing="0" w:after="0" w:afterAutospacing="0" w:line="360" w:lineRule="auto"/>
              <w:ind w:left="0" w:right="0" w:firstLine="476" w:firstLineChars="200"/>
              <w:jc w:val="left"/>
              <w:outlineLvl w:val="9"/>
              <w:rPr>
                <w:rFonts w:hint="default" w:ascii="Times New Roman" w:hAnsi="Times New Roman" w:cs="Times New Roman"/>
                <w:color w:val="auto"/>
                <w:spacing w:val="-1"/>
                <w:sz w:val="24"/>
                <w:szCs w:val="24"/>
                <w:highlight w:val="none"/>
                <w:lang w:eastAsia="zh-CN"/>
              </w:rPr>
            </w:pPr>
            <w:bookmarkStart w:id="1" w:name="_Toc24148"/>
            <w:bookmarkStart w:id="2" w:name="_Toc9596"/>
            <w:r>
              <w:rPr>
                <w:rFonts w:hint="default" w:ascii="Times New Roman" w:hAnsi="Times New Roman" w:eastAsia="宋体" w:cs="Times New Roman"/>
                <w:color w:val="auto"/>
                <w:spacing w:val="-1"/>
                <w:sz w:val="24"/>
                <w:szCs w:val="24"/>
                <w:highlight w:val="none"/>
              </w:rPr>
              <w:t>根据</w:t>
            </w:r>
            <w:r>
              <w:rPr>
                <w:rFonts w:hint="default" w:ascii="Times New Roman" w:hAnsi="Times New Roman" w:cs="Times New Roman"/>
                <w:color w:val="auto"/>
                <w:spacing w:val="-1"/>
                <w:kern w:val="2"/>
                <w:sz w:val="24"/>
                <w:szCs w:val="24"/>
                <w:highlight w:val="none"/>
              </w:rPr>
              <w:t>《</w:t>
            </w:r>
            <w:r>
              <w:rPr>
                <w:rFonts w:hint="default" w:ascii="Times New Roman" w:hAnsi="Times New Roman" w:cs="Times New Roman"/>
                <w:color w:val="auto"/>
                <w:spacing w:val="-1"/>
                <w:kern w:val="2"/>
                <w:sz w:val="24"/>
                <w:szCs w:val="24"/>
                <w:highlight w:val="none"/>
                <w:lang w:val="en-US" w:eastAsia="zh-CN"/>
              </w:rPr>
              <w:t>韶关乐昌经济开发区规划环境影响报告书</w:t>
            </w:r>
            <w:r>
              <w:rPr>
                <w:rFonts w:hint="default" w:ascii="Times New Roman" w:hAnsi="Times New Roman" w:cs="Times New Roman"/>
                <w:color w:val="auto"/>
                <w:spacing w:val="-1"/>
                <w:kern w:val="2"/>
                <w:sz w:val="24"/>
                <w:szCs w:val="24"/>
                <w:highlight w:val="none"/>
              </w:rPr>
              <w:t>》</w:t>
            </w:r>
            <w:r>
              <w:rPr>
                <w:rFonts w:hint="default" w:ascii="Times New Roman" w:hAnsi="Times New Roman" w:eastAsia="宋体" w:cs="Times New Roman"/>
                <w:color w:val="auto"/>
                <w:spacing w:val="-1"/>
                <w:sz w:val="24"/>
                <w:szCs w:val="24"/>
                <w:highlight w:val="none"/>
              </w:rPr>
              <w:t>及其审查意见</w:t>
            </w:r>
            <w:r>
              <w:rPr>
                <w:rFonts w:hint="default" w:ascii="Times New Roman" w:hAnsi="Times New Roman" w:cs="Times New Roman"/>
                <w:color w:val="auto"/>
                <w:spacing w:val="-1"/>
                <w:sz w:val="24"/>
                <w:szCs w:val="24"/>
                <w:highlight w:val="none"/>
                <w:lang w:eastAsia="zh-CN"/>
              </w:rPr>
              <w:t>：</w:t>
            </w:r>
          </w:p>
          <w:p w14:paraId="4CE475AD">
            <w:pPr>
              <w:keepNext w:val="0"/>
              <w:keepLines w:val="0"/>
              <w:pageBreakBefore w:val="0"/>
              <w:widowControl/>
              <w:numPr>
                <w:ilvl w:val="0"/>
                <w:numId w:val="0"/>
              </w:numPr>
              <w:suppressLineNumbers w:val="0"/>
              <w:tabs>
                <w:tab w:val="left" w:pos="0"/>
              </w:tabs>
              <w:kinsoku/>
              <w:wordWrap w:val="0"/>
              <w:overflowPunct/>
              <w:topLinePunct w:val="0"/>
              <w:bidi w:val="0"/>
              <w:adjustRightInd/>
              <w:snapToGrid/>
              <w:spacing w:before="0" w:beforeAutospacing="0" w:after="0" w:afterAutospacing="0" w:line="360" w:lineRule="auto"/>
              <w:ind w:left="0" w:right="0" w:firstLine="476" w:firstLineChars="200"/>
              <w:jc w:val="left"/>
              <w:outlineLvl w:val="9"/>
              <w:rPr>
                <w:rFonts w:hint="default" w:ascii="Times New Roman" w:hAnsi="Times New Roman" w:eastAsia="宋体" w:cs="Times New Roman"/>
                <w:color w:val="auto"/>
                <w:spacing w:val="-1"/>
                <w:sz w:val="24"/>
                <w:szCs w:val="24"/>
                <w:highlight w:val="none"/>
                <w:lang w:eastAsia="zh-CN"/>
              </w:rPr>
            </w:pPr>
            <w:r>
              <w:rPr>
                <w:rFonts w:hint="default" w:ascii="Times New Roman" w:hAnsi="Times New Roman" w:cs="Times New Roman"/>
                <w:color w:val="auto"/>
                <w:spacing w:val="-1"/>
                <w:sz w:val="24"/>
                <w:szCs w:val="24"/>
                <w:highlight w:val="none"/>
                <w:lang w:eastAsia="zh-CN"/>
              </w:rPr>
              <w:t>（</w:t>
            </w:r>
            <w:r>
              <w:rPr>
                <w:rFonts w:hint="default" w:ascii="Times New Roman" w:hAnsi="Times New Roman" w:cs="Times New Roman"/>
                <w:color w:val="auto"/>
                <w:spacing w:val="-1"/>
                <w:sz w:val="24"/>
                <w:szCs w:val="24"/>
                <w:highlight w:val="none"/>
                <w:lang w:val="en-US" w:eastAsia="zh-CN"/>
              </w:rPr>
              <w:t>一</w:t>
            </w:r>
            <w:r>
              <w:rPr>
                <w:rFonts w:hint="default" w:ascii="Times New Roman" w:hAnsi="Times New Roman" w:cs="Times New Roman"/>
                <w:color w:val="auto"/>
                <w:spacing w:val="-1"/>
                <w:sz w:val="24"/>
                <w:szCs w:val="24"/>
                <w:highlight w:val="none"/>
                <w:lang w:eastAsia="zh-CN"/>
              </w:rPr>
              <w:t>）</w:t>
            </w:r>
            <w:r>
              <w:rPr>
                <w:rFonts w:hint="default" w:ascii="Times New Roman" w:hAnsi="Times New Roman" w:eastAsia="宋体" w:cs="Times New Roman"/>
                <w:color w:val="auto"/>
                <w:spacing w:val="-1"/>
                <w:sz w:val="24"/>
                <w:szCs w:val="24"/>
                <w:highlight w:val="none"/>
              </w:rPr>
              <w:t>原广东乐昌经济开发区与原乐昌产业转移工业园及周边新增用地进行整合优化，形成韶关乐昌经济开发区（以下简称园区），并调整园区边界。调整后的园区面积为 691.1483 公顷，分为城东片区（520.2648 公顷）、城南片区（170.8835 公顷）两个片区，主导产业为金属制品业、橡胶和塑料制品业以及计算机、通信和其他电子设备制造业，兼顾发展食品加工产业</w:t>
            </w:r>
            <w:r>
              <w:rPr>
                <w:rFonts w:hint="default" w:ascii="Times New Roman" w:hAnsi="Times New Roman" w:cs="Times New Roman"/>
                <w:color w:val="auto"/>
                <w:spacing w:val="-1"/>
                <w:sz w:val="24"/>
                <w:szCs w:val="24"/>
                <w:highlight w:val="none"/>
                <w:lang w:eastAsia="zh-CN"/>
              </w:rPr>
              <w:t>；</w:t>
            </w:r>
          </w:p>
          <w:p w14:paraId="0932CF8C">
            <w:pPr>
              <w:keepNext w:val="0"/>
              <w:keepLines w:val="0"/>
              <w:pageBreakBefore w:val="0"/>
              <w:widowControl/>
              <w:numPr>
                <w:ilvl w:val="0"/>
                <w:numId w:val="0"/>
              </w:numPr>
              <w:suppressLineNumbers w:val="0"/>
              <w:tabs>
                <w:tab w:val="left" w:pos="0"/>
              </w:tabs>
              <w:kinsoku/>
              <w:wordWrap w:val="0"/>
              <w:overflowPunct/>
              <w:topLinePunct w:val="0"/>
              <w:bidi w:val="0"/>
              <w:adjustRightInd/>
              <w:snapToGrid/>
              <w:spacing w:before="0" w:beforeAutospacing="0" w:after="0" w:afterAutospacing="0" w:line="360" w:lineRule="auto"/>
              <w:ind w:left="0" w:right="0" w:firstLine="476" w:firstLineChars="200"/>
              <w:jc w:val="left"/>
              <w:outlineLvl w:val="9"/>
              <w:rPr>
                <w:rFonts w:hint="default" w:ascii="Times New Roman" w:hAnsi="Times New Roman" w:eastAsia="宋体" w:cs="Times New Roman"/>
                <w:color w:val="auto"/>
                <w:spacing w:val="-1"/>
                <w:sz w:val="24"/>
                <w:szCs w:val="24"/>
                <w:highlight w:val="none"/>
                <w:lang w:eastAsia="zh-CN"/>
              </w:rPr>
            </w:pPr>
            <w:r>
              <w:rPr>
                <w:rFonts w:hint="default" w:ascii="Times New Roman" w:hAnsi="Times New Roman" w:cs="Times New Roman"/>
                <w:color w:val="auto"/>
                <w:spacing w:val="-1"/>
                <w:sz w:val="24"/>
                <w:szCs w:val="24"/>
                <w:highlight w:val="none"/>
                <w:lang w:eastAsia="zh-CN"/>
              </w:rPr>
              <w:t>（</w:t>
            </w:r>
            <w:r>
              <w:rPr>
                <w:rFonts w:hint="default" w:ascii="Times New Roman" w:hAnsi="Times New Roman" w:cs="Times New Roman"/>
                <w:color w:val="auto"/>
                <w:spacing w:val="-1"/>
                <w:sz w:val="24"/>
                <w:szCs w:val="24"/>
                <w:highlight w:val="none"/>
                <w:lang w:val="en-US" w:eastAsia="zh-CN"/>
              </w:rPr>
              <w:t>二</w:t>
            </w:r>
            <w:r>
              <w:rPr>
                <w:rFonts w:hint="default" w:ascii="Times New Roman" w:hAnsi="Times New Roman" w:cs="Times New Roman"/>
                <w:color w:val="auto"/>
                <w:spacing w:val="-1"/>
                <w:sz w:val="24"/>
                <w:szCs w:val="24"/>
                <w:highlight w:val="none"/>
                <w:lang w:eastAsia="zh-CN"/>
              </w:rPr>
              <w:t>）</w:t>
            </w:r>
            <w:r>
              <w:rPr>
                <w:rFonts w:hint="default" w:ascii="Times New Roman" w:hAnsi="Times New Roman" w:eastAsia="宋体" w:cs="Times New Roman"/>
                <w:color w:val="auto"/>
                <w:spacing w:val="-1"/>
                <w:sz w:val="24"/>
                <w:szCs w:val="24"/>
                <w:highlight w:val="none"/>
              </w:rPr>
              <w:t>开发建设应符合国家开发区管理有关政策以及我省国土空间总体规划、工业园区高质量发展等要求，严格执行生态环境分区管控相关要求，禁止建设不符合生态环境分区管控要求和规划环评生态环境准入清单的项目</w:t>
            </w:r>
            <w:r>
              <w:rPr>
                <w:rFonts w:hint="default" w:ascii="Times New Roman" w:hAnsi="Times New Roman" w:cs="Times New Roman"/>
                <w:color w:val="auto"/>
                <w:spacing w:val="-1"/>
                <w:sz w:val="24"/>
                <w:szCs w:val="24"/>
                <w:highlight w:val="none"/>
                <w:lang w:eastAsia="zh-CN"/>
              </w:rPr>
              <w:t>；</w:t>
            </w:r>
          </w:p>
          <w:p w14:paraId="4A3DAD36">
            <w:pPr>
              <w:keepNext w:val="0"/>
              <w:keepLines w:val="0"/>
              <w:pageBreakBefore w:val="0"/>
              <w:widowControl/>
              <w:numPr>
                <w:ilvl w:val="0"/>
                <w:numId w:val="0"/>
              </w:numPr>
              <w:suppressLineNumbers w:val="0"/>
              <w:tabs>
                <w:tab w:val="left" w:pos="0"/>
              </w:tabs>
              <w:kinsoku/>
              <w:wordWrap w:val="0"/>
              <w:overflowPunct/>
              <w:topLinePunct w:val="0"/>
              <w:bidi w:val="0"/>
              <w:adjustRightInd/>
              <w:snapToGrid/>
              <w:spacing w:before="0" w:beforeAutospacing="0" w:after="0" w:afterAutospacing="0" w:line="360" w:lineRule="auto"/>
              <w:ind w:left="0" w:right="0" w:firstLine="476" w:firstLineChars="200"/>
              <w:jc w:val="left"/>
              <w:outlineLvl w:val="9"/>
              <w:rPr>
                <w:rFonts w:hint="default" w:ascii="Times New Roman" w:hAnsi="Times New Roman" w:eastAsia="宋体" w:cs="Times New Roman"/>
                <w:color w:val="auto"/>
                <w:spacing w:val="-1"/>
                <w:sz w:val="24"/>
                <w:szCs w:val="24"/>
                <w:highlight w:val="none"/>
                <w:lang w:eastAsia="zh-CN"/>
              </w:rPr>
            </w:pPr>
            <w:r>
              <w:rPr>
                <w:rFonts w:hint="default" w:ascii="Times New Roman" w:hAnsi="Times New Roman" w:cs="Times New Roman"/>
                <w:color w:val="auto"/>
                <w:spacing w:val="-1"/>
                <w:sz w:val="24"/>
                <w:szCs w:val="24"/>
                <w:highlight w:val="none"/>
                <w:lang w:eastAsia="zh-CN"/>
              </w:rPr>
              <w:t>（</w:t>
            </w:r>
            <w:r>
              <w:rPr>
                <w:rFonts w:hint="default" w:ascii="Times New Roman" w:hAnsi="Times New Roman" w:cs="Times New Roman"/>
                <w:color w:val="auto"/>
                <w:spacing w:val="-1"/>
                <w:sz w:val="24"/>
                <w:szCs w:val="24"/>
                <w:highlight w:val="none"/>
                <w:lang w:val="en-US" w:eastAsia="zh-CN"/>
              </w:rPr>
              <w:t>三</w:t>
            </w:r>
            <w:r>
              <w:rPr>
                <w:rFonts w:hint="default" w:ascii="Times New Roman" w:hAnsi="Times New Roman" w:cs="Times New Roman"/>
                <w:color w:val="auto"/>
                <w:spacing w:val="-1"/>
                <w:sz w:val="24"/>
                <w:szCs w:val="24"/>
                <w:highlight w:val="none"/>
                <w:lang w:eastAsia="zh-CN"/>
              </w:rPr>
              <w:t>）</w:t>
            </w:r>
            <w:r>
              <w:rPr>
                <w:rFonts w:hint="default" w:ascii="Times New Roman" w:hAnsi="Times New Roman" w:eastAsia="宋体" w:cs="Times New Roman"/>
                <w:color w:val="auto"/>
                <w:spacing w:val="-1"/>
                <w:sz w:val="24"/>
                <w:szCs w:val="24"/>
                <w:highlight w:val="none"/>
              </w:rPr>
              <w:t>邻近居民点、学校的工业用地优先建设无污染或轻污染的企业和项目，加强园区企业管理，并采取设置绿化隔离带等措施，防止对周边居民和学校造成不良环境影响</w:t>
            </w:r>
            <w:r>
              <w:rPr>
                <w:rFonts w:hint="default" w:ascii="Times New Roman" w:hAnsi="Times New Roman" w:cs="Times New Roman"/>
                <w:color w:val="auto"/>
                <w:spacing w:val="-1"/>
                <w:sz w:val="24"/>
                <w:szCs w:val="24"/>
                <w:highlight w:val="none"/>
                <w:lang w:eastAsia="zh-CN"/>
              </w:rPr>
              <w:t>；</w:t>
            </w:r>
          </w:p>
          <w:p w14:paraId="69FE170F">
            <w:pPr>
              <w:keepNext w:val="0"/>
              <w:keepLines w:val="0"/>
              <w:pageBreakBefore w:val="0"/>
              <w:widowControl/>
              <w:numPr>
                <w:ilvl w:val="0"/>
                <w:numId w:val="0"/>
              </w:numPr>
              <w:suppressLineNumbers w:val="0"/>
              <w:tabs>
                <w:tab w:val="left" w:pos="0"/>
              </w:tabs>
              <w:kinsoku/>
              <w:wordWrap w:val="0"/>
              <w:overflowPunct/>
              <w:topLinePunct w:val="0"/>
              <w:bidi w:val="0"/>
              <w:adjustRightInd/>
              <w:snapToGrid/>
              <w:spacing w:before="0" w:beforeAutospacing="0" w:after="0" w:afterAutospacing="0" w:line="360" w:lineRule="auto"/>
              <w:ind w:left="0" w:right="0" w:firstLine="476" w:firstLineChars="200"/>
              <w:jc w:val="left"/>
              <w:outlineLvl w:val="9"/>
              <w:rPr>
                <w:rFonts w:hint="default" w:ascii="Times New Roman" w:hAnsi="Times New Roman" w:cs="Times New Roman"/>
                <w:color w:val="auto"/>
                <w:spacing w:val="-1"/>
                <w:sz w:val="24"/>
                <w:szCs w:val="24"/>
                <w:highlight w:val="none"/>
                <w:lang w:eastAsia="zh-CN"/>
              </w:rPr>
            </w:pPr>
            <w:r>
              <w:rPr>
                <w:rFonts w:hint="default" w:ascii="Times New Roman" w:hAnsi="Times New Roman" w:cs="Times New Roman"/>
                <w:color w:val="auto"/>
                <w:spacing w:val="-1"/>
                <w:sz w:val="24"/>
                <w:szCs w:val="24"/>
                <w:highlight w:val="none"/>
                <w:lang w:eastAsia="zh-CN"/>
              </w:rPr>
              <w:t>（</w:t>
            </w:r>
            <w:r>
              <w:rPr>
                <w:rFonts w:hint="default" w:ascii="Times New Roman" w:hAnsi="Times New Roman" w:cs="Times New Roman"/>
                <w:color w:val="auto"/>
                <w:spacing w:val="-1"/>
                <w:sz w:val="24"/>
                <w:szCs w:val="24"/>
                <w:highlight w:val="none"/>
                <w:lang w:val="en-US" w:eastAsia="zh-CN"/>
              </w:rPr>
              <w:t>四</w:t>
            </w:r>
            <w:r>
              <w:rPr>
                <w:rFonts w:hint="default" w:ascii="Times New Roman" w:hAnsi="Times New Roman" w:cs="Times New Roman"/>
                <w:color w:val="auto"/>
                <w:spacing w:val="-1"/>
                <w:sz w:val="24"/>
                <w:szCs w:val="24"/>
                <w:highlight w:val="none"/>
                <w:lang w:eastAsia="zh-CN"/>
              </w:rPr>
              <w:t>）入园企业应优先使用天然气、电能等清洁能源，提升能源资源利用效率；应按规定淘汰落后、低效废气处理措施，强化废气收集、处理，确保大气污染物达标排放；按照《关于加强重点行业涉新污染物建设项目环境影响评价工作的意见》（环环评〔2025〕28 号）要求，加强重点行业涉新污染物建设项目生态环境管理，不得建设以禁止生产、加工使用的新污染物作为原辅料或产品的项目；</w:t>
            </w:r>
          </w:p>
          <w:p w14:paraId="53B2A3B0">
            <w:pPr>
              <w:keepNext w:val="0"/>
              <w:keepLines w:val="0"/>
              <w:pageBreakBefore w:val="0"/>
              <w:widowControl/>
              <w:numPr>
                <w:ilvl w:val="0"/>
                <w:numId w:val="0"/>
              </w:numPr>
              <w:suppressLineNumbers w:val="0"/>
              <w:tabs>
                <w:tab w:val="left" w:pos="0"/>
              </w:tabs>
              <w:kinsoku/>
              <w:wordWrap w:val="0"/>
              <w:overflowPunct/>
              <w:topLinePunct w:val="0"/>
              <w:bidi w:val="0"/>
              <w:adjustRightInd/>
              <w:snapToGrid/>
              <w:spacing w:before="0" w:beforeAutospacing="0" w:after="0" w:afterAutospacing="0" w:line="360" w:lineRule="auto"/>
              <w:ind w:left="0" w:right="0" w:firstLine="476" w:firstLineChars="200"/>
              <w:jc w:val="left"/>
              <w:outlineLvl w:val="9"/>
              <w:rPr>
                <w:rFonts w:hint="default" w:ascii="Times New Roman" w:hAnsi="Times New Roman" w:cs="Times New Roman"/>
                <w:color w:val="auto"/>
                <w:spacing w:val="-1"/>
                <w:sz w:val="24"/>
                <w:szCs w:val="24"/>
                <w:highlight w:val="none"/>
                <w:lang w:val="en-US" w:eastAsia="zh-CN"/>
              </w:rPr>
            </w:pPr>
            <w:r>
              <w:rPr>
                <w:rFonts w:hint="default" w:ascii="Times New Roman" w:hAnsi="Times New Roman" w:cs="Times New Roman"/>
                <w:color w:val="auto"/>
                <w:spacing w:val="-1"/>
                <w:sz w:val="24"/>
                <w:szCs w:val="24"/>
                <w:highlight w:val="none"/>
                <w:lang w:eastAsia="zh-CN"/>
              </w:rPr>
              <w:t>（</w:t>
            </w:r>
            <w:r>
              <w:rPr>
                <w:rFonts w:hint="default" w:ascii="Times New Roman" w:hAnsi="Times New Roman" w:cs="Times New Roman"/>
                <w:color w:val="auto"/>
                <w:spacing w:val="-1"/>
                <w:sz w:val="24"/>
                <w:szCs w:val="24"/>
                <w:highlight w:val="none"/>
                <w:lang w:val="en-US" w:eastAsia="zh-CN"/>
              </w:rPr>
              <w:t>五）入园企业应严格落实主要污染物排放总量控制要求。工业废水和生活污水排放量应控制在10350吨/日以内，化学需氧量、氨氮、总磷排放量分别控制在138.48吨/年、17.31吨/年、1.73吨/年以内。氮氧化物、挥发性有机化合物排放量应分别控制在69.19吨/年、258.80吨/年以内。</w:t>
            </w:r>
          </w:p>
          <w:bookmarkEnd w:id="1"/>
          <w:bookmarkEnd w:id="2"/>
          <w:p w14:paraId="2B6F5093">
            <w:pPr>
              <w:spacing w:line="360" w:lineRule="auto"/>
              <w:ind w:firstLine="480" w:firstLineChars="200"/>
              <w:rPr>
                <w:rFonts w:hint="default" w:ascii="Times New Roman" w:hAnsi="Times New Roman" w:cs="Times New Roman"/>
                <w:b w:val="0"/>
                <w:bCs w:val="0"/>
                <w:color w:val="auto"/>
                <w:sz w:val="24"/>
                <w:highlight w:val="none"/>
                <w:lang w:eastAsia="zh-CN" w:bidi="ar"/>
              </w:rPr>
            </w:pPr>
            <w:r>
              <w:rPr>
                <w:rFonts w:hint="default" w:ascii="Times New Roman" w:hAnsi="Times New Roman" w:cs="Times New Roman"/>
                <w:color w:val="auto"/>
                <w:sz w:val="24"/>
                <w:highlight w:val="none"/>
                <w:lang w:bidi="ar"/>
              </w:rPr>
              <w:t>本企业主要从事阀门、机械配件生产，本项目为原项目配套新增金属表面处理项目，属于</w:t>
            </w:r>
            <w:r>
              <w:rPr>
                <w:rFonts w:hint="default" w:ascii="Times New Roman" w:hAnsi="Times New Roman" w:cs="Times New Roman"/>
                <w:color w:val="auto"/>
                <w:sz w:val="24"/>
                <w:highlight w:val="none"/>
                <w:lang w:val="en-US" w:eastAsia="zh-CN" w:bidi="ar"/>
              </w:rPr>
              <w:t>金属制品业</w:t>
            </w:r>
            <w:r>
              <w:rPr>
                <w:rFonts w:hint="default" w:ascii="Times New Roman" w:hAnsi="Times New Roman" w:cs="Times New Roman"/>
                <w:color w:val="auto"/>
                <w:sz w:val="24"/>
                <w:highlight w:val="none"/>
                <w:lang w:bidi="ar"/>
              </w:rPr>
              <w:t>，满足国家和地方相关产业政策，符合园区主导产业定位，</w:t>
            </w:r>
            <w:r>
              <w:rPr>
                <w:rFonts w:hint="default" w:ascii="Times New Roman" w:hAnsi="Times New Roman" w:cs="Times New Roman"/>
                <w:color w:val="auto"/>
                <w:spacing w:val="-1"/>
                <w:kern w:val="2"/>
                <w:sz w:val="24"/>
                <w:szCs w:val="24"/>
                <w:highlight w:val="none"/>
                <w:lang w:val="en-US" w:eastAsia="zh-CN"/>
              </w:rPr>
              <w:t>不属于建设以禁止生产、加工使用的新污染物作为原辅料或产品的项目，符合</w:t>
            </w:r>
            <w:r>
              <w:rPr>
                <w:rFonts w:hint="default" w:ascii="Times New Roman" w:hAnsi="Times New Roman" w:eastAsia="宋体" w:cs="Times New Roman"/>
                <w:color w:val="auto"/>
                <w:spacing w:val="-1"/>
                <w:kern w:val="2"/>
                <w:sz w:val="24"/>
                <w:szCs w:val="24"/>
                <w:highlight w:val="none"/>
              </w:rPr>
              <w:t>生态环境分区管控要求和规划环评生态环境准入清单</w:t>
            </w:r>
            <w:r>
              <w:rPr>
                <w:rFonts w:hint="default" w:ascii="Times New Roman" w:hAnsi="Times New Roman" w:cs="Times New Roman"/>
                <w:color w:val="auto"/>
                <w:spacing w:val="-1"/>
                <w:kern w:val="2"/>
                <w:sz w:val="24"/>
                <w:szCs w:val="24"/>
                <w:highlight w:val="none"/>
                <w:lang w:val="en-US" w:eastAsia="zh-CN"/>
              </w:rPr>
              <w:t>准入要求。本项目不与居民点、学校相邻，厂界与最近的居民点相距约175m，与最近的学校相距约261m</w:t>
            </w:r>
            <w:r>
              <w:rPr>
                <w:rFonts w:hint="default" w:ascii="Times New Roman" w:hAnsi="Times New Roman" w:cs="Times New Roman"/>
                <w:color w:val="auto"/>
                <w:spacing w:val="-1"/>
                <w:kern w:val="2"/>
                <w:sz w:val="24"/>
                <w:szCs w:val="24"/>
                <w:highlight w:val="none"/>
              </w:rPr>
              <w:t>。</w:t>
            </w:r>
            <w:r>
              <w:rPr>
                <w:rFonts w:hint="default" w:ascii="Times New Roman" w:hAnsi="Times New Roman" w:cs="Times New Roman"/>
                <w:color w:val="auto"/>
                <w:spacing w:val="-1"/>
                <w:kern w:val="2"/>
                <w:sz w:val="24"/>
                <w:szCs w:val="24"/>
                <w:highlight w:val="none"/>
                <w:lang w:val="en-US" w:eastAsia="zh-CN"/>
              </w:rPr>
              <w:t>本项目能源和资源消耗主要为电能，本项目生产废气处理措施不属于淘汰、落后类，各大气污染物经</w:t>
            </w:r>
            <w:r>
              <w:rPr>
                <w:rFonts w:hint="default" w:ascii="Times New Roman" w:hAnsi="Times New Roman" w:cs="Times New Roman"/>
                <w:color w:val="auto"/>
                <w:spacing w:val="-1"/>
                <w:kern w:val="2"/>
                <w:sz w:val="24"/>
                <w:szCs w:val="24"/>
                <w:highlight w:val="none"/>
                <w:lang w:eastAsia="zh-CN"/>
              </w:rPr>
              <w:t>收集、处理</w:t>
            </w:r>
            <w:r>
              <w:rPr>
                <w:rFonts w:hint="default" w:ascii="Times New Roman" w:hAnsi="Times New Roman" w:cs="Times New Roman"/>
                <w:color w:val="auto"/>
                <w:spacing w:val="-1"/>
                <w:kern w:val="2"/>
                <w:sz w:val="24"/>
                <w:szCs w:val="24"/>
                <w:highlight w:val="none"/>
                <w:lang w:val="en-US" w:eastAsia="zh-CN"/>
              </w:rPr>
              <w:t>后均能</w:t>
            </w:r>
            <w:r>
              <w:rPr>
                <w:rFonts w:hint="default" w:ascii="Times New Roman" w:hAnsi="Times New Roman" w:cs="Times New Roman"/>
                <w:color w:val="auto"/>
                <w:spacing w:val="-1"/>
                <w:kern w:val="2"/>
                <w:sz w:val="24"/>
                <w:szCs w:val="24"/>
                <w:highlight w:val="none"/>
                <w:lang w:eastAsia="zh-CN"/>
              </w:rPr>
              <w:t>达标排放，</w:t>
            </w:r>
            <w:r>
              <w:rPr>
                <w:rFonts w:hint="default" w:ascii="Times New Roman" w:hAnsi="Times New Roman" w:cs="Times New Roman"/>
                <w:color w:val="auto"/>
                <w:spacing w:val="-1"/>
                <w:kern w:val="2"/>
                <w:sz w:val="24"/>
                <w:szCs w:val="24"/>
                <w:highlight w:val="none"/>
                <w:lang w:val="en-US" w:eastAsia="zh-CN"/>
              </w:rPr>
              <w:t>原项目生产废气处理措施</w:t>
            </w:r>
            <w:r>
              <w:rPr>
                <w:rFonts w:hint="default" w:ascii="Times New Roman" w:hAnsi="Times New Roman" w:cs="Times New Roman"/>
                <w:color w:val="auto"/>
                <w:sz w:val="24"/>
                <w:szCs w:val="24"/>
                <w:highlight w:val="none"/>
                <w:lang w:val="en-US" w:eastAsia="zh-CN"/>
              </w:rPr>
              <w:t>通过“以新带老”将“</w:t>
            </w:r>
            <w:r>
              <w:rPr>
                <w:rFonts w:hint="default" w:ascii="Times New Roman" w:hAnsi="Times New Roman" w:cs="Times New Roman"/>
                <w:color w:val="auto"/>
                <w:sz w:val="24"/>
                <w:szCs w:val="24"/>
                <w:highlight w:val="none"/>
              </w:rPr>
              <w:t>UV光解+活性炭吸附塔</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改造成“二级活性炭吸附”</w:t>
            </w:r>
            <w:r>
              <w:rPr>
                <w:rFonts w:hint="default" w:ascii="Times New Roman" w:hAnsi="Times New Roman" w:cs="Times New Roman"/>
                <w:color w:val="auto"/>
                <w:spacing w:val="-1"/>
                <w:kern w:val="2"/>
                <w:sz w:val="24"/>
                <w:szCs w:val="24"/>
                <w:highlight w:val="none"/>
                <w:lang w:eastAsia="zh-CN"/>
              </w:rPr>
              <w:t>。</w:t>
            </w:r>
            <w:r>
              <w:rPr>
                <w:rFonts w:hint="default" w:ascii="Times New Roman" w:hAnsi="Times New Roman" w:cs="Times New Roman"/>
                <w:color w:val="auto"/>
                <w:spacing w:val="-1"/>
                <w:kern w:val="2"/>
                <w:sz w:val="24"/>
                <w:szCs w:val="24"/>
                <w:highlight w:val="none"/>
                <w:lang w:val="en-US" w:eastAsia="zh-CN"/>
              </w:rPr>
              <w:t>本项目不新增废水的排放，生产废气污染因子为颗粒物、挥发性有机物，挥发性有机物的实施总量控制，</w:t>
            </w:r>
            <w:r>
              <w:rPr>
                <w:rFonts w:hint="default" w:ascii="Times New Roman" w:hAnsi="Times New Roman" w:cs="Times New Roman"/>
                <w:color w:val="auto"/>
                <w:kern w:val="0"/>
                <w:sz w:val="24"/>
                <w:highlight w:val="none"/>
                <w:lang w:val="en-US" w:eastAsia="zh-CN"/>
              </w:rPr>
              <w:t>通过取消本企业原计划工程及“以新带老”措施</w:t>
            </w:r>
            <w:r>
              <w:rPr>
                <w:rFonts w:hint="default" w:ascii="Times New Roman" w:hAnsi="Times New Roman" w:cs="Times New Roman"/>
                <w:color w:val="auto"/>
                <w:spacing w:val="-1"/>
                <w:kern w:val="2"/>
                <w:sz w:val="24"/>
                <w:szCs w:val="24"/>
                <w:highlight w:val="none"/>
                <w:lang w:val="en-US" w:eastAsia="zh-CN"/>
              </w:rPr>
              <w:t>获得总量，</w:t>
            </w:r>
            <w:r>
              <w:rPr>
                <w:rFonts w:hint="default" w:ascii="Times New Roman" w:hAnsi="Times New Roman" w:cs="Times New Roman"/>
                <w:color w:val="auto"/>
                <w:kern w:val="0"/>
                <w:sz w:val="24"/>
                <w:highlight w:val="none"/>
                <w:lang w:val="en-US" w:eastAsia="zh-CN"/>
              </w:rPr>
              <w:t>无需额外申请总量指标</w:t>
            </w:r>
            <w:r>
              <w:rPr>
                <w:rFonts w:hint="default" w:ascii="Times New Roman" w:hAnsi="Times New Roman" w:cs="Times New Roman"/>
                <w:color w:val="auto"/>
                <w:spacing w:val="-1"/>
                <w:kern w:val="2"/>
                <w:sz w:val="24"/>
                <w:szCs w:val="24"/>
                <w:highlight w:val="none"/>
                <w:lang w:val="en-US" w:eastAsia="zh-CN"/>
              </w:rPr>
              <w:t>，不会超园区总量控制要求。因此，本项目与</w:t>
            </w:r>
            <w:r>
              <w:rPr>
                <w:rFonts w:hint="default" w:ascii="Times New Roman" w:hAnsi="Times New Roman" w:cs="Times New Roman"/>
                <w:b w:val="0"/>
                <w:bCs w:val="0"/>
                <w:color w:val="auto"/>
                <w:sz w:val="24"/>
                <w:highlight w:val="none"/>
                <w:lang w:eastAsia="zh-CN" w:bidi="ar"/>
              </w:rPr>
              <w:t>《韶关乐昌经济开发区规划环境影响报告书》</w:t>
            </w:r>
            <w:r>
              <w:rPr>
                <w:rFonts w:hint="default" w:ascii="Times New Roman" w:hAnsi="Times New Roman" w:cs="Times New Roman"/>
                <w:b w:val="0"/>
                <w:bCs w:val="0"/>
                <w:color w:val="auto"/>
                <w:sz w:val="24"/>
                <w:highlight w:val="none"/>
                <w:lang w:bidi="ar"/>
              </w:rPr>
              <w:t>及其审查意见相符</w:t>
            </w:r>
            <w:r>
              <w:rPr>
                <w:rFonts w:hint="default" w:ascii="Times New Roman" w:hAnsi="Times New Roman" w:cs="Times New Roman"/>
                <w:b w:val="0"/>
                <w:bCs w:val="0"/>
                <w:color w:val="auto"/>
                <w:sz w:val="24"/>
                <w:highlight w:val="none"/>
                <w:lang w:eastAsia="zh-CN" w:bidi="ar"/>
              </w:rPr>
              <w:t>。</w:t>
            </w:r>
          </w:p>
          <w:p w14:paraId="05238669">
            <w:pPr>
              <w:pStyle w:val="134"/>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76" w:lineRule="auto"/>
              <w:ind w:left="0" w:right="0"/>
              <w:rPr>
                <w:rFonts w:hint="default" w:ascii="Times New Roman" w:hAnsi="Times New Roman" w:eastAsia="宋体" w:cs="Times New Roman"/>
                <w:color w:val="auto"/>
                <w:kern w:val="2"/>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与</w:t>
            </w:r>
            <w:r>
              <w:rPr>
                <w:rFonts w:hint="default" w:ascii="Times New Roman" w:hAnsi="Times New Roman" w:cs="Times New Roman"/>
                <w:b/>
                <w:bCs/>
                <w:color w:val="auto"/>
                <w:sz w:val="24"/>
                <w:szCs w:val="24"/>
                <w:highlight w:val="none"/>
              </w:rPr>
              <w:t>城东片区总体生态环境准入清单</w:t>
            </w:r>
            <w:r>
              <w:rPr>
                <w:rFonts w:hint="default" w:ascii="Times New Roman" w:hAnsi="Times New Roman" w:cs="Times New Roman"/>
                <w:b/>
                <w:bCs/>
                <w:color w:val="auto"/>
                <w:sz w:val="24"/>
                <w:szCs w:val="24"/>
                <w:highlight w:val="none"/>
                <w:lang w:val="en-US" w:eastAsia="zh-CN"/>
              </w:rPr>
              <w:t>相符性分析</w:t>
            </w:r>
          </w:p>
          <w:tbl>
            <w:tblPr>
              <w:tblStyle w:val="26"/>
              <w:tblW w:w="7567" w:type="dxa"/>
              <w:tblInd w:w="-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6"/>
              <w:gridCol w:w="491"/>
              <w:gridCol w:w="2657"/>
              <w:gridCol w:w="3233"/>
              <w:gridCol w:w="750"/>
            </w:tblGrid>
            <w:tr w14:paraId="4C338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9C9B2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序号</w:t>
                  </w:r>
                </w:p>
              </w:tc>
              <w:tc>
                <w:tcPr>
                  <w:tcW w:w="4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6CF39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管控要求</w:t>
                  </w:r>
                </w:p>
              </w:tc>
              <w:tc>
                <w:tcPr>
                  <w:tcW w:w="26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83A5E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总体准入要求</w:t>
                  </w:r>
                </w:p>
              </w:tc>
              <w:tc>
                <w:tcPr>
                  <w:tcW w:w="32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ED4BF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项目情况</w:t>
                  </w:r>
                </w:p>
              </w:tc>
              <w:tc>
                <w:tcPr>
                  <w:tcW w:w="7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29FC4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相符性</w:t>
                  </w:r>
                </w:p>
              </w:tc>
            </w:tr>
            <w:tr w14:paraId="6BA0D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605D65D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91" w:type="dxa"/>
                  <w:vMerge w:val="restart"/>
                  <w:tcBorders>
                    <w:top w:val="nil"/>
                    <w:left w:val="single" w:color="000000" w:sz="8" w:space="0"/>
                    <w:bottom w:val="single" w:color="000000" w:sz="8" w:space="0"/>
                    <w:right w:val="single" w:color="000000" w:sz="8" w:space="0"/>
                  </w:tcBorders>
                  <w:shd w:val="clear" w:color="auto" w:fill="auto"/>
                  <w:vAlign w:val="center"/>
                </w:tcPr>
                <w:p w14:paraId="609E7FE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空间布局约束</w:t>
                  </w: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7A3AA02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引入产业应符合现行有效的《产业结构调整指导目录》、《市场准入负面清单》、《广东省国家重点生态功能区产业准入负面清单(试行）》等相关产业政策要求。</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0DE9815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rPr>
                    <w:t>本项目所属行业类别为</w:t>
                  </w:r>
                  <w:r>
                    <w:rPr>
                      <w:rFonts w:hint="default" w:ascii="Times New Roman" w:hAnsi="Times New Roman" w:cs="Times New Roman"/>
                      <w:color w:val="auto"/>
                      <w:sz w:val="21"/>
                      <w:szCs w:val="21"/>
                      <w:highlight w:val="none"/>
                    </w:rPr>
                    <w:t>C3360 金属表面处理及热处理加工</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i w:val="0"/>
                      <w:iCs w:val="0"/>
                      <w:color w:val="auto"/>
                      <w:sz w:val="21"/>
                      <w:szCs w:val="21"/>
                      <w:highlight w:val="none"/>
                      <w:u w:val="none"/>
                    </w:rPr>
                    <w:t>根据《产业结构调整指导目录（2024年本）》（国家发展和改革委员会令 第7号），本项目不属于指导目录中的鼓励类、限制类和淘汰类产业，符合国家有关法律、法规和政策规定，属于允许类。</w:t>
                  </w:r>
                </w:p>
                <w:p w14:paraId="6B39697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rPr>
                    <w:t>根据《国家发展改革委商务部关于印发&lt;市场准入负面清单（202</w:t>
                  </w:r>
                  <w:r>
                    <w:rPr>
                      <w:rFonts w:hint="default" w:ascii="Times New Roman" w:hAnsi="Times New Roman" w:eastAsia="宋体" w:cs="Times New Roman"/>
                      <w:i w:val="0"/>
                      <w:iCs w:val="0"/>
                      <w:color w:val="auto"/>
                      <w:sz w:val="21"/>
                      <w:szCs w:val="21"/>
                      <w:highlight w:val="none"/>
                      <w:u w:val="none"/>
                      <w:lang w:val="en-US" w:eastAsia="zh-CN"/>
                    </w:rPr>
                    <w:t>5</w:t>
                  </w:r>
                  <w:r>
                    <w:rPr>
                      <w:rFonts w:hint="default" w:ascii="Times New Roman" w:hAnsi="Times New Roman" w:eastAsia="宋体" w:cs="Times New Roman"/>
                      <w:i w:val="0"/>
                      <w:iCs w:val="0"/>
                      <w:color w:val="auto"/>
                      <w:sz w:val="21"/>
                      <w:szCs w:val="21"/>
                      <w:highlight w:val="none"/>
                      <w:u w:val="none"/>
                    </w:rPr>
                    <w:t>年版）&gt;的通知》（发改体改规〔2022〕397号）</w:t>
                  </w:r>
                  <w:r>
                    <w:rPr>
                      <w:rFonts w:hint="default" w:ascii="Times New Roman" w:hAnsi="Times New Roman" w:eastAsia="宋体" w:cs="Times New Roman"/>
                      <w:i w:val="0"/>
                      <w:iCs w:val="0"/>
                      <w:color w:val="auto"/>
                      <w:sz w:val="21"/>
                      <w:szCs w:val="21"/>
                      <w:highlight w:val="none"/>
                      <w:u w:val="none"/>
                      <w:lang w:eastAsia="zh-CN"/>
                    </w:rPr>
                    <w:t>、</w:t>
                  </w:r>
                  <w:r>
                    <w:rPr>
                      <w:rFonts w:hint="default" w:ascii="Times New Roman" w:hAnsi="Times New Roman" w:eastAsia="宋体" w:cs="Times New Roman"/>
                      <w:i w:val="0"/>
                      <w:iCs w:val="0"/>
                      <w:color w:val="auto"/>
                      <w:sz w:val="21"/>
                      <w:szCs w:val="21"/>
                      <w:highlight w:val="none"/>
                      <w:u w:val="none"/>
                    </w:rPr>
                    <w:t>《广东省国家重点生态功能区产业准入负面清单（试行）》（粤发改规划</w:t>
                  </w:r>
                  <w:r>
                    <w:rPr>
                      <w:rFonts w:hint="default" w:ascii="Times New Roman" w:hAnsi="Times New Roman" w:eastAsia="宋体" w:cs="Times New Roman"/>
                      <w:i w:val="0"/>
                      <w:iCs w:val="0"/>
                      <w:color w:val="auto"/>
                      <w:sz w:val="21"/>
                      <w:szCs w:val="21"/>
                      <w:highlight w:val="none"/>
                      <w:u w:val="none"/>
                      <w:lang w:eastAsia="zh-CN"/>
                    </w:rPr>
                    <w:t>〔2017〕331号</w:t>
                  </w:r>
                  <w:r>
                    <w:rPr>
                      <w:rFonts w:hint="default" w:ascii="Times New Roman" w:hAnsi="Times New Roman" w:eastAsia="宋体" w:cs="Times New Roman"/>
                      <w:i w:val="0"/>
                      <w:iCs w:val="0"/>
                      <w:color w:val="auto"/>
                      <w:sz w:val="21"/>
                      <w:szCs w:val="21"/>
                      <w:highlight w:val="none"/>
                      <w:u w:val="none"/>
                    </w:rPr>
                    <w:t>），</w:t>
                  </w:r>
                  <w:r>
                    <w:rPr>
                      <w:rFonts w:hint="default" w:ascii="Times New Roman" w:hAnsi="Times New Roman" w:eastAsia="宋体" w:cs="Times New Roman"/>
                      <w:i w:val="0"/>
                      <w:iCs w:val="0"/>
                      <w:color w:val="auto"/>
                      <w:sz w:val="21"/>
                      <w:szCs w:val="21"/>
                      <w:highlight w:val="none"/>
                      <w:u w:val="none"/>
                      <w:lang w:eastAsia="zh-CN"/>
                    </w:rPr>
                    <w:t>项目</w:t>
                  </w:r>
                  <w:r>
                    <w:rPr>
                      <w:rFonts w:hint="default" w:ascii="Times New Roman" w:hAnsi="Times New Roman" w:eastAsia="宋体" w:cs="Times New Roman"/>
                      <w:i w:val="0"/>
                      <w:iCs w:val="0"/>
                      <w:color w:val="auto"/>
                      <w:sz w:val="21"/>
                      <w:szCs w:val="21"/>
                      <w:highlight w:val="none"/>
                      <w:u w:val="none"/>
                    </w:rPr>
                    <w:t>不属于</w:t>
                  </w:r>
                  <w:r>
                    <w:rPr>
                      <w:rFonts w:hint="default" w:ascii="Times New Roman" w:hAnsi="Times New Roman" w:eastAsia="宋体" w:cs="Times New Roman"/>
                      <w:i w:val="0"/>
                      <w:iCs w:val="0"/>
                      <w:color w:val="auto"/>
                      <w:sz w:val="21"/>
                      <w:szCs w:val="21"/>
                      <w:highlight w:val="none"/>
                      <w:u w:val="none"/>
                      <w:lang w:val="en-US" w:eastAsia="zh-CN"/>
                    </w:rPr>
                    <w:t>负面清单所列行业，也不属于许可准入事项</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FF722E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4D5CE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67070DE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07F3F90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4DDE58D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严格控制高污染高能耗项目建设。新、改、扩建项目要达到国内清洁生产先进水平。</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7F8C86F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本项目不属于高污染高能耗项目</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0C264D6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30A2A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532E790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55BCCCA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4C705EE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禁止销售、燃用高污染燃料；禁止新建、扩建燃用高污染燃料的设施；禁止建设生产和使用高VOCs含量的溶剂型涂料、油墨、胶粘剂等项目。</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6046574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rPr>
                    <w:t>本项目所属行业类别为</w:t>
                  </w:r>
                  <w:r>
                    <w:rPr>
                      <w:rFonts w:hint="default" w:ascii="Times New Roman" w:hAnsi="Times New Roman" w:cs="Times New Roman"/>
                      <w:color w:val="auto"/>
                      <w:sz w:val="21"/>
                      <w:szCs w:val="21"/>
                      <w:highlight w:val="none"/>
                    </w:rPr>
                    <w:t>C3360 金属表面处理及热处理加工</w:t>
                  </w:r>
                  <w:r>
                    <w:rPr>
                      <w:rFonts w:hint="default" w:ascii="Times New Roman" w:hAnsi="Times New Roman" w:eastAsia="宋体" w:cs="Times New Roman"/>
                      <w:i w:val="0"/>
                      <w:iCs w:val="0"/>
                      <w:color w:val="auto"/>
                      <w:sz w:val="21"/>
                      <w:szCs w:val="21"/>
                      <w:highlight w:val="none"/>
                      <w:u w:val="none"/>
                    </w:rPr>
                    <w:t>，</w:t>
                  </w:r>
                  <w:r>
                    <w:rPr>
                      <w:rFonts w:hint="default" w:ascii="Times New Roman" w:hAnsi="Times New Roman" w:eastAsia="宋体" w:cs="Times New Roman"/>
                      <w:i w:val="0"/>
                      <w:iCs w:val="0"/>
                      <w:color w:val="auto"/>
                      <w:sz w:val="21"/>
                      <w:szCs w:val="21"/>
                      <w:highlight w:val="none"/>
                      <w:u w:val="none"/>
                      <w:lang w:val="en-US" w:eastAsia="zh-CN"/>
                    </w:rPr>
                    <w:t>为</w:t>
                  </w:r>
                  <w:r>
                    <w:rPr>
                      <w:rFonts w:hint="default" w:ascii="Times New Roman" w:hAnsi="Times New Roman" w:cs="Times New Roman"/>
                      <w:color w:val="auto"/>
                      <w:sz w:val="21"/>
                      <w:szCs w:val="21"/>
                      <w:highlight w:val="none"/>
                      <w:lang w:bidi="ar"/>
                    </w:rPr>
                    <w:t>原项目配套新增金属表面处理项目</w:t>
                  </w:r>
                  <w:r>
                    <w:rPr>
                      <w:rFonts w:hint="default" w:ascii="Times New Roman" w:hAnsi="Times New Roman" w:cs="Times New Roman"/>
                      <w:color w:val="auto"/>
                      <w:sz w:val="21"/>
                      <w:szCs w:val="21"/>
                      <w:highlight w:val="none"/>
                      <w:lang w:eastAsia="zh-CN" w:bidi="ar"/>
                    </w:rPr>
                    <w:t>（</w:t>
                  </w:r>
                  <w:r>
                    <w:rPr>
                      <w:rFonts w:hint="default" w:ascii="Times New Roman" w:hAnsi="Times New Roman" w:cs="Times New Roman"/>
                      <w:color w:val="auto"/>
                      <w:sz w:val="21"/>
                      <w:szCs w:val="21"/>
                      <w:highlight w:val="none"/>
                      <w:lang w:val="en-US" w:eastAsia="zh-CN" w:bidi="ar"/>
                    </w:rPr>
                    <w:t>喷漆）</w:t>
                  </w:r>
                  <w:r>
                    <w:rPr>
                      <w:rFonts w:hint="default" w:ascii="Times New Roman" w:hAnsi="Times New Roman" w:eastAsia="宋体" w:cs="Times New Roman"/>
                      <w:i w:val="0"/>
                      <w:iCs w:val="0"/>
                      <w:color w:val="auto"/>
                      <w:sz w:val="21"/>
                      <w:szCs w:val="21"/>
                      <w:highlight w:val="none"/>
                      <w:u w:val="none"/>
                      <w:lang w:val="en-US" w:eastAsia="zh-CN"/>
                    </w:rPr>
                    <w:t>，不涉及</w:t>
                  </w:r>
                  <w:r>
                    <w:rPr>
                      <w:rFonts w:hint="default" w:ascii="Times New Roman" w:hAnsi="Times New Roman" w:eastAsia="宋体" w:cs="Times New Roman"/>
                      <w:i w:val="0"/>
                      <w:iCs w:val="0"/>
                      <w:color w:val="auto"/>
                      <w:kern w:val="0"/>
                      <w:sz w:val="21"/>
                      <w:szCs w:val="21"/>
                      <w:highlight w:val="none"/>
                      <w:u w:val="none"/>
                      <w:lang w:val="en-US" w:eastAsia="zh-CN" w:bidi="ar"/>
                    </w:rPr>
                    <w:t>销售、燃用高污染燃料、新建、扩建燃用高污染燃料的设施；本项目</w:t>
                  </w:r>
                  <w:r>
                    <w:rPr>
                      <w:rFonts w:hint="default" w:ascii="Times New Roman" w:hAnsi="Times New Roman" w:cs="Times New Roman"/>
                      <w:color w:val="auto"/>
                      <w:kern w:val="0"/>
                      <w:sz w:val="21"/>
                      <w:szCs w:val="21"/>
                      <w:highlight w:val="none"/>
                      <w:lang w:bidi="ar"/>
                    </w:rPr>
                    <w:t>调配后的油性漆在喷漆过程中挥发性有机化合物含量（VOCs）为384g/L，</w:t>
                  </w:r>
                  <w:r>
                    <w:rPr>
                      <w:rFonts w:hint="default" w:ascii="Times New Roman" w:hAnsi="Times New Roman" w:cs="Times New Roman"/>
                      <w:color w:val="auto"/>
                      <w:sz w:val="21"/>
                      <w:szCs w:val="21"/>
                      <w:highlight w:val="none"/>
                      <w:lang w:bidi="ar"/>
                    </w:rPr>
                    <w:t>油性漆VOCs含量详见附件14</w:t>
                  </w:r>
                  <w:r>
                    <w:rPr>
                      <w:rFonts w:hint="default" w:ascii="Times New Roman" w:hAnsi="Times New Roman" w:cs="Times New Roman"/>
                      <w:color w:val="auto"/>
                      <w:sz w:val="21"/>
                      <w:szCs w:val="21"/>
                      <w:highlight w:val="none"/>
                      <w:lang w:eastAsia="zh-CN" w:bidi="ar"/>
                    </w:rPr>
                    <w:t>，</w:t>
                  </w:r>
                  <w:r>
                    <w:rPr>
                      <w:rFonts w:hint="default" w:ascii="Times New Roman" w:hAnsi="Times New Roman" w:cs="Times New Roman"/>
                      <w:color w:val="auto"/>
                      <w:kern w:val="0"/>
                      <w:sz w:val="21"/>
                      <w:szCs w:val="21"/>
                      <w:highlight w:val="none"/>
                      <w:lang w:bidi="ar"/>
                    </w:rPr>
                    <w:t>调配后的油性漆符合《低挥发性有机化合物含量涂料产品技术要求》（GB/T 38597-2020）表2 溶剂型涂料中VOC含量的要求－港口机械和化工机械涂料(含零部件涂料)面漆≤450g/L</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08BAA61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78C4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0C400D8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079DF74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39B2323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禁止新建、扩建专业电镀、鞣革、印染、化学制浆等水污染物排放量大或排放一类污染物、持久性有机污染物的项目。</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28FF7C9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rPr>
                    <w:t>本项目所属行业类别为</w:t>
                  </w:r>
                  <w:r>
                    <w:rPr>
                      <w:rFonts w:hint="default" w:ascii="Times New Roman" w:hAnsi="Times New Roman" w:cs="Times New Roman"/>
                      <w:color w:val="auto"/>
                      <w:sz w:val="21"/>
                      <w:szCs w:val="21"/>
                      <w:highlight w:val="none"/>
                    </w:rPr>
                    <w:t>C3360 金属表面处理及热处理加工</w:t>
                  </w:r>
                  <w:r>
                    <w:rPr>
                      <w:rFonts w:hint="default" w:ascii="Times New Roman" w:hAnsi="Times New Roman" w:eastAsia="宋体" w:cs="Times New Roman"/>
                      <w:i w:val="0"/>
                      <w:iCs w:val="0"/>
                      <w:color w:val="auto"/>
                      <w:sz w:val="21"/>
                      <w:szCs w:val="21"/>
                      <w:highlight w:val="none"/>
                      <w:u w:val="none"/>
                    </w:rPr>
                    <w:t>，</w:t>
                  </w:r>
                  <w:r>
                    <w:rPr>
                      <w:rFonts w:hint="default" w:ascii="Times New Roman" w:hAnsi="Times New Roman" w:eastAsia="宋体" w:cs="Times New Roman"/>
                      <w:i w:val="0"/>
                      <w:iCs w:val="0"/>
                      <w:color w:val="auto"/>
                      <w:sz w:val="21"/>
                      <w:szCs w:val="21"/>
                      <w:highlight w:val="none"/>
                      <w:u w:val="none"/>
                      <w:lang w:val="en-US" w:eastAsia="zh-CN"/>
                    </w:rPr>
                    <w:t>为</w:t>
                  </w:r>
                  <w:r>
                    <w:rPr>
                      <w:rFonts w:hint="default" w:ascii="Times New Roman" w:hAnsi="Times New Roman" w:cs="Times New Roman"/>
                      <w:color w:val="auto"/>
                      <w:sz w:val="21"/>
                      <w:szCs w:val="21"/>
                      <w:highlight w:val="none"/>
                      <w:lang w:bidi="ar"/>
                    </w:rPr>
                    <w:t>原项目配套新增金属表面处理项目</w:t>
                  </w:r>
                  <w:r>
                    <w:rPr>
                      <w:rFonts w:hint="default" w:ascii="Times New Roman" w:hAnsi="Times New Roman" w:cs="Times New Roman"/>
                      <w:color w:val="auto"/>
                      <w:sz w:val="21"/>
                      <w:szCs w:val="21"/>
                      <w:highlight w:val="none"/>
                      <w:lang w:eastAsia="zh-CN" w:bidi="ar"/>
                    </w:rPr>
                    <w:t>（</w:t>
                  </w:r>
                  <w:r>
                    <w:rPr>
                      <w:rFonts w:hint="default" w:ascii="Times New Roman" w:hAnsi="Times New Roman" w:cs="Times New Roman"/>
                      <w:color w:val="auto"/>
                      <w:sz w:val="21"/>
                      <w:szCs w:val="21"/>
                      <w:highlight w:val="none"/>
                      <w:lang w:val="en-US" w:eastAsia="zh-CN" w:bidi="ar"/>
                    </w:rPr>
                    <w:t>喷漆）</w:t>
                  </w:r>
                  <w:r>
                    <w:rPr>
                      <w:rFonts w:hint="default" w:ascii="Times New Roman" w:hAnsi="Times New Roman" w:eastAsia="宋体" w:cs="Times New Roman"/>
                      <w:i w:val="0"/>
                      <w:iCs w:val="0"/>
                      <w:color w:val="auto"/>
                      <w:sz w:val="21"/>
                      <w:szCs w:val="21"/>
                      <w:highlight w:val="none"/>
                      <w:u w:val="none"/>
                      <w:lang w:val="en-US" w:eastAsia="zh-CN"/>
                    </w:rPr>
                    <w:t>，不属于</w:t>
                  </w:r>
                  <w:r>
                    <w:rPr>
                      <w:rFonts w:hint="default" w:ascii="Times New Roman" w:hAnsi="Times New Roman" w:eastAsia="宋体" w:cs="Times New Roman"/>
                      <w:i w:val="0"/>
                      <w:iCs w:val="0"/>
                      <w:color w:val="auto"/>
                      <w:kern w:val="0"/>
                      <w:sz w:val="21"/>
                      <w:szCs w:val="21"/>
                      <w:highlight w:val="none"/>
                      <w:u w:val="none"/>
                      <w:lang w:val="en-US" w:eastAsia="zh-CN" w:bidi="ar"/>
                    </w:rPr>
                    <w:t>新建、扩建专业电镀、鞣革、印染、化学制浆等水污染物排放量大或排放一类污染物、持久性有机污染物的项目</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172730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19D63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03FC0BE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69B3219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64391F5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与中部规划居住用地、行政办公用地、教育用地等敏感区域临近的区域优先引进无污染的生产性服务业，布置废气排放量小、工业噪声影响小及没有恶臭气体产生的产业。学校周围直线延伸二百米范围内禁止设立易燃易爆、剧毒、放射性、腐蚀性等危险物品的生产、经营、储存、使用场所或者设施。临近南岸村、饮用水源准保护区等敏感用地优先引进无污染的生产性服务业，布置废气排放量小、工业噪声影响小及没有恶臭气体产生的产业。相关项目环评阶段应充分论证、优化项目布局以及按照相关要求确定大气环境防护距离。</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59DA883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cs="Times New Roman"/>
                      <w:color w:val="auto"/>
                      <w:spacing w:val="-1"/>
                      <w:kern w:val="2"/>
                      <w:sz w:val="21"/>
                      <w:szCs w:val="21"/>
                      <w:highlight w:val="none"/>
                      <w:lang w:val="en-US" w:eastAsia="zh-CN"/>
                    </w:rPr>
                    <w:t>本项目不与</w:t>
                  </w:r>
                  <w:r>
                    <w:rPr>
                      <w:rFonts w:hint="default" w:ascii="Times New Roman" w:hAnsi="Times New Roman" w:eastAsia="宋体" w:cs="Times New Roman"/>
                      <w:i w:val="0"/>
                      <w:iCs w:val="0"/>
                      <w:color w:val="auto"/>
                      <w:kern w:val="0"/>
                      <w:sz w:val="21"/>
                      <w:szCs w:val="21"/>
                      <w:highlight w:val="none"/>
                      <w:u w:val="none"/>
                      <w:lang w:val="en-US" w:eastAsia="zh-CN" w:bidi="ar"/>
                    </w:rPr>
                    <w:t>居住用地、行政办公用地、教育用地</w:t>
                  </w:r>
                  <w:r>
                    <w:rPr>
                      <w:rFonts w:hint="default" w:ascii="Times New Roman" w:hAnsi="Times New Roman" w:cs="Times New Roman"/>
                      <w:color w:val="auto"/>
                      <w:spacing w:val="-1"/>
                      <w:kern w:val="2"/>
                      <w:sz w:val="21"/>
                      <w:szCs w:val="21"/>
                      <w:highlight w:val="none"/>
                      <w:lang w:val="en-US" w:eastAsia="zh-CN"/>
                    </w:rPr>
                    <w:t>相邻，厂界与最近的学校相距约261m，</w:t>
                  </w:r>
                  <w:r>
                    <w:rPr>
                      <w:rFonts w:hint="default" w:ascii="Times New Roman" w:hAnsi="Times New Roman" w:eastAsia="宋体" w:cs="Times New Roman"/>
                      <w:i w:val="0"/>
                      <w:iCs w:val="0"/>
                      <w:color w:val="auto"/>
                      <w:sz w:val="21"/>
                      <w:szCs w:val="21"/>
                      <w:highlight w:val="none"/>
                      <w:u w:val="none"/>
                      <w:lang w:val="en-US" w:eastAsia="zh-CN"/>
                    </w:rPr>
                    <w:t>本项目厂界外500m范围内无自然保护区、风景名胜区等敏感点，无大气环境防护距离要求。</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19EE04C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3E1EA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74C160B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296A9C6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63FE007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与饮用水源准保护区重叠区域划定为优先保护单元，不进行工业开发利用，禁止新建、扩建对水体污染严重的建设项目，改建项目不得增加排污量。</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3564AF2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本项目建设范围不涉及饮用水源准保护区红线范围，不属于水体污染严重的建设项目。</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28C16FD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6E9D0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18E44B1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5A4C8D0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48675B3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在永久基本农田以及居民区、学校、医疗和养老机构等单位周边，避免新建涉重金属、多环芳烃类等持久性有机污染物企业。永久基本农田集中区域内，禁止建设工业固体废物、危险废物集中贮存、利用、处置的设施、场所。</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2DA0CF0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sz w:val="21"/>
                      <w:szCs w:val="21"/>
                      <w:highlight w:val="none"/>
                      <w:u w:val="none"/>
                      <w:lang w:val="en-US" w:eastAsia="zh-CN"/>
                    </w:rPr>
                    <w:t>本项目不涉及</w:t>
                  </w:r>
                  <w:r>
                    <w:rPr>
                      <w:rFonts w:hint="default" w:ascii="Times New Roman" w:hAnsi="Times New Roman" w:eastAsia="宋体" w:cs="Times New Roman"/>
                      <w:i w:val="0"/>
                      <w:iCs w:val="0"/>
                      <w:color w:val="auto"/>
                      <w:kern w:val="0"/>
                      <w:sz w:val="21"/>
                      <w:szCs w:val="21"/>
                      <w:highlight w:val="none"/>
                      <w:u w:val="none"/>
                      <w:lang w:val="en-US" w:eastAsia="zh-CN" w:bidi="ar"/>
                    </w:rPr>
                    <w:t>重金属、多环芳烃类等持久性有机污染物，本项目周边无永久基本农田。</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1B1998B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5EBBE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5"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29CD827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491" w:type="dxa"/>
                  <w:vMerge w:val="restart"/>
                  <w:tcBorders>
                    <w:top w:val="nil"/>
                    <w:left w:val="single" w:color="000000" w:sz="8" w:space="0"/>
                    <w:bottom w:val="single" w:color="000000" w:sz="8" w:space="0"/>
                    <w:right w:val="single" w:color="000000" w:sz="8" w:space="0"/>
                  </w:tcBorders>
                  <w:shd w:val="clear" w:color="auto" w:fill="auto"/>
                  <w:vAlign w:val="center"/>
                </w:tcPr>
                <w:p w14:paraId="0B2CCC9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污染物排放管控</w:t>
                  </w: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5072D92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在可核查、可监管的基础上，新建项目原则上实施氮氧化物(NOx)和挥发性有机物(VOCs)等量替代。</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4A5213C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rPr>
                    <w:t>本项目</w:t>
                  </w:r>
                  <w:r>
                    <w:rPr>
                      <w:rFonts w:hint="default" w:ascii="Times New Roman" w:hAnsi="Times New Roman" w:eastAsia="宋体" w:cs="Times New Roman"/>
                      <w:i w:val="0"/>
                      <w:iCs w:val="0"/>
                      <w:color w:val="auto"/>
                      <w:sz w:val="21"/>
                      <w:szCs w:val="21"/>
                      <w:highlight w:val="none"/>
                      <w:u w:val="none"/>
                      <w:lang w:val="en-US" w:eastAsia="zh-CN"/>
                    </w:rPr>
                    <w:t>不排放氮氧化物，</w:t>
                  </w:r>
                  <w:r>
                    <w:rPr>
                      <w:rFonts w:hint="default" w:ascii="Times New Roman" w:hAnsi="Times New Roman" w:cs="Times New Roman"/>
                      <w:color w:val="auto"/>
                      <w:sz w:val="21"/>
                      <w:szCs w:val="21"/>
                      <w:highlight w:val="none"/>
                    </w:rPr>
                    <w:t>排放的挥发性有机物的排放量为</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eastAsia="zh-CN" w:bidi="ar"/>
                    </w:rPr>
                    <w:t>0.</w:t>
                  </w:r>
                  <w:r>
                    <w:rPr>
                      <w:rFonts w:hint="default" w:ascii="Times New Roman" w:hAnsi="Times New Roman" w:cs="Times New Roman"/>
                      <w:color w:val="auto"/>
                      <w:kern w:val="0"/>
                      <w:sz w:val="21"/>
                      <w:szCs w:val="21"/>
                      <w:highlight w:val="none"/>
                      <w:lang w:val="en-US" w:eastAsia="zh-CN" w:bidi="ar"/>
                    </w:rPr>
                    <w:t>343</w:t>
                  </w:r>
                  <w:r>
                    <w:rPr>
                      <w:rFonts w:hint="default" w:ascii="Times New Roman" w:hAnsi="Times New Roman" w:cs="Times New Roman"/>
                      <w:color w:val="auto"/>
                      <w:kern w:val="0"/>
                      <w:sz w:val="21"/>
                      <w:szCs w:val="21"/>
                      <w:highlight w:val="none"/>
                    </w:rPr>
                    <w:t>t/a（有组织排放量</w:t>
                  </w:r>
                  <w:r>
                    <w:rPr>
                      <w:rFonts w:hint="default" w:ascii="Times New Roman" w:hAnsi="Times New Roman" w:cs="Times New Roman"/>
                      <w:color w:val="auto"/>
                      <w:kern w:val="0"/>
                      <w:sz w:val="21"/>
                      <w:szCs w:val="21"/>
                      <w:highlight w:val="none"/>
                      <w:lang w:bidi="ar"/>
                    </w:rPr>
                    <w:t>0.</w:t>
                  </w:r>
                  <w:r>
                    <w:rPr>
                      <w:rFonts w:hint="default" w:ascii="Times New Roman" w:hAnsi="Times New Roman" w:cs="Times New Roman"/>
                      <w:color w:val="auto"/>
                      <w:kern w:val="0"/>
                      <w:sz w:val="21"/>
                      <w:szCs w:val="21"/>
                      <w:highlight w:val="none"/>
                      <w:lang w:val="en-US" w:eastAsia="zh-CN" w:bidi="ar"/>
                    </w:rPr>
                    <w:t>180</w:t>
                  </w:r>
                  <w:r>
                    <w:rPr>
                      <w:rFonts w:hint="default" w:ascii="Times New Roman" w:hAnsi="Times New Roman" w:cs="Times New Roman"/>
                      <w:color w:val="auto"/>
                      <w:kern w:val="0"/>
                      <w:sz w:val="21"/>
                      <w:szCs w:val="21"/>
                      <w:highlight w:val="none"/>
                    </w:rPr>
                    <w:t>t/a，无组织排放量</w:t>
                  </w:r>
                  <w:r>
                    <w:rPr>
                      <w:rFonts w:hint="default" w:ascii="Times New Roman" w:hAnsi="Times New Roman" w:cs="Times New Roman"/>
                      <w:color w:val="auto"/>
                      <w:kern w:val="0"/>
                      <w:sz w:val="21"/>
                      <w:szCs w:val="21"/>
                      <w:highlight w:val="none"/>
                      <w:lang w:bidi="ar"/>
                    </w:rPr>
                    <w:t>0.</w:t>
                  </w:r>
                  <w:r>
                    <w:rPr>
                      <w:rFonts w:hint="default" w:ascii="Times New Roman" w:hAnsi="Times New Roman" w:cs="Times New Roman"/>
                      <w:color w:val="auto"/>
                      <w:kern w:val="0"/>
                      <w:sz w:val="21"/>
                      <w:szCs w:val="21"/>
                      <w:highlight w:val="none"/>
                      <w:lang w:val="en-US" w:eastAsia="zh-CN" w:bidi="ar"/>
                    </w:rPr>
                    <w:t>163</w:t>
                  </w:r>
                  <w:r>
                    <w:rPr>
                      <w:rFonts w:hint="default" w:ascii="Times New Roman" w:hAnsi="Times New Roman" w:cs="Times New Roman"/>
                      <w:color w:val="auto"/>
                      <w:kern w:val="0"/>
                      <w:sz w:val="21"/>
                      <w:szCs w:val="21"/>
                      <w:highlight w:val="none"/>
                      <w:lang w:bidi="ar"/>
                    </w:rPr>
                    <w:t>t</w:t>
                  </w:r>
                  <w:r>
                    <w:rPr>
                      <w:rFonts w:hint="default" w:ascii="Times New Roman" w:hAnsi="Times New Roman" w:cs="Times New Roman"/>
                      <w:color w:val="auto"/>
                      <w:kern w:val="0"/>
                      <w:sz w:val="21"/>
                      <w:szCs w:val="21"/>
                      <w:highlight w:val="none"/>
                    </w:rPr>
                    <w:t>/a）</w:t>
                  </w:r>
                  <w:r>
                    <w:rPr>
                      <w:rFonts w:hint="default" w:ascii="Times New Roman" w:hAnsi="Times New Roman" w:cs="Times New Roman"/>
                      <w:color w:val="auto"/>
                      <w:kern w:val="0"/>
                      <w:sz w:val="21"/>
                      <w:szCs w:val="21"/>
                      <w:highlight w:val="none"/>
                      <w:lang w:eastAsia="zh-CN"/>
                    </w:rPr>
                    <w:t>，</w:t>
                  </w:r>
                  <w:r>
                    <w:rPr>
                      <w:rFonts w:hint="default" w:ascii="Times New Roman" w:hAnsi="Times New Roman" w:cs="Times New Roman"/>
                      <w:color w:val="auto"/>
                      <w:kern w:val="0"/>
                      <w:sz w:val="21"/>
                      <w:szCs w:val="21"/>
                      <w:highlight w:val="none"/>
                      <w:lang w:val="en-US" w:eastAsia="zh-CN"/>
                    </w:rPr>
                    <w:t>通过取消本企业原计划工程及“以新带老”措施</w:t>
                  </w:r>
                  <w:r>
                    <w:rPr>
                      <w:rFonts w:hint="default" w:ascii="Times New Roman" w:hAnsi="Times New Roman" w:cs="Times New Roman"/>
                      <w:color w:val="auto"/>
                      <w:spacing w:val="-1"/>
                      <w:kern w:val="2"/>
                      <w:sz w:val="21"/>
                      <w:szCs w:val="21"/>
                      <w:highlight w:val="none"/>
                      <w:lang w:val="en-US" w:eastAsia="zh-CN"/>
                    </w:rPr>
                    <w:t>获得总量，</w:t>
                  </w:r>
                  <w:r>
                    <w:rPr>
                      <w:rFonts w:hint="default" w:ascii="Times New Roman" w:hAnsi="Times New Roman" w:cs="Times New Roman"/>
                      <w:color w:val="auto"/>
                      <w:kern w:val="0"/>
                      <w:sz w:val="21"/>
                      <w:szCs w:val="21"/>
                      <w:highlight w:val="none"/>
                      <w:lang w:val="en-US" w:eastAsia="zh-CN"/>
                    </w:rPr>
                    <w:t>无需额外申请总量指标</w:t>
                  </w:r>
                  <w:r>
                    <w:rPr>
                      <w:rFonts w:hint="default" w:ascii="Times New Roman" w:hAnsi="Times New Roman" w:cs="Times New Roman"/>
                      <w:color w:val="auto"/>
                      <w:kern w:val="0"/>
                      <w:sz w:val="21"/>
                      <w:szCs w:val="21"/>
                      <w:highlight w:val="none"/>
                    </w:rPr>
                    <w:t>。</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D15B89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288A0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707F611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1E3A673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50113A0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根据《广东省生态环境厅关于在重点区域执行污染物特别排放限值的公告》(粤环发(2023)1号)要求，执行相应特别排放限值要求。</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2249D8F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本项目不涉及。</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29402F3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016A7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4002967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197DF6D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2CF23DE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开发区内各企业污废水原则上应接入园区污水处理厂进行集中处理、达标排放。各企业生产废水需经预处理达到广东省《水污染物排放限值》(DB4426-2001)第二时段三级标准、所属行业排放标准(间接排放)，以及污水处理厂接管标准后，方可与规划区生活污水通过污水管线一并进入园区污水处理厂处理。</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369B797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color w:val="auto"/>
                      <w:sz w:val="21"/>
                      <w:szCs w:val="21"/>
                      <w:highlight w:val="none"/>
                    </w:rPr>
                    <w:t>本项目运营期无生产废水产生和排放；本项目从原项目调配人员，不新增员工，不新增生活污水</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CC4C11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43274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76777E7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2CB11BD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6D4DDA4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新建燃气锅炉废气执行《锅炉大气污染物排放标准》(DB44/765-2019)表3大气污染物特别排放限值:现有单台出力1蒸吨/小时(0.7兆瓦)以上，65蒸吨/小时及以下燃气锅炉执行《锅炉大气污染物排放标准》(DB44/765-2019)表3大气污染物特别排放限值;其它行业工艺废气有行业标准的执行行业标准，无行业标准的排放执行广东省地方标准《大气污染物排放限值》DB44/27-2001)第二时段二级标准。</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30292228">
                  <w:pPr>
                    <w:widowControl/>
                    <w:spacing w:line="240" w:lineRule="auto"/>
                    <w:ind w:firstLine="420" w:firstLineChars="200"/>
                    <w:jc w:val="left"/>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本项目不涉及新建燃气锅炉。</w:t>
                  </w:r>
                  <w:r>
                    <w:rPr>
                      <w:rFonts w:hint="default" w:ascii="Times New Roman" w:hAnsi="Times New Roman" w:cs="Times New Roman"/>
                      <w:color w:val="auto"/>
                      <w:kern w:val="0"/>
                      <w:sz w:val="21"/>
                      <w:szCs w:val="21"/>
                      <w:highlight w:val="none"/>
                      <w:lang w:val="en-US" w:eastAsia="zh-CN" w:bidi="ar"/>
                    </w:rPr>
                    <w:t>本项目</w:t>
                  </w:r>
                  <w:r>
                    <w:rPr>
                      <w:rFonts w:hint="default" w:ascii="Times New Roman" w:hAnsi="Times New Roman" w:cs="Times New Roman"/>
                      <w:color w:val="auto"/>
                      <w:sz w:val="21"/>
                      <w:szCs w:val="21"/>
                      <w:highlight w:val="none"/>
                    </w:rPr>
                    <w:t>对原项目的铸钢件、铸铁件进行喷漆/喷粉，</w:t>
                  </w:r>
                  <w:r>
                    <w:rPr>
                      <w:rFonts w:hint="default" w:ascii="Times New Roman" w:hAnsi="Times New Roman" w:cs="Times New Roman"/>
                      <w:color w:val="auto"/>
                      <w:sz w:val="21"/>
                      <w:szCs w:val="21"/>
                      <w:highlight w:val="none"/>
                      <w:lang w:val="en-US" w:eastAsia="zh-CN"/>
                    </w:rPr>
                    <w:t>因此本项目喷粉、喷漆工序为铸件的表面涂装工序，因此本项目</w:t>
                  </w:r>
                  <w:r>
                    <w:rPr>
                      <w:rFonts w:hint="default" w:ascii="Times New Roman" w:hAnsi="Times New Roman" w:cs="Times New Roman"/>
                      <w:color w:val="auto"/>
                      <w:kern w:val="0"/>
                      <w:sz w:val="21"/>
                      <w:szCs w:val="21"/>
                      <w:highlight w:val="none"/>
                      <w:lang w:bidi="ar"/>
                    </w:rPr>
                    <w:t>有组织废气：颗粒物</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val="en-US" w:eastAsia="zh-CN" w:bidi="ar"/>
                    </w:rPr>
                    <w:t>TVOC、二甲苯</w:t>
                  </w:r>
                  <w:r>
                    <w:rPr>
                      <w:rFonts w:hint="default" w:ascii="Times New Roman" w:hAnsi="Times New Roman" w:cs="Times New Roman"/>
                      <w:color w:val="auto"/>
                      <w:kern w:val="0"/>
                      <w:sz w:val="21"/>
                      <w:szCs w:val="21"/>
                      <w:highlight w:val="none"/>
                      <w:lang w:bidi="ar"/>
                    </w:rPr>
                    <w:t>执行</w:t>
                  </w:r>
                  <w:r>
                    <w:rPr>
                      <w:rFonts w:hint="default" w:ascii="Times New Roman" w:hAnsi="Times New Roman" w:cs="Times New Roman"/>
                      <w:color w:val="auto"/>
                      <w:sz w:val="21"/>
                      <w:szCs w:val="21"/>
                      <w:highlight w:val="none"/>
                    </w:rPr>
                    <w:t>《铸造工业大气污染物排放标准》（GB 39726—2020）</w:t>
                  </w:r>
                  <w:r>
                    <w:rPr>
                      <w:rFonts w:hint="default" w:ascii="Times New Roman" w:hAnsi="Times New Roman" w:cs="Times New Roman"/>
                      <w:color w:val="auto"/>
                      <w:sz w:val="21"/>
                      <w:szCs w:val="21"/>
                      <w:highlight w:val="none"/>
                      <w:lang w:val="en-US" w:eastAsia="zh-CN"/>
                    </w:rPr>
                    <w:t>表1大气污染物排放限值</w:t>
                  </w:r>
                  <w:r>
                    <w:rPr>
                      <w:rFonts w:hint="default" w:ascii="Times New Roman" w:hAnsi="Times New Roman" w:cs="Times New Roman"/>
                      <w:bCs/>
                      <w:color w:val="auto"/>
                      <w:sz w:val="21"/>
                      <w:szCs w:val="21"/>
                      <w:highlight w:val="none"/>
                      <w:lang w:eastAsia="zh-CN"/>
                    </w:rPr>
                    <w:t>；</w:t>
                  </w:r>
                  <w:r>
                    <w:rPr>
                      <w:rFonts w:hint="default" w:ascii="Times New Roman" w:hAnsi="Times New Roman" w:cs="Times New Roman"/>
                      <w:color w:val="auto"/>
                      <w:sz w:val="21"/>
                      <w:szCs w:val="21"/>
                      <w:highlight w:val="none"/>
                    </w:rPr>
                    <w:t>厂界颗粒物、</w:t>
                  </w:r>
                  <w:r>
                    <w:rPr>
                      <w:rFonts w:hint="default" w:ascii="Times New Roman" w:hAnsi="Times New Roman" w:cs="Times New Roman"/>
                      <w:snapToGrid w:val="0"/>
                      <w:color w:val="auto"/>
                      <w:sz w:val="21"/>
                      <w:szCs w:val="21"/>
                      <w:highlight w:val="none"/>
                    </w:rPr>
                    <w:t>非甲烷总烃</w:t>
                  </w:r>
                  <w:r>
                    <w:rPr>
                      <w:rFonts w:hint="default" w:ascii="Times New Roman" w:hAnsi="Times New Roman" w:cs="Times New Roman"/>
                      <w:color w:val="auto"/>
                      <w:sz w:val="21"/>
                      <w:szCs w:val="21"/>
                      <w:highlight w:val="none"/>
                    </w:rPr>
                    <w:t>执行广东省地方标准《大气污染物排放限值》（DB44/27-2001）第二时段无组织排放监控浓度限值</w:t>
                  </w:r>
                  <w:r>
                    <w:rPr>
                      <w:rFonts w:hint="default" w:ascii="Times New Roman" w:hAnsi="Times New Roman" w:cs="Times New Roman"/>
                      <w:color w:val="auto"/>
                      <w:sz w:val="21"/>
                      <w:szCs w:val="21"/>
                      <w:highlight w:val="none"/>
                      <w:lang w:eastAsia="zh-CN"/>
                    </w:rPr>
                    <w:t>；</w:t>
                  </w:r>
                  <w:r>
                    <w:rPr>
                      <w:rStyle w:val="130"/>
                      <w:rFonts w:hint="default" w:ascii="Times New Roman" w:hAnsi="Times New Roman" w:cs="Times New Roman"/>
                      <w:color w:val="auto"/>
                      <w:sz w:val="21"/>
                      <w:szCs w:val="21"/>
                      <w:highlight w:val="none"/>
                    </w:rPr>
                    <w:t>厂区内</w:t>
                  </w:r>
                  <w:r>
                    <w:rPr>
                      <w:rStyle w:val="130"/>
                      <w:rFonts w:hint="default" w:ascii="Times New Roman" w:hAnsi="Times New Roman" w:cs="Times New Roman"/>
                      <w:color w:val="auto"/>
                      <w:sz w:val="21"/>
                      <w:szCs w:val="21"/>
                      <w:highlight w:val="none"/>
                      <w:lang w:val="en-US" w:eastAsia="zh-CN"/>
                    </w:rPr>
                    <w:t>无组织颗粒物、NMHC执行《铸造工业大气污染物排放标准》（GB 39726—2020）表A.1厂区内颗粒物、VOCs无组织排放限值。</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34B8A45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1B77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454EF3B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404B108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3910C34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产生固体废物(含危险废物)的企业须配套建设符合规范且满足需求的贮存场所，固体废物(含危险废物)贮存、转移过程中应配套防扬散、防流失、防渗漏及其它防止污染环境的措施。</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2CED0D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本项目已</w:t>
                  </w:r>
                  <w:r>
                    <w:rPr>
                      <w:rFonts w:hint="default" w:ascii="Times New Roman" w:hAnsi="Times New Roman" w:eastAsia="宋体" w:cs="Times New Roman"/>
                      <w:i w:val="0"/>
                      <w:iCs w:val="0"/>
                      <w:color w:val="auto"/>
                      <w:sz w:val="21"/>
                      <w:szCs w:val="21"/>
                      <w:highlight w:val="none"/>
                      <w:u w:val="none"/>
                    </w:rPr>
                    <w:t>配套建设符合规范且满足需求的贮存场所，固体废物(含危险废物)贮存、转移过程中</w:t>
                  </w:r>
                  <w:r>
                    <w:rPr>
                      <w:rFonts w:hint="default" w:ascii="Times New Roman" w:hAnsi="Times New Roman" w:eastAsia="宋体" w:cs="Times New Roman"/>
                      <w:i w:val="0"/>
                      <w:iCs w:val="0"/>
                      <w:color w:val="auto"/>
                      <w:sz w:val="21"/>
                      <w:szCs w:val="21"/>
                      <w:highlight w:val="none"/>
                      <w:u w:val="none"/>
                      <w:lang w:val="en-US" w:eastAsia="zh-CN"/>
                    </w:rPr>
                    <w:t>已</w:t>
                  </w:r>
                  <w:r>
                    <w:rPr>
                      <w:rFonts w:hint="default" w:ascii="Times New Roman" w:hAnsi="Times New Roman" w:eastAsia="宋体" w:cs="Times New Roman"/>
                      <w:i w:val="0"/>
                      <w:iCs w:val="0"/>
                      <w:color w:val="auto"/>
                      <w:sz w:val="21"/>
                      <w:szCs w:val="21"/>
                      <w:highlight w:val="none"/>
                      <w:u w:val="none"/>
                    </w:rPr>
                    <w:t>配套防扬散、防流失、防渗漏及其它防止污染环境的措施</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07984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6402E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386D4C6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13</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083BC28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3A2D75C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重点重金属按照韶关市生态环境分区管控要求执行。</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14E169F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本项目不涉及</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6A76E11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16D5F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6757A10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491" w:type="dxa"/>
                  <w:vMerge w:val="restart"/>
                  <w:tcBorders>
                    <w:top w:val="nil"/>
                    <w:left w:val="single" w:color="000000" w:sz="8" w:space="0"/>
                    <w:bottom w:val="single" w:color="000000" w:sz="8" w:space="0"/>
                    <w:right w:val="single" w:color="000000" w:sz="8" w:space="0"/>
                  </w:tcBorders>
                  <w:shd w:val="clear" w:color="auto" w:fill="auto"/>
                  <w:vAlign w:val="center"/>
                </w:tcPr>
                <w:p w14:paraId="6920426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环境风险管控</w:t>
                  </w: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56661F3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生产、使用、储存危险化学品或其他存在环境风险的入区项目应配套有效的风险防范措施，并根据国家及广东省环境应急预案管理的要求编制环境风险应急预案，防止因渗漏污染地下水、土壤，以及因事故废水直排污染地表水体。</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27A9600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本项目</w:t>
                  </w:r>
                  <w:r>
                    <w:rPr>
                      <w:rFonts w:hint="default" w:ascii="Times New Roman" w:hAnsi="Times New Roman" w:eastAsia="宋体" w:cs="Times New Roman"/>
                      <w:i w:val="0"/>
                      <w:iCs w:val="0"/>
                      <w:color w:val="auto"/>
                      <w:sz w:val="21"/>
                      <w:szCs w:val="21"/>
                      <w:highlight w:val="none"/>
                      <w:u w:val="none"/>
                    </w:rPr>
                    <w:t>严格执行应急管理、消防等相关规范，</w:t>
                  </w:r>
                  <w:r>
                    <w:rPr>
                      <w:rFonts w:hint="default" w:ascii="Times New Roman" w:hAnsi="Times New Roman" w:cs="Times New Roman"/>
                      <w:bCs/>
                      <w:color w:val="auto"/>
                      <w:spacing w:val="-10"/>
                      <w:sz w:val="21"/>
                      <w:szCs w:val="21"/>
                      <w:highlight w:val="none"/>
                    </w:rPr>
                    <w:t>制定各工序生产操作规程和防火规程，且要求按规程进行操作；</w:t>
                  </w:r>
                  <w:r>
                    <w:rPr>
                      <w:rFonts w:hint="default" w:ascii="Times New Roman" w:hAnsi="Times New Roman" w:cs="Times New Roman"/>
                      <w:bCs/>
                      <w:color w:val="auto"/>
                      <w:spacing w:val="-10"/>
                      <w:sz w:val="21"/>
                      <w:szCs w:val="21"/>
                      <w:highlight w:val="none"/>
                      <w:lang w:val="en-US" w:eastAsia="zh-CN"/>
                    </w:rPr>
                    <w:t>本项目</w:t>
                  </w:r>
                  <w:r>
                    <w:rPr>
                      <w:rFonts w:hint="default" w:ascii="Times New Roman" w:hAnsi="Times New Roman" w:cs="Times New Roman"/>
                      <w:bCs/>
                      <w:color w:val="auto"/>
                      <w:spacing w:val="-10"/>
                      <w:sz w:val="21"/>
                      <w:szCs w:val="21"/>
                      <w:highlight w:val="none"/>
                    </w:rPr>
                    <w:t>生产过程无生产废水产生及外排，</w:t>
                  </w:r>
                  <w:r>
                    <w:rPr>
                      <w:rFonts w:hint="default" w:ascii="Times New Roman" w:hAnsi="Times New Roman" w:cs="Times New Roman"/>
                      <w:bCs/>
                      <w:color w:val="auto"/>
                      <w:spacing w:val="-10"/>
                      <w:sz w:val="21"/>
                      <w:szCs w:val="21"/>
                      <w:highlight w:val="none"/>
                      <w:lang w:val="en-US" w:eastAsia="zh-CN"/>
                    </w:rPr>
                    <w:t>油漆、稀释剂等</w:t>
                  </w:r>
                  <w:r>
                    <w:rPr>
                      <w:rFonts w:hint="default" w:ascii="Times New Roman" w:hAnsi="Times New Roman" w:cs="Times New Roman"/>
                      <w:bCs/>
                      <w:color w:val="auto"/>
                      <w:spacing w:val="-10"/>
                      <w:sz w:val="21"/>
                      <w:szCs w:val="21"/>
                      <w:highlight w:val="none"/>
                    </w:rPr>
                    <w:t>危险物质均密闭存放，厂区内不大量储存，如发生危险物质泄漏时，采用消防沙吸附，消防沙袋堵截，尽快回收，统一收集至指定区域的收集桶内</w:t>
                  </w:r>
                  <w:r>
                    <w:rPr>
                      <w:rFonts w:hint="default" w:ascii="Times New Roman" w:hAnsi="Times New Roman" w:cs="Times New Roman"/>
                      <w:bCs/>
                      <w:color w:val="auto"/>
                      <w:spacing w:val="-10"/>
                      <w:sz w:val="21"/>
                      <w:szCs w:val="21"/>
                      <w:highlight w:val="none"/>
                      <w:lang w:eastAsia="zh-CN"/>
                    </w:rPr>
                    <w:t>；</w:t>
                  </w:r>
                  <w:r>
                    <w:rPr>
                      <w:rFonts w:hint="default" w:ascii="Times New Roman" w:hAnsi="Times New Roman" w:eastAsia="宋体" w:cs="Times New Roman"/>
                      <w:i w:val="0"/>
                      <w:iCs w:val="0"/>
                      <w:color w:val="auto"/>
                      <w:sz w:val="21"/>
                      <w:szCs w:val="21"/>
                      <w:highlight w:val="none"/>
                      <w:u w:val="none"/>
                    </w:rPr>
                    <w:t>遵循“源头控制，分区防渗”的原则，做好仓库、车间、危废暂存间的防渗措施，满足相应标准要求。危废间在建筑物内部，达到防风防雨防晒要求，地面硬化并</w:t>
                  </w:r>
                  <w:r>
                    <w:rPr>
                      <w:rFonts w:hint="default" w:ascii="Times New Roman" w:hAnsi="Times New Roman" w:eastAsia="宋体" w:cs="Times New Roman"/>
                      <w:i w:val="0"/>
                      <w:iCs w:val="0"/>
                      <w:color w:val="auto"/>
                      <w:sz w:val="21"/>
                      <w:szCs w:val="21"/>
                      <w:highlight w:val="none"/>
                      <w:u w:val="none"/>
                      <w:lang w:val="en-US" w:eastAsia="zh-CN"/>
                    </w:rPr>
                    <w:t>做好防渗。</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243D78E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4EE0A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6ECFCAA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616A9BF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299DDD7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涉及生产废水排放企业需配套有效措施，防止事故废水直排污染地表水体，防止因渗漏污染地下水。</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3BC2403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本项目无生产废水排放。</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3190F0B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66CAF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779B92E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16</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773EA8F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3F2523A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应符合《韶关市人民政府关于印发韶关市“三线一单"生态环境分区管控方案的通知》(韶府(2021)10号)、《韶关市生态环境分区管控动态更新成果》及后续生态环境分区管控动态更新要求</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50EEACF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本项目符合《韶关市人民政府关于印发韶关市“三线一单"生态环境分区管控方案的通知》(韶府(2021)10号)、《韶关市生态环境分区管控动态更新成果》及后续生态环境分区管控动态更新要求，详见下文分析内容</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8B0A12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7802B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1AD8FC5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491" w:type="dxa"/>
                  <w:vMerge w:val="restart"/>
                  <w:tcBorders>
                    <w:top w:val="nil"/>
                    <w:left w:val="single" w:color="000000" w:sz="8" w:space="0"/>
                    <w:bottom w:val="single" w:color="000000" w:sz="8" w:space="0"/>
                    <w:right w:val="single" w:color="000000" w:sz="8" w:space="0"/>
                  </w:tcBorders>
                  <w:shd w:val="clear" w:color="auto" w:fill="auto"/>
                  <w:vAlign w:val="center"/>
                </w:tcPr>
                <w:p w14:paraId="2BF1B10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资源开发利用管理</w:t>
                  </w: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0CD00A6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禁止使用高污染燃料，建议使用电能、天然气等清洁能源。</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4E2DB37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本项目不涉及使用高污染燃料，主要使用电能。</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787173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418F0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5A567F7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3F349D0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213091C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贯彻落实“节水优先”方针，实行最严格水资源管理制度。</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074EC84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本项目将贯彻落实“节水优先”方针，实行最严格水资源管理制度。</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7A19F2E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r w14:paraId="28492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04EDF5D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19</w:t>
                  </w:r>
                </w:p>
              </w:tc>
              <w:tc>
                <w:tcPr>
                  <w:tcW w:w="491" w:type="dxa"/>
                  <w:tcBorders>
                    <w:top w:val="nil"/>
                    <w:left w:val="single" w:color="000000" w:sz="8" w:space="0"/>
                    <w:bottom w:val="single" w:color="000000" w:sz="8" w:space="0"/>
                    <w:right w:val="single" w:color="000000" w:sz="8" w:space="0"/>
                  </w:tcBorders>
                  <w:shd w:val="clear" w:color="auto" w:fill="auto"/>
                  <w:vAlign w:val="center"/>
                </w:tcPr>
                <w:p w14:paraId="041C48F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其他</w:t>
                  </w: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41FB6E5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符合《韶关市人民政府关于印发韶关市“三线一单”生态环境分区管控方案的通知》(韶府(2021)10号)《韶关市生态环境分区管控动态更新成果》及后续生态环境分区管控动态更新要求。</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0059B5C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本项目符合《韶关市人民政府关于印发韶关市“三线一单"生态环境分区管控方案的通知》(韶府(2021)10号)、《韶关市生态环境分区管控动态更新成果》及后续生态环境分区管控动态更新要求，详见下文分析内容</w:t>
                  </w:r>
                </w:p>
              </w:tc>
              <w:tc>
                <w:tcPr>
                  <w:tcW w:w="750" w:type="dxa"/>
                  <w:tcBorders>
                    <w:top w:val="nil"/>
                    <w:left w:val="single" w:color="000000" w:sz="8" w:space="0"/>
                    <w:bottom w:val="single" w:color="000000" w:sz="8" w:space="0"/>
                    <w:right w:val="single" w:color="000000" w:sz="8" w:space="0"/>
                  </w:tcBorders>
                  <w:shd w:val="clear" w:color="auto" w:fill="auto"/>
                  <w:noWrap/>
                  <w:vAlign w:val="center"/>
                </w:tcPr>
                <w:p w14:paraId="40CC63A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符合</w:t>
                  </w:r>
                </w:p>
              </w:tc>
            </w:tr>
          </w:tbl>
          <w:p w14:paraId="0BC861E9">
            <w:pPr>
              <w:spacing w:line="360" w:lineRule="auto"/>
              <w:rPr>
                <w:rFonts w:hint="default" w:ascii="Times New Roman" w:hAnsi="Times New Roman" w:cs="Times New Roman"/>
                <w:b w:val="0"/>
                <w:bCs w:val="0"/>
                <w:color w:val="auto"/>
                <w:sz w:val="24"/>
                <w:highlight w:val="none"/>
                <w:lang w:val="en-US" w:eastAsia="zh-CN" w:bidi="ar"/>
              </w:rPr>
            </w:pPr>
          </w:p>
        </w:tc>
      </w:tr>
      <w:tr w14:paraId="313BA8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0" w:type="dxa"/>
            <w:vAlign w:val="center"/>
          </w:tcPr>
          <w:p w14:paraId="18173D51">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其他符合性分析</w:t>
            </w:r>
          </w:p>
        </w:tc>
        <w:tc>
          <w:tcPr>
            <w:tcW w:w="7699" w:type="dxa"/>
            <w:gridSpan w:val="3"/>
            <w:vAlign w:val="center"/>
          </w:tcPr>
          <w:p w14:paraId="4E980A9E">
            <w:pPr>
              <w:autoSpaceDE w:val="0"/>
              <w:autoSpaceDN w:val="0"/>
              <w:adjustRightInd w:val="0"/>
              <w:snapToGrid w:val="0"/>
              <w:spacing w:before="120" w:beforeLines="50" w:line="360" w:lineRule="auto"/>
              <w:ind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1、与产业政策相符性分析</w:t>
            </w:r>
          </w:p>
          <w:p w14:paraId="39DC2019">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本项目属于《国民经济行业分类》（GB/T4754-2017）分类中的C3360 金属表面处理及热处理加工</w:t>
            </w:r>
            <w:r>
              <w:rPr>
                <w:rFonts w:hint="default" w:ascii="Times New Roman" w:hAnsi="Times New Roman" w:cs="Times New Roman"/>
                <w:color w:val="auto"/>
                <w:kern w:val="0"/>
                <w:sz w:val="24"/>
                <w:highlight w:val="none"/>
              </w:rPr>
              <w:t>，</w:t>
            </w:r>
            <w:r>
              <w:rPr>
                <w:rFonts w:hint="default" w:ascii="Times New Roman" w:hAnsi="Times New Roman" w:cs="Times New Roman"/>
                <w:color w:val="auto"/>
                <w:sz w:val="24"/>
                <w:highlight w:val="none"/>
              </w:rPr>
              <w:t>根据国家发展和改革委员会发布的《产业结构调整指导目录》（2024年本），本项目所使用的设备及生产工艺均不属于淘汰类、限制类项目，为允许类。符合当前国家的产业发展政策。</w:t>
            </w:r>
          </w:p>
          <w:p w14:paraId="4CC82A9C">
            <w:pPr>
              <w:pStyle w:val="42"/>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根据《市场准入负面清单(2025年版)》(发改体改规〔2025〕466号)，本项目不在负面清单中，符合当前国家和地方产业政策要求。</w:t>
            </w:r>
          </w:p>
          <w:p w14:paraId="3617801C">
            <w:pPr>
              <w:pStyle w:val="42"/>
              <w:spacing w:line="360" w:lineRule="auto"/>
              <w:ind w:firstLine="482" w:firstLineChars="20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2、选址合理性分析</w:t>
            </w:r>
          </w:p>
          <w:p w14:paraId="3E9A790E">
            <w:pPr>
              <w:autoSpaceDE w:val="0"/>
              <w:autoSpaceDN w:val="0"/>
              <w:adjustRightInd w:val="0"/>
              <w:snapToGrid w:val="0"/>
              <w:spacing w:before="120" w:beforeLines="50"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本项目选址位于韶关市乐昌市乐城街道乐昌市东莞东坑(乐昌)产业转移工业园</w:t>
            </w:r>
            <w:r>
              <w:rPr>
                <w:rFonts w:hint="default" w:ascii="Times New Roman" w:hAnsi="Times New Roman" w:cs="Times New Roman" w:eastAsiaTheme="minorEastAsia"/>
                <w:color w:val="auto"/>
                <w:sz w:val="24"/>
                <w:highlight w:val="none"/>
              </w:rPr>
              <w:t>韶关博尔兹阀门工业有限公司内</w:t>
            </w:r>
            <w:r>
              <w:rPr>
                <w:rFonts w:hint="default" w:ascii="Times New Roman" w:hAnsi="Times New Roman" w:cs="Times New Roman"/>
                <w:color w:val="auto"/>
                <w:sz w:val="24"/>
                <w:highlight w:val="none"/>
              </w:rPr>
              <w:t>，位于乐昌产业转移工业园内，用地性质为工业用地。</w:t>
            </w:r>
            <w:r>
              <w:rPr>
                <w:rFonts w:hint="default" w:ascii="Times New Roman" w:hAnsi="Times New Roman" w:cs="Times New Roman"/>
                <w:color w:val="auto"/>
                <w:kern w:val="0"/>
                <w:sz w:val="24"/>
                <w:highlight w:val="none"/>
              </w:rPr>
              <w:t>根据《韶关市生态环境保护战略规划》（2020-2035），项目选址不在生态保护红线范围内，且项目周边环境不涉及自然保护区、风景名胜区。因此，项目的选址是合理的。</w:t>
            </w:r>
          </w:p>
          <w:p w14:paraId="4722E17B">
            <w:pPr>
              <w:autoSpaceDE w:val="0"/>
              <w:autoSpaceDN w:val="0"/>
              <w:adjustRightInd w:val="0"/>
              <w:snapToGrid w:val="0"/>
              <w:spacing w:before="120" w:beforeLines="50" w:line="360" w:lineRule="auto"/>
              <w:ind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3、</w:t>
            </w:r>
            <w:r>
              <w:rPr>
                <w:rFonts w:hint="default" w:ascii="Times New Roman" w:hAnsi="Times New Roman" w:cs="Times New Roman"/>
                <w:b/>
                <w:bCs/>
                <w:color w:val="auto"/>
                <w:sz w:val="24"/>
                <w:highlight w:val="none"/>
              </w:rPr>
              <w:t>项目与《韶关市“三线一单”生态环境分区管控方案》（韶府[2021]10号）、《韶关市人民政府关于印发韶关市生态环境分区管控动态更新成果的通知》（韶环[2024]103号）相符性分析</w:t>
            </w:r>
          </w:p>
          <w:p w14:paraId="20310BE5">
            <w:pPr>
              <w:autoSpaceDE w:val="0"/>
              <w:autoSpaceDN w:val="0"/>
              <w:adjustRightInd w:val="0"/>
              <w:snapToGrid w:val="0"/>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为贯彻落实《中共中央国务院关于全面加强生态环境保护坚决打好污染防治攻坚战的意见》，按照广东省人民政府《关于印发广东省“三线一单”生态环境分区管控方案的通知》（粤府[2020]71号）要求，韶关市制定印发了《韶关市人民政府关于印发韶关市“三线一单””生态环境分区管控方案的通知》(韶府(2021)10号)、《韶关市人民政府关于印发韶关市生态环境分区管控动态更新成果的通知》（韶环[2024]103号），从区域布局管控、能源资源利用、污染物排放管控和环境风险防控等方面明确准入要求，建立1+88生态环境准入清单体系。“1”为全市总体管控要求，“88”为88个环境管控单元的差异性准入清单。本项目与韶关市“三线一单”相符性分析如下：</w:t>
            </w:r>
          </w:p>
          <w:p w14:paraId="14A20C5D">
            <w:pPr>
              <w:autoSpaceDE w:val="0"/>
              <w:autoSpaceDN w:val="0"/>
              <w:adjustRightInd w:val="0"/>
              <w:snapToGrid w:val="0"/>
              <w:spacing w:before="120" w:beforeLines="50" w:line="360" w:lineRule="auto"/>
              <w:ind w:firstLine="42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rPr>
              <w:t>（1）与全市总体管控要求及生态环境准入清单相符性分析</w:t>
            </w:r>
          </w:p>
          <w:p w14:paraId="27C0F9CB">
            <w:pPr>
              <w:adjustRightInd w:val="0"/>
              <w:snapToGrid w:val="0"/>
              <w:spacing w:line="360" w:lineRule="auto"/>
              <w:ind w:firstLine="480" w:firstLineChars="200"/>
              <w:rPr>
                <w:rFonts w:hint="default" w:ascii="Times New Roman" w:hAnsi="Times New Roman" w:cs="Times New Roman"/>
                <w:color w:val="auto"/>
                <w:kern w:val="0"/>
                <w:sz w:val="24"/>
                <w:highlight w:val="none"/>
              </w:rPr>
            </w:pPr>
          </w:p>
        </w:tc>
      </w:tr>
    </w:tbl>
    <w:p w14:paraId="58BA3D76">
      <w:pPr>
        <w:pStyle w:val="42"/>
        <w:rPr>
          <w:rFonts w:hint="default" w:ascii="Times New Roman" w:hAnsi="Times New Roman" w:cs="Times New Roman"/>
          <w:color w:val="auto"/>
          <w:highlight w:val="none"/>
        </w:rPr>
      </w:pPr>
    </w:p>
    <w:p w14:paraId="7BD4B11A">
      <w:pPr>
        <w:pStyle w:val="44"/>
        <w:rPr>
          <w:rFonts w:hint="default" w:ascii="Times New Roman" w:hAnsi="Times New Roman" w:cs="Times New Roman"/>
          <w:color w:val="auto"/>
          <w:highlight w:val="none"/>
        </w:rPr>
        <w:sectPr>
          <w:footerReference r:id="rId9" w:type="default"/>
          <w:pgSz w:w="11906" w:h="16838"/>
          <w:pgMar w:top="1417" w:right="1134" w:bottom="1417" w:left="1134" w:header="851" w:footer="851" w:gutter="0"/>
          <w:pgNumType w:start="1"/>
          <w:cols w:space="720" w:num="1"/>
          <w:docGrid w:linePitch="312" w:charSpace="0"/>
        </w:sectPr>
      </w:pPr>
    </w:p>
    <w:tbl>
      <w:tblPr>
        <w:tblStyle w:val="26"/>
        <w:tblW w:w="13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2713"/>
      </w:tblGrid>
      <w:tr w14:paraId="056D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0" w:hRule="atLeast"/>
          <w:jc w:val="center"/>
        </w:trPr>
        <w:tc>
          <w:tcPr>
            <w:tcW w:w="939" w:type="dxa"/>
            <w:shd w:val="clear" w:color="auto" w:fill="auto"/>
            <w:vAlign w:val="center"/>
          </w:tcPr>
          <w:p w14:paraId="299B3F76">
            <w:pPr>
              <w:jc w:val="center"/>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其他符合性分析</w:t>
            </w:r>
          </w:p>
        </w:tc>
        <w:tc>
          <w:tcPr>
            <w:tcW w:w="12713" w:type="dxa"/>
            <w:shd w:val="clear" w:color="auto" w:fill="auto"/>
            <w:vAlign w:val="center"/>
          </w:tcPr>
          <w:p w14:paraId="43DE6603">
            <w:pPr>
              <w:adjustRightInd w:val="0"/>
              <w:snapToGrid w:val="0"/>
              <w:spacing w:before="120" w:beforeLines="50" w:line="360" w:lineRule="auto"/>
              <w:jc w:val="center"/>
              <w:rPr>
                <w:rFonts w:hint="default" w:ascii="Times New Roman" w:hAnsi="Times New Roman" w:cs="Times New Roman"/>
                <w:color w:val="auto"/>
                <w:highlight w:val="none"/>
              </w:rPr>
            </w:pPr>
            <w:r>
              <w:rPr>
                <w:rFonts w:hint="default" w:ascii="Times New Roman" w:hAnsi="Times New Roman" w:cs="Times New Roman"/>
                <w:b/>
                <w:bCs/>
                <w:color w:val="auto"/>
                <w:sz w:val="24"/>
                <w:highlight w:val="none"/>
              </w:rPr>
              <w:t>表1-1 项目与韶关市“三线一单”相符性分析</w:t>
            </w:r>
          </w:p>
          <w:tbl>
            <w:tblPr>
              <w:tblStyle w:val="26"/>
              <w:tblW w:w="12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080"/>
              <w:gridCol w:w="5446"/>
              <w:gridCol w:w="4273"/>
              <w:gridCol w:w="664"/>
            </w:tblGrid>
            <w:tr w14:paraId="3508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141" w:type="dxa"/>
                  <w:gridSpan w:val="2"/>
                  <w:shd w:val="clear" w:color="auto" w:fill="auto"/>
                  <w:vAlign w:val="center"/>
                </w:tcPr>
                <w:p w14:paraId="45FC5A41">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内容</w:t>
                  </w:r>
                </w:p>
              </w:tc>
              <w:tc>
                <w:tcPr>
                  <w:tcW w:w="5446" w:type="dxa"/>
                  <w:shd w:val="clear" w:color="auto" w:fill="auto"/>
                  <w:vAlign w:val="center"/>
                </w:tcPr>
                <w:p w14:paraId="7D1F4F4B">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要求</w:t>
                  </w:r>
                </w:p>
              </w:tc>
              <w:tc>
                <w:tcPr>
                  <w:tcW w:w="4273" w:type="dxa"/>
                  <w:shd w:val="clear" w:color="auto" w:fill="auto"/>
                  <w:vAlign w:val="center"/>
                </w:tcPr>
                <w:p w14:paraId="3531EEBA">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相符性分析</w:t>
                  </w:r>
                </w:p>
              </w:tc>
              <w:tc>
                <w:tcPr>
                  <w:tcW w:w="664" w:type="dxa"/>
                  <w:shd w:val="clear" w:color="auto" w:fill="auto"/>
                  <w:vAlign w:val="center"/>
                </w:tcPr>
                <w:p w14:paraId="57A0206C">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结论</w:t>
                  </w:r>
                </w:p>
              </w:tc>
            </w:tr>
            <w:tr w14:paraId="59F6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dxa"/>
                  <w:vMerge w:val="restart"/>
                  <w:shd w:val="clear" w:color="auto" w:fill="auto"/>
                  <w:vAlign w:val="center"/>
                </w:tcPr>
                <w:p w14:paraId="2AEE912F">
                  <w:pPr>
                    <w:spacing w:before="120" w:beforeLines="50"/>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全市总体管控要求</w:t>
                  </w:r>
                </w:p>
              </w:tc>
              <w:tc>
                <w:tcPr>
                  <w:tcW w:w="1080" w:type="dxa"/>
                  <w:shd w:val="clear" w:color="auto" w:fill="auto"/>
                  <w:vAlign w:val="center"/>
                </w:tcPr>
                <w:p w14:paraId="1D44881A">
                  <w:pPr>
                    <w:spacing w:before="120" w:beforeLines="50"/>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区域布局管控要求</w:t>
                  </w:r>
                </w:p>
              </w:tc>
              <w:tc>
                <w:tcPr>
                  <w:tcW w:w="5446" w:type="dxa"/>
                  <w:shd w:val="clear" w:color="auto" w:fill="auto"/>
                  <w:vAlign w:val="center"/>
                </w:tcPr>
                <w:p w14:paraId="6926009F">
                  <w:pPr>
                    <w:spacing w:before="120" w:beforeLines="50"/>
                    <w:ind w:firstLine="420" w:firstLineChars="200"/>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严格控制涉重金属和高污染高能耗项目建设。新建、扩建石化、化工、焦化、有色金属冶炼、平板玻璃项目应布设在依法合规设立并经规划环评的产业园区。严格控制水污染严重地区和水源保护敏感区域高耗水、高污染行业发展。新丰县东南部（丰城街道、梅坑镇、黄磜镇、马头镇）严控水污染项目建设，新建、改建、扩建涉水建设项目实行主要污染物和特征污染物排放减量替代。环境空气质量一类功能区实施严格保护，禁止新建、扩建排放大气污染物的工业项目（国家和省规定不纳入环评管理的项目除外）。逐步扩大高污染燃料禁燃区范围。</w:t>
                  </w:r>
                </w:p>
              </w:tc>
              <w:tc>
                <w:tcPr>
                  <w:tcW w:w="4273" w:type="dxa"/>
                  <w:shd w:val="clear" w:color="auto" w:fill="auto"/>
                  <w:vAlign w:val="center"/>
                </w:tcPr>
                <w:p w14:paraId="71F2AFEC">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本项目属于“C3360 金属表面处理及热处理加工”</w:t>
                  </w:r>
                  <w:r>
                    <w:rPr>
                      <w:rFonts w:hint="default" w:ascii="Times New Roman" w:hAnsi="Times New Roman" w:cs="Times New Roman"/>
                      <w:color w:val="auto"/>
                      <w:kern w:val="0"/>
                      <w:szCs w:val="21"/>
                      <w:highlight w:val="none"/>
                    </w:rPr>
                    <w:t>，生产使用电能，产生和排放的污染物</w:t>
                  </w:r>
                  <w:r>
                    <w:rPr>
                      <w:rFonts w:hint="default" w:ascii="Times New Roman" w:hAnsi="Times New Roman" w:cs="Times New Roman"/>
                      <w:color w:val="auto"/>
                      <w:szCs w:val="21"/>
                      <w:highlight w:val="none"/>
                    </w:rPr>
                    <w:t>不涉及重金属，不属于高污染高耗能项目。本项目位于韶关市乐昌市乐城街道乐昌市东莞东坑(乐昌)产业转移工业园，属于环境空气质量二类功能区，不属于水污染严重地区和水源保护敏感区，与全市总体管控要求相符。</w:t>
                  </w:r>
                </w:p>
              </w:tc>
              <w:tc>
                <w:tcPr>
                  <w:tcW w:w="664" w:type="dxa"/>
                  <w:shd w:val="clear" w:color="auto" w:fill="auto"/>
                  <w:vAlign w:val="center"/>
                </w:tcPr>
                <w:p w14:paraId="0653DA9D">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相符</w:t>
                  </w:r>
                </w:p>
              </w:tc>
            </w:tr>
            <w:tr w14:paraId="058E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dxa"/>
                  <w:vMerge w:val="continue"/>
                  <w:shd w:val="clear" w:color="auto" w:fill="auto"/>
                  <w:vAlign w:val="center"/>
                </w:tcPr>
                <w:p w14:paraId="5BB985C3">
                  <w:pPr>
                    <w:spacing w:before="120" w:beforeLines="50"/>
                    <w:ind w:firstLine="420" w:firstLineChars="200"/>
                    <w:jc w:val="center"/>
                    <w:outlineLvl w:val="0"/>
                    <w:rPr>
                      <w:rFonts w:hint="default" w:ascii="Times New Roman" w:hAnsi="Times New Roman" w:cs="Times New Roman"/>
                      <w:color w:val="auto"/>
                      <w:szCs w:val="21"/>
                      <w:highlight w:val="none"/>
                    </w:rPr>
                  </w:pPr>
                </w:p>
              </w:tc>
              <w:tc>
                <w:tcPr>
                  <w:tcW w:w="1080" w:type="dxa"/>
                  <w:shd w:val="clear" w:color="auto" w:fill="auto"/>
                  <w:vAlign w:val="center"/>
                </w:tcPr>
                <w:p w14:paraId="774D7DC0">
                  <w:pPr>
                    <w:spacing w:before="120" w:beforeLines="50"/>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能源资源利用要求</w:t>
                  </w:r>
                </w:p>
              </w:tc>
              <w:tc>
                <w:tcPr>
                  <w:tcW w:w="5446" w:type="dxa"/>
                  <w:shd w:val="clear" w:color="auto" w:fill="auto"/>
                  <w:vAlign w:val="center"/>
                </w:tcPr>
                <w:p w14:paraId="72DE2EE0">
                  <w:pPr>
                    <w:spacing w:before="120" w:beforeLines="50"/>
                    <w:ind w:firstLine="420" w:firstLineChars="200"/>
                    <w:jc w:val="left"/>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积极落实国家、省制定的碳达峰碳中和目标任务，制定并落实碳达峰与碳减排工作计划、行动方案，综合运用相关政策工具和手段措施，持续推动实施。进一步优化调整能源结构，发展以光伏全产业链为龙头的风光氢等多元化可再生清洁能源产业，提高可再生能源发电装机占比，推动电力源网荷储一体化和多能互补。实行能源消费强度与消费总量“双控”制度。抓好电力、建材、冶炼等重点耗能行业的节能降耗工作，推动单位GDP能源消耗、单位GDP二氧化碳排放持续下降。鼓励使用天然气及可再生能源，县级及以上城市建成区，禁止新建每小时35蒸吨以下燃煤锅炉。</w:t>
                  </w:r>
                </w:p>
                <w:p w14:paraId="50B93897">
                  <w:pPr>
                    <w:spacing w:before="120" w:beforeLines="50"/>
                    <w:ind w:firstLine="420" w:firstLineChars="200"/>
                    <w:jc w:val="left"/>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则上不再新建小水电以及除国家和省规划外的风电项目，对不符合生态环境要求的小水电进行清理整改。严格落实东江、北江流域等重要控制断面生态流量保障目标。加强城市节水，提高水资源的利用效率和效益。</w:t>
                  </w:r>
                </w:p>
                <w:p w14:paraId="6CBCE460">
                  <w:pPr>
                    <w:spacing w:before="120" w:beforeLines="50"/>
                    <w:ind w:firstLine="420" w:firstLineChars="200"/>
                    <w:jc w:val="left"/>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严格矿产资源开发准入管理，从严控制矿产资源开发总量和综合利用标准。加强矿产资源规划管理，提高矿产资源开发利用效率，推动矿产资源开发合理布局和节约集约利用。推进大宝山、凡口矿等矿山企业转型升级，打造国家级绿色矿山。全市矿山企业在2025年前全部达到绿色矿山标准。</w:t>
                  </w:r>
                </w:p>
              </w:tc>
              <w:tc>
                <w:tcPr>
                  <w:tcW w:w="4273" w:type="dxa"/>
                  <w:shd w:val="clear" w:color="auto" w:fill="auto"/>
                  <w:vAlign w:val="center"/>
                </w:tcPr>
                <w:p w14:paraId="259229D1">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本项目不设锅炉，能源使用主要依托当地电网供电，本项目生产过程拟采用先进技术，节能降耗，因此项目符合能源资源利用要求。</w:t>
                  </w:r>
                </w:p>
              </w:tc>
              <w:tc>
                <w:tcPr>
                  <w:tcW w:w="664" w:type="dxa"/>
                  <w:shd w:val="clear" w:color="auto" w:fill="auto"/>
                  <w:vAlign w:val="center"/>
                </w:tcPr>
                <w:p w14:paraId="735B02FA">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相符</w:t>
                  </w:r>
                </w:p>
              </w:tc>
            </w:tr>
            <w:tr w14:paraId="5AE4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dxa"/>
                  <w:vMerge w:val="continue"/>
                  <w:shd w:val="clear" w:color="auto" w:fill="auto"/>
                  <w:vAlign w:val="center"/>
                </w:tcPr>
                <w:p w14:paraId="37554F08">
                  <w:pPr>
                    <w:jc w:val="center"/>
                    <w:outlineLvl w:val="0"/>
                    <w:rPr>
                      <w:rFonts w:hint="default" w:ascii="Times New Roman" w:hAnsi="Times New Roman" w:cs="Times New Roman"/>
                      <w:color w:val="auto"/>
                      <w:szCs w:val="21"/>
                      <w:highlight w:val="none"/>
                    </w:rPr>
                  </w:pPr>
                </w:p>
              </w:tc>
              <w:tc>
                <w:tcPr>
                  <w:tcW w:w="1080" w:type="dxa"/>
                  <w:shd w:val="clear" w:color="auto" w:fill="auto"/>
                  <w:vAlign w:val="center"/>
                </w:tcPr>
                <w:p w14:paraId="5EC5C9DC">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污染物排放管控要求</w:t>
                  </w:r>
                </w:p>
              </w:tc>
              <w:tc>
                <w:tcPr>
                  <w:tcW w:w="5446" w:type="dxa"/>
                  <w:shd w:val="clear" w:color="auto" w:fill="auto"/>
                  <w:vAlign w:val="center"/>
                </w:tcPr>
                <w:p w14:paraId="64DDE299">
                  <w:pPr>
                    <w:spacing w:before="120" w:beforeLines="50"/>
                    <w:ind w:firstLine="420" w:firstLineChars="200"/>
                    <w:jc w:val="left"/>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深入实施重点污染物总量控制。“十四五”期间重点污染物排放总量在现有基础上持续减少。优化总量分配和调控机制，重点污染物排放总量指标优先向重点建设项目、重点工业园区、战略性产业集群倾斜。新建“两高” 项目应配套区域主要污染物削减方案，采取有效的主要污染物区域削减措施，腾出足够的环境容量。新建项目原则上实施氮氧化物（NOx）和挥发性有机物(VOCs)等量替代，推动钢铁行业执行大气污染物超低排放标准。新建、改建、扩建造纸、焦化、有色金属、印染、农副食品加工、原料药制造、制革、农药、电镀等行业建设项目实行主要水体污染物排放等量替代。</w:t>
                  </w:r>
                </w:p>
                <w:p w14:paraId="2F4AF414">
                  <w:pPr>
                    <w:spacing w:before="120" w:beforeLines="50"/>
                    <w:ind w:firstLine="420" w:firstLineChars="200"/>
                    <w:jc w:val="left"/>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实施低挥发性有机物(VOCs)含量产品源头替代工程。全面加强无组织排放控制，深入实施精细化治理。推进溶剂使用及挥发性有机液体储运销环节的减排，全过程实施反应活性物质、有毒有害物质、恶臭物质的协同控制。对VOCs 重点企业实施分级和清单化管控，将全面使用低VOCs 含量原辅材料的企业纳入正面清单和政府绿色采购清单。</w:t>
                  </w:r>
                </w:p>
                <w:p w14:paraId="69827DB4">
                  <w:pPr>
                    <w:spacing w:before="120" w:beforeLines="50"/>
                    <w:ind w:firstLine="420" w:firstLineChars="200"/>
                    <w:jc w:val="left"/>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北江流域实行重金属污染物排放总量控制。新建、改建、扩建的项目严格实行重金属等特征污染物排放减量替代。加强“三矿两厂” 等日常监督，在重点防控区域内新建、改建、扩建增加重金属污染物排放总量的建设项目应通过实施区域削减，实现增产减污。凡口铅锌矿及其周边区域（仁化县董塘镇）、大宝山矿及其周边区域（曲江区沙溪镇、翁源县铁龙镇）严格执行部分重金属水污染物特别排放限值的相关规定。</w:t>
                  </w:r>
                </w:p>
                <w:p w14:paraId="4E1D4572">
                  <w:pPr>
                    <w:spacing w:before="120" w:beforeLines="50"/>
                    <w:ind w:firstLine="420" w:firstLineChars="200"/>
                    <w:jc w:val="left"/>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饮用水水源保护区全面加强水源涵养，强化源头控制，禁止新建排污口，严格防范水源污染风险，切实保障饮用水安全，一级保护区内禁止新建、改建、扩建与供水设施和保护水源无关的建设项目；二级保护区内禁止新建、改建、扩建排放污染物的建设项目。饮用水水源准保护区内禁止新建、扩建对水体污染严重的建设项目。</w:t>
                  </w:r>
                </w:p>
                <w:p w14:paraId="53FE0533">
                  <w:pPr>
                    <w:spacing w:before="120" w:beforeLines="50"/>
                    <w:ind w:firstLine="420" w:firstLineChars="200"/>
                    <w:jc w:val="left"/>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完善污水处理厂配套管网建设，切实提高运行负荷。强化城中村、老旧城区和城乡结合部污水截流、收集。现有合流制排水系统应加快实施雨污分流改造，加快镇级生活污水处理设施及配套管网建设，因地制宜建设农村生活污水处理设施。加强农业面源污染治理，实施种植业“肥药双控”；严格禁养区管理，加强养殖污染防治，加强畜禽养殖废弃物资源化利用。</w:t>
                  </w:r>
                </w:p>
              </w:tc>
              <w:tc>
                <w:tcPr>
                  <w:tcW w:w="4273" w:type="dxa"/>
                  <w:shd w:val="clear" w:color="auto" w:fill="auto"/>
                  <w:vAlign w:val="center"/>
                </w:tcPr>
                <w:p w14:paraId="531A46C0">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本项目排放的主要废气污染物为颗粒物、TVOC；本项目不涉及重金属污染物；排放的挥发性有机废气实施等量替代，</w:t>
                  </w:r>
                  <w:r>
                    <w:rPr>
                      <w:rFonts w:hint="default" w:ascii="Times New Roman" w:hAnsi="Times New Roman" w:cs="Times New Roman"/>
                      <w:color w:val="auto"/>
                      <w:kern w:val="0"/>
                      <w:sz w:val="21"/>
                      <w:szCs w:val="21"/>
                      <w:highlight w:val="none"/>
                      <w:lang w:val="en-US" w:eastAsia="zh-CN"/>
                    </w:rPr>
                    <w:t>通过取消本企业原计划工程及“以新带老”措施</w:t>
                  </w:r>
                  <w:r>
                    <w:rPr>
                      <w:rFonts w:hint="default" w:ascii="Times New Roman" w:hAnsi="Times New Roman" w:cs="Times New Roman"/>
                      <w:color w:val="auto"/>
                      <w:spacing w:val="-1"/>
                      <w:kern w:val="2"/>
                      <w:sz w:val="21"/>
                      <w:szCs w:val="21"/>
                      <w:highlight w:val="none"/>
                      <w:lang w:val="en-US" w:eastAsia="zh-CN"/>
                    </w:rPr>
                    <w:t>获得总量，</w:t>
                  </w:r>
                  <w:r>
                    <w:rPr>
                      <w:rFonts w:hint="default" w:ascii="Times New Roman" w:hAnsi="Times New Roman" w:cs="Times New Roman"/>
                      <w:color w:val="auto"/>
                      <w:kern w:val="0"/>
                      <w:sz w:val="21"/>
                      <w:szCs w:val="21"/>
                      <w:highlight w:val="none"/>
                      <w:lang w:val="en-US" w:eastAsia="zh-CN"/>
                    </w:rPr>
                    <w:t>无需额外申请总量指标</w:t>
                  </w:r>
                  <w:r>
                    <w:rPr>
                      <w:rFonts w:hint="default" w:ascii="Times New Roman" w:hAnsi="Times New Roman" w:cs="Times New Roman"/>
                      <w:color w:val="auto"/>
                      <w:szCs w:val="21"/>
                      <w:highlight w:val="none"/>
                    </w:rPr>
                    <w:t>；本项目使用的原辅材料均属于低挥发性有机物含量产品</w:t>
                  </w:r>
                </w:p>
                <w:p w14:paraId="321909B2">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w:t>
                  </w:r>
                  <w:r>
                    <w:rPr>
                      <w:rFonts w:hint="default" w:ascii="Times New Roman" w:hAnsi="Times New Roman" w:cs="Times New Roman"/>
                      <w:color w:val="auto"/>
                      <w:highlight w:val="none"/>
                    </w:rPr>
                    <w:t>从原项目调配人员，不新增员工，不新增生活污水</w:t>
                  </w:r>
                  <w:r>
                    <w:rPr>
                      <w:rStyle w:val="37"/>
                      <w:rFonts w:hint="default" w:ascii="Times New Roman" w:hAnsi="Times New Roman" w:cs="Times New Roman"/>
                      <w:color w:val="auto"/>
                      <w:kern w:val="0"/>
                      <w:szCs w:val="20"/>
                      <w:highlight w:val="none"/>
                      <w:lang w:eastAsia="zh-CN"/>
                    </w:rPr>
                    <w:t>；</w:t>
                  </w:r>
                  <w:r>
                    <w:rPr>
                      <w:rStyle w:val="37"/>
                      <w:rFonts w:hint="default" w:ascii="Times New Roman" w:hAnsi="Times New Roman" w:cs="Times New Roman"/>
                      <w:color w:val="auto"/>
                      <w:kern w:val="0"/>
                      <w:szCs w:val="20"/>
                      <w:highlight w:val="none"/>
                      <w:lang w:val="en-US" w:eastAsia="zh-CN"/>
                    </w:rPr>
                    <w:t>本项目不产生生产废水，无生产废水排放</w:t>
                  </w:r>
                  <w:r>
                    <w:rPr>
                      <w:rFonts w:hint="default" w:ascii="Times New Roman" w:hAnsi="Times New Roman" w:cs="Times New Roman"/>
                      <w:color w:val="auto"/>
                      <w:szCs w:val="21"/>
                      <w:highlight w:val="none"/>
                    </w:rPr>
                    <w:t>；本项目不涉及造纸、焦化、有色金属、印染、农副食品加工、原料药制造、制革、农药、电镀等行业，不涉及饮用水水源保护区。项目符合污染物排放管控要求。</w:t>
                  </w:r>
                </w:p>
              </w:tc>
              <w:tc>
                <w:tcPr>
                  <w:tcW w:w="664" w:type="dxa"/>
                  <w:shd w:val="clear" w:color="auto" w:fill="auto"/>
                  <w:vAlign w:val="center"/>
                </w:tcPr>
                <w:p w14:paraId="0595B242">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相符</w:t>
                  </w:r>
                </w:p>
              </w:tc>
            </w:tr>
            <w:tr w14:paraId="2823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dxa"/>
                  <w:vMerge w:val="continue"/>
                  <w:shd w:val="clear" w:color="auto" w:fill="auto"/>
                  <w:vAlign w:val="center"/>
                </w:tcPr>
                <w:p w14:paraId="7F3D2D01">
                  <w:pPr>
                    <w:jc w:val="center"/>
                    <w:outlineLvl w:val="0"/>
                    <w:rPr>
                      <w:rFonts w:hint="default" w:ascii="Times New Roman" w:hAnsi="Times New Roman" w:cs="Times New Roman"/>
                      <w:color w:val="auto"/>
                      <w:szCs w:val="21"/>
                      <w:highlight w:val="none"/>
                    </w:rPr>
                  </w:pPr>
                </w:p>
              </w:tc>
              <w:tc>
                <w:tcPr>
                  <w:tcW w:w="1080" w:type="dxa"/>
                  <w:shd w:val="clear" w:color="auto" w:fill="auto"/>
                  <w:vAlign w:val="center"/>
                </w:tcPr>
                <w:p w14:paraId="68F468C9">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环境风险防控要求</w:t>
                  </w:r>
                </w:p>
              </w:tc>
              <w:tc>
                <w:tcPr>
                  <w:tcW w:w="5446" w:type="dxa"/>
                  <w:shd w:val="clear" w:color="auto" w:fill="auto"/>
                  <w:vAlign w:val="center"/>
                </w:tcPr>
                <w:p w14:paraId="0364D6BE">
                  <w:pPr>
                    <w:spacing w:before="120" w:beforeLines="50"/>
                    <w:ind w:firstLine="420" w:firstLineChars="200"/>
                    <w:jc w:val="left"/>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加强北江干流、新丰江以及饮用水水源地环境风险防控。严格控制沿岸石油加工、化学原料和化学制品制造、有色金属冶炼、纺织印染等项目环境风险。强化地表水、地下水和土壤污染风险协同防控，建立完善突发环境事件应急管理体系，全面排查“千吨万人”以上集中式饮用水水源地周边环境问题并及时开展专项整治，保障饮用水水源地安全。重点加强环境风险分级分类管控，建立全市环境风险源在线监控预警系统，强化化工企业、涉重金属行业、工业园区和尾矿库等重点环境风险源的环境风险防控。构建企业、园区和区域三级环境风险防控联动体系，增强园区风险防控能力。园区管理机构应定期开展环境风险评估，编制完善综合环境应急预案并备案，整合应急资源，储备环境应急物资及装备，定期组织开展应急演练，全面提升园区突发环境事件应急处理能力。</w:t>
                  </w:r>
                </w:p>
                <w:p w14:paraId="4E8EE3D4">
                  <w:pPr>
                    <w:spacing w:before="120" w:beforeLines="50"/>
                    <w:ind w:firstLine="420" w:firstLineChars="200"/>
                    <w:jc w:val="left"/>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持续推进土壤环境风险管控工作。实行农用地分类分级安全利用，有效提升农用地土地资源开发利用率，依法划定特定农作物禁止种植区域，严格按照耕地土壤环境质量类别划分成果对耕地实施安全利用，防范农产品重金属含量超标风险。加强建设用地准入管理，规范受污染建设用地地块再开发。加强尾矿库的环境风险排查与防范。加强金属矿采选、金属冶炼企业的重金属污染风险防控。强化选矿废水治理设施的升级改造，选矿废水原则上回用不外排。全力避免因各类安全事故（事件）引发的次生环境风险事故（事件）。</w:t>
                  </w:r>
                </w:p>
              </w:tc>
              <w:tc>
                <w:tcPr>
                  <w:tcW w:w="4273" w:type="dxa"/>
                  <w:shd w:val="clear" w:color="auto" w:fill="auto"/>
                  <w:vAlign w:val="center"/>
                </w:tcPr>
                <w:p w14:paraId="5AC72DAE">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不涉及石油加工、化学原料和化学制品制造、有色金属冶炼、纺织印染行业，不涉及饮用水水源地。本项目制定有效的事故风险防范和应急措施，为防范污染事故发生，并避免发生事故对周围环境造成污染，确保环境安全。项目符合环境风险防控要求。</w:t>
                  </w:r>
                </w:p>
              </w:tc>
              <w:tc>
                <w:tcPr>
                  <w:tcW w:w="664" w:type="dxa"/>
                  <w:shd w:val="clear" w:color="auto" w:fill="auto"/>
                  <w:vAlign w:val="center"/>
                </w:tcPr>
                <w:p w14:paraId="26305B1B">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相符</w:t>
                  </w:r>
                </w:p>
              </w:tc>
            </w:tr>
            <w:tr w14:paraId="4353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24" w:type="dxa"/>
                  <w:gridSpan w:val="5"/>
                  <w:shd w:val="clear" w:color="auto" w:fill="auto"/>
                  <w:vAlign w:val="center"/>
                </w:tcPr>
                <w:p w14:paraId="0570615C">
                  <w:pP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管控单元在执行省“三线一单”生态环境分区管控方案和全市总体准入清单要求的基础上，结合单元特征、环境问题及环境质量目标等，提出差异化的准入清单。根据广东省“三线一单”数据管理及应用平台叠置分析（详见附图7），本项目位于韶关市乐昌市乐城街道乐昌市东莞东坑(乐昌)产业转移工业园，属于</w:t>
                  </w:r>
                  <w:r>
                    <w:rPr>
                      <w:rFonts w:hint="default" w:ascii="Times New Roman" w:hAnsi="Times New Roman" w:cs="Times New Roman"/>
                      <w:b/>
                      <w:color w:val="auto"/>
                      <w:szCs w:val="21"/>
                      <w:highlight w:val="none"/>
                    </w:rPr>
                    <w:t>“</w:t>
                  </w:r>
                  <w:r>
                    <w:rPr>
                      <w:rFonts w:hint="default" w:ascii="Times New Roman" w:hAnsi="Times New Roman" w:cs="Times New Roman"/>
                      <w:color w:val="auto"/>
                      <w:kern w:val="0"/>
                      <w:szCs w:val="21"/>
                      <w:highlight w:val="none"/>
                    </w:rPr>
                    <w:t>ZH44028120003乐昌经济开发区重点管控单元</w:t>
                  </w:r>
                  <w:r>
                    <w:rPr>
                      <w:rFonts w:hint="default" w:ascii="Times New Roman" w:hAnsi="Times New Roman" w:cs="Times New Roman"/>
                      <w:b/>
                      <w:color w:val="auto"/>
                      <w:szCs w:val="21"/>
                      <w:highlight w:val="none"/>
                    </w:rPr>
                    <w:t>”</w:t>
                  </w:r>
                  <w:r>
                    <w:rPr>
                      <w:rFonts w:hint="default" w:ascii="Times New Roman" w:hAnsi="Times New Roman" w:cs="Times New Roman"/>
                      <w:color w:val="auto"/>
                      <w:szCs w:val="21"/>
                      <w:highlight w:val="none"/>
                    </w:rPr>
                    <w:t>管控要求如下：</w:t>
                  </w:r>
                </w:p>
              </w:tc>
            </w:tr>
            <w:tr w14:paraId="7F0F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dxa"/>
                  <w:vMerge w:val="restart"/>
                  <w:shd w:val="clear" w:color="auto" w:fill="auto"/>
                  <w:vAlign w:val="center"/>
                </w:tcPr>
                <w:p w14:paraId="00992101">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生态环境准入清单</w:t>
                  </w:r>
                </w:p>
              </w:tc>
              <w:tc>
                <w:tcPr>
                  <w:tcW w:w="1080" w:type="dxa"/>
                  <w:shd w:val="clear" w:color="auto" w:fill="auto"/>
                  <w:vAlign w:val="center"/>
                </w:tcPr>
                <w:p w14:paraId="0D93CBC1">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区域布局管控</w:t>
                  </w:r>
                </w:p>
              </w:tc>
              <w:tc>
                <w:tcPr>
                  <w:tcW w:w="5446" w:type="dxa"/>
                  <w:shd w:val="clear" w:color="auto" w:fill="auto"/>
                  <w:vAlign w:val="center"/>
                </w:tcPr>
                <w:p w14:paraId="79FC5AEA">
                  <w:pPr>
                    <w:pStyle w:val="8"/>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1-1.【产业/鼓励引导类】重点发展现代轻工产业（消费电子等）、先进装备制造业等产业，优先引进无污染物或轻污染项目。</w:t>
                  </w:r>
                </w:p>
                <w:p w14:paraId="6138CA5D">
                  <w:pPr>
                    <w:tabs>
                      <w:tab w:val="left" w:pos="1021"/>
                    </w:tabs>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1-2.【产业/禁止类】园区禁止引入专业电镀、化学制浆、鞣革等水污染物排放量大或排放一类污染物、持久性有机污染物的项目。</w:t>
                  </w:r>
                </w:p>
                <w:p w14:paraId="5AB8440D">
                  <w:pPr>
                    <w:widowControl/>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1-3.【产业/限制类】严格限制不符合园区发展定位的项目入驻。</w:t>
                  </w:r>
                </w:p>
                <w:p w14:paraId="6A1780A2">
                  <w:pPr>
                    <w:tabs>
                      <w:tab w:val="left" w:pos="1021"/>
                    </w:tabs>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1-4.【产业/综合类】居民区、学校等环境敏感点邻近地块优先布局废气排放量小、工业噪声影响小的产业。</w:t>
                  </w:r>
                </w:p>
              </w:tc>
              <w:tc>
                <w:tcPr>
                  <w:tcW w:w="4273" w:type="dxa"/>
                  <w:shd w:val="clear" w:color="auto" w:fill="auto"/>
                  <w:vAlign w:val="center"/>
                </w:tcPr>
                <w:p w14:paraId="22AEC5DB">
                  <w:pP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bidi="ar"/>
                    </w:rPr>
                    <w:t>本企业主要从事阀门、机械配件生产，本项目为原项目配套新增金属表面处理项目，属于装备制造业，不属于园区禁止引入项目，符合园区准入条件，符合相关规划。本项目废气排放量较小，噪声影响小，距离最近的环境敏感点约173m。</w:t>
                  </w:r>
                </w:p>
              </w:tc>
              <w:tc>
                <w:tcPr>
                  <w:tcW w:w="664" w:type="dxa"/>
                  <w:shd w:val="clear" w:color="auto" w:fill="auto"/>
                  <w:vAlign w:val="center"/>
                </w:tcPr>
                <w:p w14:paraId="25E937D4">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相符</w:t>
                  </w:r>
                </w:p>
              </w:tc>
            </w:tr>
            <w:tr w14:paraId="3C5F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dxa"/>
                  <w:vMerge w:val="continue"/>
                  <w:shd w:val="clear" w:color="auto" w:fill="auto"/>
                  <w:vAlign w:val="center"/>
                </w:tcPr>
                <w:p w14:paraId="12DF0BA2">
                  <w:pPr>
                    <w:jc w:val="center"/>
                    <w:outlineLvl w:val="0"/>
                    <w:rPr>
                      <w:rFonts w:hint="default" w:ascii="Times New Roman" w:hAnsi="Times New Roman" w:cs="Times New Roman"/>
                      <w:color w:val="auto"/>
                      <w:szCs w:val="21"/>
                      <w:highlight w:val="none"/>
                    </w:rPr>
                  </w:pPr>
                </w:p>
              </w:tc>
              <w:tc>
                <w:tcPr>
                  <w:tcW w:w="1080" w:type="dxa"/>
                  <w:shd w:val="clear" w:color="auto" w:fill="auto"/>
                  <w:vAlign w:val="center"/>
                </w:tcPr>
                <w:p w14:paraId="11CDFD3A">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能源资源利用</w:t>
                  </w:r>
                </w:p>
              </w:tc>
              <w:tc>
                <w:tcPr>
                  <w:tcW w:w="5446" w:type="dxa"/>
                  <w:shd w:val="clear" w:color="auto" w:fill="auto"/>
                  <w:vAlign w:val="center"/>
                </w:tcPr>
                <w:p w14:paraId="26785677">
                  <w:pPr>
                    <w:widowControl/>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2-1.【能源/鼓励引导类】园区内能源结构应以电能、燃气等清洁能源为主。</w:t>
                  </w:r>
                </w:p>
                <w:p w14:paraId="7199D624">
                  <w:pPr>
                    <w:widowControl/>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2-2.【水资源/综合类】提高园区水资源利用效率，加快中水回用系统建设。</w:t>
                  </w:r>
                </w:p>
                <w:p w14:paraId="35B904C9">
                  <w:pP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2-3.【其他/综合类】有行业清洁生产标准的新引进项目清洁生产水平须达到本行业国内先进水平。</w:t>
                  </w:r>
                </w:p>
              </w:tc>
              <w:tc>
                <w:tcPr>
                  <w:tcW w:w="4273" w:type="dxa"/>
                  <w:shd w:val="clear" w:color="auto" w:fill="auto"/>
                  <w:vAlign w:val="center"/>
                </w:tcPr>
                <w:p w14:paraId="15F96777">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本项目以电能为能源，落实“节水优先”方针，符合能源资源利用要求</w:t>
                  </w:r>
                </w:p>
              </w:tc>
              <w:tc>
                <w:tcPr>
                  <w:tcW w:w="664" w:type="dxa"/>
                  <w:shd w:val="clear" w:color="auto" w:fill="auto"/>
                  <w:vAlign w:val="center"/>
                </w:tcPr>
                <w:p w14:paraId="1C030EE8">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相符</w:t>
                  </w:r>
                </w:p>
              </w:tc>
            </w:tr>
            <w:tr w14:paraId="5375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dxa"/>
                  <w:vMerge w:val="continue"/>
                  <w:shd w:val="clear" w:color="auto" w:fill="auto"/>
                  <w:vAlign w:val="center"/>
                </w:tcPr>
                <w:p w14:paraId="3CF5AD4C">
                  <w:pPr>
                    <w:jc w:val="center"/>
                    <w:outlineLvl w:val="0"/>
                    <w:rPr>
                      <w:rFonts w:hint="default" w:ascii="Times New Roman" w:hAnsi="Times New Roman" w:cs="Times New Roman"/>
                      <w:color w:val="auto"/>
                      <w:szCs w:val="21"/>
                      <w:highlight w:val="none"/>
                    </w:rPr>
                  </w:pPr>
                </w:p>
              </w:tc>
              <w:tc>
                <w:tcPr>
                  <w:tcW w:w="1080" w:type="dxa"/>
                  <w:shd w:val="clear" w:color="auto" w:fill="auto"/>
                  <w:vAlign w:val="center"/>
                </w:tcPr>
                <w:p w14:paraId="38061FBE">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污染物排放管控</w:t>
                  </w:r>
                </w:p>
              </w:tc>
              <w:tc>
                <w:tcPr>
                  <w:tcW w:w="5446" w:type="dxa"/>
                  <w:shd w:val="clear" w:color="auto" w:fill="auto"/>
                  <w:vAlign w:val="center"/>
                </w:tcPr>
                <w:p w14:paraId="5DFC7B69">
                  <w:pPr>
                    <w:widowControl/>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3-1.【水、大气/限制类】园区各项污染物排放总量不得突破园区规划环评核定的污染物排放总量管控要求。</w:t>
                  </w:r>
                </w:p>
                <w:p w14:paraId="3A175E9C">
                  <w:pPr>
                    <w:widowControl/>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3-2.【水/限制类】实行重点重金属污染物（铅、砷、汞、镉、铬）等量替代。严格控制涉重金属及有毒有害污染物排放的项目建设，新建、改建、扩建涉重金属重点行业的项目应明确重金属污染物总量来源。</w:t>
                  </w:r>
                </w:p>
                <w:p w14:paraId="2D955CFE">
                  <w:pPr>
                    <w:tabs>
                      <w:tab w:val="left" w:pos="1021"/>
                    </w:tabs>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3-3.【大气/限制类】新建项目原则上实施氮氧化物、挥发性有机物排放量等量替代。</w:t>
                  </w:r>
                </w:p>
                <w:p w14:paraId="561D3957">
                  <w:pP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3-4.</w:t>
                  </w:r>
                  <w:r>
                    <w:rPr>
                      <w:rFonts w:hint="default" w:ascii="Times New Roman" w:hAnsi="Times New Roman" w:cs="Times New Roman"/>
                      <w:color w:val="auto"/>
                      <w:kern w:val="0"/>
                      <w:szCs w:val="21"/>
                      <w:highlight w:val="none"/>
                    </w:rPr>
                    <w:t>【其它/鼓励引导类】</w:t>
                  </w:r>
                  <w:r>
                    <w:rPr>
                      <w:rFonts w:hint="default" w:ascii="Times New Roman" w:hAnsi="Times New Roman" w:cs="Times New Roman"/>
                      <w:color w:val="auto"/>
                      <w:szCs w:val="21"/>
                      <w:highlight w:val="none"/>
                    </w:rPr>
                    <w:t>支持危险废物专业收集转运和利用处置单位建设区域性收集网点和贮存设施。</w:t>
                  </w:r>
                </w:p>
              </w:tc>
              <w:tc>
                <w:tcPr>
                  <w:tcW w:w="4273" w:type="dxa"/>
                  <w:shd w:val="clear" w:color="auto" w:fill="auto"/>
                  <w:vAlign w:val="center"/>
                </w:tcPr>
                <w:p w14:paraId="3A2D99DE">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本项目无生产废水产生及排放，</w:t>
                  </w:r>
                  <w:r>
                    <w:rPr>
                      <w:rFonts w:hint="default" w:ascii="Times New Roman" w:hAnsi="Times New Roman" w:cs="Times New Roman"/>
                      <w:color w:val="auto"/>
                      <w:highlight w:val="none"/>
                    </w:rPr>
                    <w:t>本项目从原项目调配人员，不新增员工，不新增生活污水</w:t>
                  </w:r>
                  <w:r>
                    <w:rPr>
                      <w:rFonts w:hint="default" w:ascii="Times New Roman" w:hAnsi="Times New Roman" w:cs="Times New Roman"/>
                      <w:color w:val="auto"/>
                      <w:szCs w:val="21"/>
                      <w:highlight w:val="none"/>
                    </w:rPr>
                    <w:t>，不涉及排放重金属，本项目排放挥发性有机物，需进行等量替代，</w:t>
                  </w:r>
                  <w:r>
                    <w:rPr>
                      <w:rFonts w:hint="default" w:ascii="Times New Roman" w:hAnsi="Times New Roman" w:cs="Times New Roman"/>
                      <w:color w:val="auto"/>
                      <w:kern w:val="0"/>
                      <w:sz w:val="21"/>
                      <w:szCs w:val="21"/>
                      <w:highlight w:val="none"/>
                      <w:lang w:val="en-US" w:eastAsia="zh-CN"/>
                    </w:rPr>
                    <w:t>通过取消本企业原计划工程及“以新带老”措施</w:t>
                  </w:r>
                  <w:r>
                    <w:rPr>
                      <w:rFonts w:hint="default" w:ascii="Times New Roman" w:hAnsi="Times New Roman" w:cs="Times New Roman"/>
                      <w:color w:val="auto"/>
                      <w:spacing w:val="-1"/>
                      <w:kern w:val="2"/>
                      <w:sz w:val="21"/>
                      <w:szCs w:val="21"/>
                      <w:highlight w:val="none"/>
                      <w:lang w:val="en-US" w:eastAsia="zh-CN"/>
                    </w:rPr>
                    <w:t>获得总量，</w:t>
                  </w:r>
                  <w:r>
                    <w:rPr>
                      <w:rFonts w:hint="default" w:ascii="Times New Roman" w:hAnsi="Times New Roman" w:cs="Times New Roman"/>
                      <w:color w:val="auto"/>
                      <w:kern w:val="0"/>
                      <w:sz w:val="21"/>
                      <w:szCs w:val="21"/>
                      <w:highlight w:val="none"/>
                      <w:lang w:val="en-US" w:eastAsia="zh-CN"/>
                    </w:rPr>
                    <w:t>无需额外申请总量指标</w:t>
                  </w:r>
                  <w:r>
                    <w:rPr>
                      <w:rFonts w:hint="default" w:ascii="Times New Roman" w:hAnsi="Times New Roman" w:cs="Times New Roman"/>
                      <w:color w:val="auto"/>
                      <w:szCs w:val="21"/>
                      <w:highlight w:val="none"/>
                    </w:rPr>
                    <w:t>，符合污染物排放管控要求。</w:t>
                  </w:r>
                </w:p>
              </w:tc>
              <w:tc>
                <w:tcPr>
                  <w:tcW w:w="664" w:type="dxa"/>
                  <w:shd w:val="clear" w:color="auto" w:fill="auto"/>
                  <w:vAlign w:val="center"/>
                </w:tcPr>
                <w:p w14:paraId="0274BCA2">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相符</w:t>
                  </w:r>
                </w:p>
              </w:tc>
            </w:tr>
            <w:tr w14:paraId="0CC1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061" w:type="dxa"/>
                  <w:vMerge w:val="continue"/>
                  <w:shd w:val="clear" w:color="auto" w:fill="auto"/>
                  <w:vAlign w:val="center"/>
                </w:tcPr>
                <w:p w14:paraId="54CA39AE">
                  <w:pPr>
                    <w:jc w:val="center"/>
                    <w:outlineLvl w:val="0"/>
                    <w:rPr>
                      <w:rFonts w:hint="default" w:ascii="Times New Roman" w:hAnsi="Times New Roman" w:cs="Times New Roman"/>
                      <w:color w:val="auto"/>
                      <w:szCs w:val="21"/>
                      <w:highlight w:val="none"/>
                    </w:rPr>
                  </w:pPr>
                </w:p>
              </w:tc>
              <w:tc>
                <w:tcPr>
                  <w:tcW w:w="1080" w:type="dxa"/>
                  <w:shd w:val="clear" w:color="auto" w:fill="auto"/>
                  <w:vAlign w:val="center"/>
                </w:tcPr>
                <w:p w14:paraId="6D13B4C8">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环境风险防控</w:t>
                  </w:r>
                </w:p>
              </w:tc>
              <w:tc>
                <w:tcPr>
                  <w:tcW w:w="5446" w:type="dxa"/>
                  <w:shd w:val="clear" w:color="auto" w:fill="auto"/>
                  <w:vAlign w:val="center"/>
                </w:tcPr>
                <w:p w14:paraId="280B3E11">
                  <w:pP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4-1.【风险/综合类】园区内生产、使用、储存危险化学品的项目应设置足够容积的事故应急池，园区应制定环境风险事故防范和应急预案，建立健全企业、园区和市政三级事故应急体系，落实有效的事故风险防范和应急措施，有效防范污染事故发生，并避免发生事故对周围环境造成污染，确保环境安全。园区污染处理厂设置足够容积的事故应急池，纳污水体设置水质监控断面，发现问题，及时采取限制废水排放等措施。</w:t>
                  </w:r>
                </w:p>
              </w:tc>
              <w:tc>
                <w:tcPr>
                  <w:tcW w:w="4273" w:type="dxa"/>
                  <w:shd w:val="clear" w:color="auto" w:fill="auto"/>
                  <w:vAlign w:val="center"/>
                </w:tcPr>
                <w:p w14:paraId="5258CABF">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本项目制定有效的事故风险防范和应急措施，为防范污染事故发生，并避免发生事故对周围环境造成污染，确保环境安全。项目符合环境风险防控要求。</w:t>
                  </w:r>
                </w:p>
              </w:tc>
              <w:tc>
                <w:tcPr>
                  <w:tcW w:w="664" w:type="dxa"/>
                  <w:shd w:val="clear" w:color="auto" w:fill="auto"/>
                  <w:vAlign w:val="center"/>
                </w:tcPr>
                <w:p w14:paraId="3366E08C">
                  <w:pPr>
                    <w:jc w:val="center"/>
                    <w:outlineLvl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相符</w:t>
                  </w:r>
                </w:p>
              </w:tc>
            </w:tr>
          </w:tbl>
          <w:p w14:paraId="693DDDA6">
            <w:pPr>
              <w:spacing w:line="360" w:lineRule="auto"/>
              <w:outlineLvl w:val="0"/>
              <w:rPr>
                <w:rFonts w:hint="default" w:ascii="Times New Roman" w:hAnsi="Times New Roman" w:eastAsia="黑体" w:cs="Times New Roman"/>
                <w:color w:val="auto"/>
                <w:sz w:val="30"/>
                <w:highlight w:val="none"/>
              </w:rPr>
            </w:pPr>
          </w:p>
        </w:tc>
      </w:tr>
    </w:tbl>
    <w:p w14:paraId="445D5A40">
      <w:pPr>
        <w:rPr>
          <w:rFonts w:hint="default" w:ascii="Times New Roman" w:hAnsi="Times New Roman" w:cs="Times New Roman"/>
          <w:color w:val="auto"/>
          <w:highlight w:val="none"/>
        </w:rPr>
        <w:sectPr>
          <w:footerReference r:id="rId10" w:type="default"/>
          <w:pgSz w:w="16838" w:h="11906" w:orient="landscape"/>
          <w:pgMar w:top="1134" w:right="1417" w:bottom="1134" w:left="1417" w:header="851" w:footer="851" w:gutter="0"/>
          <w:cols w:space="720" w:num="1"/>
          <w:docGrid w:linePitch="312" w:charSpace="0"/>
        </w:sectPr>
      </w:pPr>
    </w:p>
    <w:tbl>
      <w:tblPr>
        <w:tblStyle w:val="2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7892"/>
      </w:tblGrid>
      <w:tr w14:paraId="3827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3" w:hRule="atLeast"/>
        </w:trPr>
        <w:tc>
          <w:tcPr>
            <w:tcW w:w="1168" w:type="dxa"/>
            <w:shd w:val="clear" w:color="auto" w:fill="auto"/>
          </w:tcPr>
          <w:p w14:paraId="4C5C100F">
            <w:pPr>
              <w:outlineLvl w:val="0"/>
              <w:rPr>
                <w:rFonts w:hint="default" w:ascii="Times New Roman" w:hAnsi="Times New Roman" w:cs="Times New Roman"/>
                <w:color w:val="auto"/>
                <w:sz w:val="24"/>
                <w:highlight w:val="none"/>
              </w:rPr>
            </w:pPr>
          </w:p>
        </w:tc>
        <w:tc>
          <w:tcPr>
            <w:tcW w:w="7892" w:type="dxa"/>
            <w:shd w:val="clear" w:color="auto" w:fill="auto"/>
          </w:tcPr>
          <w:p w14:paraId="02E0DBE1">
            <w:pPr>
              <w:spacing w:before="120" w:beforeLines="50" w:line="360" w:lineRule="auto"/>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（2）环境质量底线相符性分析</w:t>
            </w:r>
          </w:p>
          <w:p w14:paraId="076004B5">
            <w:pPr>
              <w:spacing w:before="120" w:beforeLines="50" w:line="360" w:lineRule="auto"/>
              <w:ind w:firstLine="480" w:firstLineChars="200"/>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现状调查结果，项目所在区域地表水、环境空气等均满足其相应的功能区划要求，根据环境影响分析结果，项目废气产生量较小，均采取相应措施处理后达标排放；本项目从原项目调配人员，不新增员工，不新增生活污水；</w:t>
            </w:r>
            <w:r>
              <w:rPr>
                <w:rStyle w:val="37"/>
                <w:rFonts w:hint="default" w:ascii="Times New Roman" w:hAnsi="Times New Roman" w:cs="Times New Roman"/>
                <w:color w:val="auto"/>
                <w:kern w:val="0"/>
                <w:sz w:val="24"/>
                <w:szCs w:val="24"/>
                <w:highlight w:val="none"/>
                <w:lang w:val="en-US" w:eastAsia="zh-CN"/>
              </w:rPr>
              <w:t>本项目不产生生产废水，无生产废水排放</w:t>
            </w:r>
            <w:r>
              <w:rPr>
                <w:rFonts w:hint="default" w:ascii="Times New Roman" w:hAnsi="Times New Roman" w:cs="Times New Roman"/>
                <w:color w:val="auto"/>
                <w:sz w:val="24"/>
                <w:highlight w:val="none"/>
              </w:rPr>
              <w:t>噪声满足相应功能区限值要求，固废均得到了妥善处置，不会导致项目所在区域环境质量超标，满足相应的功能区划要求，因此，本项目符合环境质量底线的要求。</w:t>
            </w:r>
          </w:p>
          <w:p w14:paraId="09A14F8D">
            <w:pPr>
              <w:spacing w:before="120" w:beforeLines="50" w:line="360" w:lineRule="auto"/>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（3）资源利用上线相符性分析</w:t>
            </w:r>
          </w:p>
          <w:p w14:paraId="0C759CBF">
            <w:pPr>
              <w:spacing w:before="120" w:beforeLines="50" w:line="360" w:lineRule="auto"/>
              <w:ind w:firstLine="480" w:firstLineChars="200"/>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本项目属于C3360 金属表面处理及热处理加工”，根据《广东省发展改革委关于印发&lt;广东省“两高”项目管理目录（2022年版）&gt;的通知》，本项目不属于广东省“两高”项目，因此，从资源利用上线角度分析，本项目规模和布局具有合理性，从资源利用上限角度分析，本项目具有合理性。</w:t>
            </w:r>
          </w:p>
          <w:p w14:paraId="170B0F61">
            <w:pPr>
              <w:spacing w:before="120" w:beforeLines="50" w:line="360" w:lineRule="auto"/>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（4）生态保护红线相符性分析</w:t>
            </w:r>
          </w:p>
          <w:p w14:paraId="1E59AD76">
            <w:pPr>
              <w:spacing w:before="120" w:beforeLines="50" w:line="360" w:lineRule="auto"/>
              <w:ind w:firstLine="480" w:firstLineChars="200"/>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根据《韶关市区域空间生态环境评价暨“三线一单”编制图集》，本项目不在生态红线内，不会对生态保护红线造成影响，因此，本项目符合生态保护红线的要求。</w:t>
            </w:r>
          </w:p>
          <w:p w14:paraId="7160390E">
            <w:pPr>
              <w:spacing w:before="120" w:beforeLines="50" w:line="360" w:lineRule="auto"/>
              <w:ind w:firstLine="480" w:firstLineChars="200"/>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综上所述，本项目符合《韶关市人民政府&lt;关于印发韶关市“三线一单”生态环境分区管控方案&gt;的通知》（韶府[2021]10号）及</w:t>
            </w:r>
            <w:r>
              <w:rPr>
                <w:rFonts w:hint="default" w:ascii="Times New Roman" w:hAnsi="Times New Roman" w:cs="Times New Roman"/>
                <w:color w:val="auto"/>
                <w:kern w:val="0"/>
                <w:sz w:val="24"/>
                <w:highlight w:val="none"/>
              </w:rPr>
              <w:t>《韶关市人民政府关于印发韶关市生态环境分区管控动态更新成果的通知》（韶环[2024]103号）</w:t>
            </w:r>
            <w:r>
              <w:rPr>
                <w:rFonts w:hint="default" w:ascii="Times New Roman" w:hAnsi="Times New Roman" w:cs="Times New Roman"/>
                <w:color w:val="auto"/>
                <w:sz w:val="24"/>
                <w:highlight w:val="none"/>
              </w:rPr>
              <w:t>的要求。</w:t>
            </w:r>
          </w:p>
          <w:p w14:paraId="1379C497">
            <w:pPr>
              <w:autoSpaceDE w:val="0"/>
              <w:autoSpaceDN w:val="0"/>
              <w:adjustRightInd w:val="0"/>
              <w:snapToGrid w:val="0"/>
              <w:spacing w:before="120" w:beforeLines="50" w:line="360" w:lineRule="auto"/>
              <w:ind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4、与 VOCs相关环保政策相符性分析</w:t>
            </w:r>
          </w:p>
          <w:p w14:paraId="41777F57">
            <w:pPr>
              <w:adjustRightInd w:val="0"/>
              <w:snapToGri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kern w:val="0"/>
                <w:sz w:val="24"/>
                <w:highlight w:val="none"/>
                <w:lang w:bidi="ar"/>
              </w:rPr>
              <w:t>（1）</w:t>
            </w:r>
            <w:r>
              <w:rPr>
                <w:rFonts w:hint="default" w:ascii="Times New Roman" w:hAnsi="Times New Roman" w:cs="Times New Roman"/>
                <w:b/>
                <w:bCs/>
                <w:color w:val="auto"/>
                <w:sz w:val="24"/>
                <w:highlight w:val="none"/>
              </w:rPr>
              <w:t>与《关于印发&lt;重点行业挥发性有机物综合治理方案&gt;的通知》（环大气〔2019〕53号）相符性分析</w:t>
            </w:r>
          </w:p>
          <w:p w14:paraId="205D0612">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大力推进源头替代。通过使用水性、粉末、高固体分、无溶剂、辐射固化等低VOCs含量的涂料，水性、辐射固化、植物基等低VOCs含量的油墨，水基、热熔、无溶剂、辐射固化、改性、生物降解等低VOCs含量的胶粘剂、清洗剂等，从源头减少VOCs产生。</w:t>
            </w:r>
          </w:p>
          <w:p w14:paraId="2BBEB5B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w:t>
            </w:r>
          </w:p>
          <w:p w14:paraId="4E4EB4E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推进建设适宜高效的治污设施。企业新建治污设施或对现有治污设施实施改造，应依据排放废气的浓度、组分、风量，温度、湿度、压力，以及生产工况等，合理选择治理技术。鼓励企业采用多种技术的组合工艺，提高VOCs治理效率。低浓度、大风量废气，宜采用沸石转轮吸附、活性炭吸附、减风增浓等浓缩技术，提高VOCs浓度后净化处理；高浓度废气，优先进行溶剂回收，难以回收的，宜采用高温焚烧、催化燃烧等技术。油气（溶剂）回收宜采用冷凝+吸附、吸附+吸收、膜分离+吸附等技术。低温等离子、光催化、光氧化技术主要适用于恶臭异味等治理；生物法主要适用于低浓度VOCs废气治理和恶臭异味治理。非水溶性的VOCs废气禁止采用水或水溶液喷淋吸收处理。采用一次性活性炭吸附技术的，应定期更换活性炭，废旧活性炭应再生或处理处置。有条件的工业园区和产业集群等，推广集中喷涂、溶剂集中回收、活性炭集中再生等，加强资源共享，提高VOCs治理效率。</w:t>
            </w:r>
          </w:p>
          <w:p w14:paraId="3C7FDAD0">
            <w:pPr>
              <w:widowControl/>
              <w:spacing w:line="360" w:lineRule="auto"/>
              <w:ind w:firstLine="482" w:firstLineChars="200"/>
              <w:jc w:val="left"/>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相符性分析：</w:t>
            </w:r>
            <w:r>
              <w:rPr>
                <w:rFonts w:hint="default" w:ascii="Times New Roman" w:hAnsi="Times New Roman" w:cs="Times New Roman"/>
                <w:color w:val="auto"/>
                <w:sz w:val="24"/>
                <w:highlight w:val="none"/>
              </w:rPr>
              <w:t>本项目有机废气产污工序采用集气罩、通风柜、密闭设 施废气排口直连等方式收集。</w:t>
            </w:r>
            <w:r>
              <w:rPr>
                <w:rFonts w:hint="default" w:ascii="Times New Roman" w:hAnsi="Times New Roman" w:cs="Times New Roman"/>
                <w:color w:val="auto"/>
                <w:kern w:val="0"/>
                <w:sz w:val="24"/>
                <w:highlight w:val="none"/>
                <w:lang w:bidi="ar"/>
              </w:rPr>
              <w:t>喷</w:t>
            </w:r>
            <w:r>
              <w:rPr>
                <w:rFonts w:hint="default" w:ascii="Times New Roman" w:hAnsi="Times New Roman" w:cs="Times New Roman"/>
                <w:color w:val="auto"/>
                <w:kern w:val="0"/>
                <w:sz w:val="24"/>
                <w:highlight w:val="none"/>
                <w:lang w:val="en-US" w:eastAsia="zh-CN" w:bidi="ar"/>
              </w:rPr>
              <w:t>涂</w:t>
            </w:r>
            <w:r>
              <w:rPr>
                <w:rFonts w:hint="default" w:ascii="Times New Roman" w:hAnsi="Times New Roman" w:cs="Times New Roman"/>
                <w:color w:val="auto"/>
                <w:kern w:val="0"/>
                <w:sz w:val="24"/>
                <w:highlight w:val="none"/>
                <w:lang w:bidi="ar"/>
              </w:rPr>
              <w:t>、烘烤工序产生的有机废气经二级活性炭吸附装置处理达标后由15米高排气筒排放。</w:t>
            </w:r>
            <w:r>
              <w:rPr>
                <w:rFonts w:hint="default" w:ascii="Times New Roman" w:hAnsi="Times New Roman" w:cs="Times New Roman"/>
                <w:color w:val="auto"/>
                <w:sz w:val="24"/>
                <w:highlight w:val="none"/>
              </w:rPr>
              <w:t>因此，本项目符合《关于印发&lt;重点行业挥发性有机物综合治理方案&gt;的通知》（环大气〔2019〕53号）要求。</w:t>
            </w:r>
          </w:p>
          <w:p w14:paraId="0FFA3AED">
            <w:pPr>
              <w:spacing w:line="360" w:lineRule="auto"/>
              <w:ind w:firstLine="482" w:firstLineChars="200"/>
              <w:outlineLvl w:val="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（2）与《广东省生态环境厅关于印发广东省生态环境保护“十四五”规划的通知》（粤环〔2021〕10号）相符性分析</w:t>
            </w:r>
          </w:p>
          <w:p w14:paraId="0DB35604">
            <w:pPr>
              <w:spacing w:line="360" w:lineRule="auto"/>
              <w:ind w:firstLine="480" w:firstLineChars="200"/>
              <w:outlineLvl w:val="0"/>
              <w:rPr>
                <w:rFonts w:hint="default" w:ascii="Times New Roman" w:hAnsi="Times New Roman" w:cs="Times New Roman"/>
                <w:b/>
                <w:color w:val="auto"/>
                <w:kern w:val="0"/>
                <w:sz w:val="24"/>
                <w:highlight w:val="none"/>
              </w:rPr>
            </w:pPr>
            <w:r>
              <w:rPr>
                <w:rFonts w:hint="default" w:ascii="Times New Roman" w:hAnsi="Times New Roman" w:cs="Times New Roman"/>
                <w:color w:val="auto"/>
                <w:sz w:val="24"/>
                <w:highlight w:val="none"/>
              </w:rPr>
              <w:t>该通知中与本项目相关的内容如下：大力推进挥发性有机物（VOCs）源头控制和重点行业深度治理。开展原油、成品油、有机化学品等涉VOCs物质储罐排查，深化重点行业VOCs排放基数调查，系统掌握工业源VOCs精细化管理。在石化、化工、包装印刷、工业涂装等重点行业建立完善源头、过程和末端的VOCs全过程控制体系。大力推进低VOCs含量原辅材料源头替代，严格落实国家和地方产品VOCs含量限值标准质量，禁止建设生产和使用高VOCs含量的溶剂型涂料、油墨、胶粘剂等项目。严格实施VOCs排放企业分级管控，全面推进涉VOCs排气企业深度治理。开展中小型企业废气收集和治理设施建设、运行情况的评估，强化对企业涉VOCs生产车间/工序废气的收集管理，推动企业开展治理设施升级改造。推进工业园区、企业集群因地制宜统筹规划建设一批集中喷涂中心（共性工厂）、活性炭集中再生中心，实现VOCs集中高效处理。开展无组织排放源排查，加强含VOCs物料全方位、全链条、全环节密闭管理，深入推进泄漏检测与修复（LDAR）工作。</w:t>
            </w:r>
          </w:p>
          <w:p w14:paraId="33F7889B">
            <w:pPr>
              <w:widowControl/>
              <w:spacing w:line="360" w:lineRule="auto"/>
              <w:ind w:firstLine="482" w:firstLineChars="200"/>
              <w:jc w:val="left"/>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相符性分析：</w:t>
            </w:r>
            <w:r>
              <w:rPr>
                <w:rFonts w:hint="default" w:ascii="Times New Roman" w:hAnsi="Times New Roman" w:cs="Times New Roman"/>
                <w:color w:val="auto"/>
                <w:sz w:val="24"/>
                <w:highlight w:val="none"/>
              </w:rPr>
              <w:t>本项目属于《国民经济行业分类》（GB/T4754-2017）分类中的“C3360 金属表面处理及热处理加工”。项目使用的“有机硅耐高温漆+稀释剂</w:t>
            </w:r>
            <w:r>
              <w:rPr>
                <w:rStyle w:val="37"/>
                <w:rFonts w:hint="default" w:ascii="Times New Roman" w:hAnsi="Times New Roman" w:cs="Times New Roman"/>
                <w:color w:val="auto"/>
                <w:kern w:val="0"/>
                <w:szCs w:val="20"/>
                <w:highlight w:val="none"/>
              </w:rPr>
              <w:t>（</w:t>
            </w:r>
            <w:r>
              <w:rPr>
                <w:rFonts w:hint="default" w:ascii="Times New Roman" w:hAnsi="Times New Roman" w:cs="Times New Roman"/>
                <w:color w:val="auto"/>
                <w:sz w:val="24"/>
                <w:highlight w:val="none"/>
              </w:rPr>
              <w:t>调配后</w:t>
            </w:r>
            <w:r>
              <w:rPr>
                <w:rStyle w:val="37"/>
                <w:rFonts w:hint="default" w:ascii="Times New Roman" w:hAnsi="Times New Roman" w:cs="Times New Roman"/>
                <w:color w:val="auto"/>
                <w:kern w:val="0"/>
                <w:szCs w:val="20"/>
                <w:highlight w:val="none"/>
              </w:rPr>
              <w:t>）”</w:t>
            </w:r>
            <w:r>
              <w:rPr>
                <w:rFonts w:hint="default" w:ascii="Times New Roman" w:hAnsi="Times New Roman" w:cs="Times New Roman"/>
                <w:color w:val="auto"/>
                <w:sz w:val="24"/>
                <w:highlight w:val="none"/>
              </w:rPr>
              <w:t>、热固性粉末涂料属于低</w:t>
            </w:r>
            <w:r>
              <w:rPr>
                <w:rFonts w:hint="default" w:ascii="Times New Roman" w:hAnsi="Times New Roman" w:cs="Times New Roman"/>
                <w:color w:val="auto"/>
                <w:sz w:val="24"/>
                <w:highlight w:val="none"/>
                <w:lang w:bidi="ar"/>
              </w:rPr>
              <w:t>挥发性原辅材料。</w:t>
            </w:r>
          </w:p>
          <w:p w14:paraId="3A408224">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调配后的油性漆在喷漆过程中挥发性有机化合物含量（VOCs）为384g/L，油性漆与稀释剂的调配比例为4：1（质量比），</w:t>
            </w:r>
            <w:r>
              <w:rPr>
                <w:rFonts w:hint="default" w:ascii="Times New Roman" w:hAnsi="Times New Roman" w:cs="Times New Roman"/>
                <w:color w:val="auto"/>
                <w:sz w:val="24"/>
                <w:highlight w:val="none"/>
                <w:lang w:bidi="ar"/>
              </w:rPr>
              <w:t>油性漆VOCs含量详见附件14。</w:t>
            </w:r>
            <w:r>
              <w:rPr>
                <w:rFonts w:hint="default" w:ascii="Times New Roman" w:hAnsi="Times New Roman" w:cs="Times New Roman"/>
                <w:color w:val="auto"/>
                <w:kern w:val="0"/>
                <w:sz w:val="24"/>
                <w:highlight w:val="none"/>
                <w:lang w:bidi="ar"/>
              </w:rPr>
              <w:t>调配后的油性漆符合《低挥发性有机化合物含量涂料产品技术要求》（GB/T 38597-2020）表2 溶剂型涂料中VOC含量的要求－港口机械和化工机械涂料(含零部件涂料)面漆≤450g/L。</w:t>
            </w:r>
          </w:p>
          <w:p w14:paraId="57CD8521">
            <w:pPr>
              <w:spacing w:line="360" w:lineRule="auto"/>
              <w:ind w:firstLine="480" w:firstLineChars="200"/>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项目有机废气产污工序采用集气罩、通风柜、密闭设施废气排口直连等方式收集。</w:t>
            </w:r>
            <w:r>
              <w:rPr>
                <w:rFonts w:hint="default" w:ascii="Times New Roman" w:hAnsi="Times New Roman" w:cs="Times New Roman"/>
                <w:color w:val="auto"/>
                <w:kern w:val="0"/>
                <w:sz w:val="24"/>
                <w:highlight w:val="none"/>
                <w:lang w:bidi="ar"/>
              </w:rPr>
              <w:t>喷</w:t>
            </w:r>
            <w:r>
              <w:rPr>
                <w:rFonts w:hint="default" w:ascii="Times New Roman" w:hAnsi="Times New Roman" w:cs="Times New Roman"/>
                <w:color w:val="auto"/>
                <w:kern w:val="0"/>
                <w:sz w:val="24"/>
                <w:highlight w:val="none"/>
                <w:lang w:val="en-US" w:eastAsia="zh-CN" w:bidi="ar"/>
              </w:rPr>
              <w:t>涂</w:t>
            </w:r>
            <w:r>
              <w:rPr>
                <w:rFonts w:hint="default" w:ascii="Times New Roman" w:hAnsi="Times New Roman" w:cs="Times New Roman"/>
                <w:color w:val="auto"/>
                <w:kern w:val="0"/>
                <w:sz w:val="24"/>
                <w:highlight w:val="none"/>
                <w:lang w:bidi="ar"/>
              </w:rPr>
              <w:t>、烘烤工序产生的有机废气经二级活性炭吸附装置处理达标后由15米高排气筒排放。</w:t>
            </w:r>
            <w:r>
              <w:rPr>
                <w:rFonts w:hint="default" w:ascii="Times New Roman" w:hAnsi="Times New Roman" w:cs="Times New Roman"/>
                <w:color w:val="auto"/>
                <w:sz w:val="24"/>
                <w:highlight w:val="none"/>
              </w:rPr>
              <w:t>符合《广东省环境保护厅关于印发广东省生态环境保护“十四五”规划的通知》。</w:t>
            </w:r>
          </w:p>
          <w:p w14:paraId="02792BF8">
            <w:pPr>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kern w:val="0"/>
                <w:sz w:val="24"/>
                <w:highlight w:val="none"/>
              </w:rPr>
              <w:t>（3）与《广东省2023年大气污染防治工作方案》（粤办函〔2023〕50号）的相符性分析</w:t>
            </w:r>
          </w:p>
          <w:p w14:paraId="7D98688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《广东省人民政府办公厅关于印发广东省2023年大气污染防治工作方案的通知》 中要求“开展简易低效VOCs 治理设施清理整治。严格限制新改扩建项目使用光催化、光氧化、水喷淋（吸收可溶性VOCs 除外）、低温等离子等低效VOCs 治理设施（恶臭处理除外）。各地要对低效VOCs治理设施开展排查，对达不到治理要求的单位，要督促其更换或升级改造。2023年底前，完成1068个低效VOCs 治理设施改造升级，并在省固定源大气污染防治综合应用平台上更新改造升级相关信息。”、“加强低VOCs 含量原辅材料应用。应用涂装工艺的工业企业应当使用低 VOCs 含量的涂料并建立保存期限不得少于三年的台账，记录生产原辅材料的使用量、废弃量、去向以及VOCs含量。新改扩建的出版物印刷类项目全面使用低VOCs含量的油墨。皮鞋制造、家具制造类项目基本使用低VOCs含量的胶粘剂。房屋建筑和市政工程全面使用低VOCs含量的涂料和胶粘剂，室内地坪施工、室外构筑物防护和城市道路交通标志（特殊功能要求的除外）基本使用低VOCs 含量的涂料。”</w:t>
            </w:r>
          </w:p>
          <w:p w14:paraId="5AF0413E">
            <w:pPr>
              <w:spacing w:line="360" w:lineRule="auto"/>
              <w:ind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相符性分析：</w:t>
            </w:r>
            <w:r>
              <w:rPr>
                <w:rFonts w:hint="default" w:ascii="Times New Roman" w:hAnsi="Times New Roman" w:cs="Times New Roman"/>
                <w:color w:val="auto"/>
                <w:sz w:val="24"/>
                <w:highlight w:val="none"/>
              </w:rPr>
              <w:t>项目有机废气产污工序采用集气罩、通风柜、密闭设施废气排口直连等方式收集。</w:t>
            </w:r>
            <w:r>
              <w:rPr>
                <w:rFonts w:hint="default" w:ascii="Times New Roman" w:hAnsi="Times New Roman" w:cs="Times New Roman"/>
                <w:color w:val="auto"/>
                <w:kern w:val="0"/>
                <w:sz w:val="24"/>
                <w:highlight w:val="none"/>
                <w:lang w:bidi="ar"/>
              </w:rPr>
              <w:t>喷</w:t>
            </w:r>
            <w:r>
              <w:rPr>
                <w:rFonts w:hint="default" w:ascii="Times New Roman" w:hAnsi="Times New Roman" w:cs="Times New Roman"/>
                <w:color w:val="auto"/>
                <w:kern w:val="0"/>
                <w:sz w:val="24"/>
                <w:highlight w:val="none"/>
                <w:lang w:val="en-US" w:eastAsia="zh-CN" w:bidi="ar"/>
              </w:rPr>
              <w:t>涂</w:t>
            </w:r>
            <w:r>
              <w:rPr>
                <w:rFonts w:hint="default" w:ascii="Times New Roman" w:hAnsi="Times New Roman" w:cs="Times New Roman"/>
                <w:color w:val="auto"/>
                <w:kern w:val="0"/>
                <w:sz w:val="24"/>
                <w:highlight w:val="none"/>
                <w:lang w:bidi="ar"/>
              </w:rPr>
              <w:t>、烘烤工序产生的有机废气经二级活性炭吸附装置处理达标后由15米高排气筒排放。</w:t>
            </w:r>
            <w:r>
              <w:rPr>
                <w:rFonts w:hint="default" w:ascii="Times New Roman" w:hAnsi="Times New Roman" w:cs="Times New Roman"/>
                <w:color w:val="auto"/>
                <w:sz w:val="24"/>
                <w:highlight w:val="none"/>
              </w:rPr>
              <w:t>因此，本项目符合《广东省人民政府办公厅关于印发广东省2023年大气污染防治工作方案的通知》（粤办函〔2023〕50号）要求。</w:t>
            </w:r>
          </w:p>
          <w:p w14:paraId="4E03CBB4">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02AA8C9D">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63E11CCE">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4E1AE666">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7905C68B">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6D9ECD7C">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003E0C28">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6765029E">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2922480F">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23333574">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7E9659FC">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69071740">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5013D215">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236F55AF">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0136DD31">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30D04046">
            <w:pPr>
              <w:autoSpaceDE w:val="0"/>
              <w:autoSpaceDN w:val="0"/>
              <w:adjustRightInd w:val="0"/>
              <w:snapToGrid w:val="0"/>
              <w:spacing w:line="360" w:lineRule="auto"/>
              <w:rPr>
                <w:rFonts w:hint="default" w:ascii="Times New Roman" w:hAnsi="Times New Roman" w:cs="Times New Roman"/>
                <w:b/>
                <w:color w:val="auto"/>
                <w:szCs w:val="21"/>
                <w:highlight w:val="none"/>
              </w:rPr>
            </w:pPr>
          </w:p>
          <w:p w14:paraId="403E7BFF">
            <w:pPr>
              <w:pStyle w:val="8"/>
              <w:rPr>
                <w:rFonts w:hint="default" w:ascii="Times New Roman" w:hAnsi="Times New Roman" w:cs="Times New Roman"/>
                <w:color w:val="auto"/>
                <w:highlight w:val="none"/>
              </w:rPr>
            </w:pPr>
          </w:p>
        </w:tc>
      </w:tr>
    </w:tbl>
    <w:p w14:paraId="67BCEEF5">
      <w:pPr>
        <w:pStyle w:val="42"/>
        <w:rPr>
          <w:rFonts w:hint="default" w:ascii="Times New Roman" w:hAnsi="Times New Roman" w:cs="Times New Roman"/>
          <w:color w:val="auto"/>
          <w:highlight w:val="none"/>
        </w:rPr>
        <w:sectPr>
          <w:pgSz w:w="11906" w:h="16838"/>
          <w:pgMar w:top="1417" w:right="1134" w:bottom="1417" w:left="1134" w:header="851" w:footer="851" w:gutter="0"/>
          <w:cols w:space="720" w:num="1"/>
          <w:docGrid w:linePitch="312" w:charSpace="0"/>
        </w:sectPr>
      </w:pPr>
    </w:p>
    <w:tbl>
      <w:tblPr>
        <w:tblStyle w:val="26"/>
        <w:tblW w:w="13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2713"/>
      </w:tblGrid>
      <w:tr w14:paraId="7F2D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0" w:hRule="atLeast"/>
          <w:jc w:val="center"/>
        </w:trPr>
        <w:tc>
          <w:tcPr>
            <w:tcW w:w="939" w:type="dxa"/>
            <w:shd w:val="clear" w:color="auto" w:fill="auto"/>
            <w:vAlign w:val="center"/>
          </w:tcPr>
          <w:p w14:paraId="56281C6C">
            <w:pPr>
              <w:jc w:val="center"/>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其他符合性分析</w:t>
            </w:r>
          </w:p>
        </w:tc>
        <w:tc>
          <w:tcPr>
            <w:tcW w:w="12713" w:type="dxa"/>
            <w:shd w:val="clear" w:color="auto" w:fill="auto"/>
            <w:vAlign w:val="center"/>
          </w:tcPr>
          <w:p w14:paraId="5BD738E5">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（4）与广东省《固定污染源挥发性有机物综合排放标准》（DB44/2367-2022）相符性分析</w:t>
            </w:r>
          </w:p>
          <w:p w14:paraId="6AAE84FA">
            <w:pPr>
              <w:autoSpaceDE w:val="0"/>
              <w:autoSpaceDN w:val="0"/>
              <w:adjustRightInd w:val="0"/>
              <w:snapToGrid w:val="0"/>
              <w:spacing w:line="360" w:lineRule="auto"/>
              <w:ind w:firstLine="48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 w:val="24"/>
                <w:highlight w:val="none"/>
              </w:rPr>
              <w:t>根据广东省《固定污染源挥发性有机物综合排放标准》（DB44/2367-2022），本项目VOCs排放控制要求见下表。</w:t>
            </w:r>
          </w:p>
          <w:p w14:paraId="44305837">
            <w:pPr>
              <w:autoSpaceDE w:val="0"/>
              <w:autoSpaceDN w:val="0"/>
              <w:adjustRightInd w:val="0"/>
              <w:snapToGrid w:val="0"/>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表1-3 与广东省《固定污染源挥发性有机物综合排放标准》相符性分析一览表</w:t>
            </w:r>
          </w:p>
          <w:tbl>
            <w:tblPr>
              <w:tblStyle w:val="26"/>
              <w:tblW w:w="12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1729"/>
              <w:gridCol w:w="4749"/>
              <w:gridCol w:w="3739"/>
              <w:gridCol w:w="1166"/>
            </w:tblGrid>
            <w:tr w14:paraId="549A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blHeader/>
                <w:jc w:val="center"/>
              </w:trPr>
              <w:tc>
                <w:tcPr>
                  <w:tcW w:w="1133" w:type="dxa"/>
                  <w:vAlign w:val="center"/>
                </w:tcPr>
                <w:p w14:paraId="0DB51751">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控制环节</w:t>
                  </w:r>
                </w:p>
              </w:tc>
              <w:tc>
                <w:tcPr>
                  <w:tcW w:w="6478" w:type="dxa"/>
                  <w:gridSpan w:val="2"/>
                  <w:vAlign w:val="center"/>
                </w:tcPr>
                <w:p w14:paraId="774C3006">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控制要求</w:t>
                  </w:r>
                </w:p>
              </w:tc>
              <w:tc>
                <w:tcPr>
                  <w:tcW w:w="3739" w:type="dxa"/>
                  <w:vAlign w:val="center"/>
                </w:tcPr>
                <w:p w14:paraId="40DB5FD3">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项目措施</w:t>
                  </w:r>
                </w:p>
              </w:tc>
              <w:tc>
                <w:tcPr>
                  <w:tcW w:w="1166" w:type="dxa"/>
                  <w:vAlign w:val="center"/>
                </w:tcPr>
                <w:p w14:paraId="3AF7EF0E">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符合情况</w:t>
                  </w:r>
                </w:p>
              </w:tc>
            </w:tr>
            <w:tr w14:paraId="2B62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restart"/>
                  <w:vAlign w:val="center"/>
                </w:tcPr>
                <w:p w14:paraId="4E8E5EF4">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有组织排放控制要求</w:t>
                  </w:r>
                </w:p>
              </w:tc>
              <w:tc>
                <w:tcPr>
                  <w:tcW w:w="6478" w:type="dxa"/>
                  <w:gridSpan w:val="2"/>
                  <w:vAlign w:val="center"/>
                </w:tcPr>
                <w:p w14:paraId="46DD9367">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收集的废气中 NMHC 初始排放速率≥3 kg/h 时，应当配置 VOCs处理设施，处理效率不应当低于80%。对于重点地区，收集的废气中NMHC初始排放速率 ≥ 2 kg/h 时，应当配置VOCs处理设施，处理效率不应当低于80%；采用的原辅材料符合国家有关低 VOCs 含量产品规定的除外。</w:t>
                  </w:r>
                </w:p>
              </w:tc>
              <w:tc>
                <w:tcPr>
                  <w:tcW w:w="3739" w:type="dxa"/>
                  <w:vAlign w:val="center"/>
                </w:tcPr>
                <w:p w14:paraId="3D6CAB50">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根据后文污染源强分析，喷</w:t>
                  </w:r>
                  <w:r>
                    <w:rPr>
                      <w:rFonts w:hint="default" w:ascii="Times New Roman" w:hAnsi="Times New Roman" w:cs="Times New Roman"/>
                      <w:color w:val="auto"/>
                      <w:kern w:val="0"/>
                      <w:szCs w:val="21"/>
                      <w:highlight w:val="none"/>
                      <w:lang w:val="en-US" w:eastAsia="zh-CN"/>
                    </w:rPr>
                    <w:t>涂</w:t>
                  </w:r>
                  <w:r>
                    <w:rPr>
                      <w:rFonts w:hint="default" w:ascii="Times New Roman" w:hAnsi="Times New Roman" w:cs="Times New Roman"/>
                      <w:color w:val="auto"/>
                      <w:kern w:val="0"/>
                      <w:szCs w:val="21"/>
                      <w:highlight w:val="none"/>
                    </w:rPr>
                    <w:t>、烘烤工序废气采用二</w:t>
                  </w:r>
                  <w:r>
                    <w:rPr>
                      <w:rFonts w:hint="default" w:ascii="Times New Roman" w:hAnsi="Times New Roman" w:cs="Times New Roman"/>
                      <w:color w:val="auto"/>
                      <w:kern w:val="0"/>
                      <w:szCs w:val="21"/>
                      <w:highlight w:val="none"/>
                      <w:lang w:bidi="ar"/>
                    </w:rPr>
                    <w:t>级活性炭吸附装置</w:t>
                  </w:r>
                  <w:r>
                    <w:rPr>
                      <w:rFonts w:hint="default" w:ascii="Times New Roman" w:hAnsi="Times New Roman" w:cs="Times New Roman"/>
                      <w:color w:val="auto"/>
                      <w:kern w:val="0"/>
                      <w:szCs w:val="21"/>
                      <w:highlight w:val="none"/>
                    </w:rPr>
                    <w:t>处理达标后</w:t>
                  </w:r>
                  <w:r>
                    <w:rPr>
                      <w:rFonts w:hint="default" w:ascii="Times New Roman" w:hAnsi="Times New Roman" w:cs="Times New Roman"/>
                      <w:bCs/>
                      <w:color w:val="auto"/>
                      <w:szCs w:val="21"/>
                      <w:highlight w:val="none"/>
                    </w:rPr>
                    <w:t>排放</w:t>
                  </w:r>
                  <w:r>
                    <w:rPr>
                      <w:rFonts w:hint="default" w:ascii="Times New Roman" w:hAnsi="Times New Roman" w:cs="Times New Roman"/>
                      <w:color w:val="auto"/>
                      <w:kern w:val="0"/>
                      <w:szCs w:val="21"/>
                      <w:highlight w:val="none"/>
                    </w:rPr>
                    <w:t>，处理效率达8</w:t>
                  </w:r>
                  <w:r>
                    <w:rPr>
                      <w:rFonts w:hint="default" w:ascii="Times New Roman" w:hAnsi="Times New Roman" w:cs="Times New Roman"/>
                      <w:color w:val="auto"/>
                      <w:kern w:val="0"/>
                      <w:szCs w:val="21"/>
                      <w:highlight w:val="none"/>
                      <w:lang w:val="en-US" w:eastAsia="zh-CN"/>
                    </w:rPr>
                    <w:t>7.75</w:t>
                  </w:r>
                  <w:r>
                    <w:rPr>
                      <w:rFonts w:hint="default" w:ascii="Times New Roman" w:hAnsi="Times New Roman" w:cs="Times New Roman"/>
                      <w:color w:val="auto"/>
                      <w:kern w:val="0"/>
                      <w:szCs w:val="21"/>
                      <w:highlight w:val="none"/>
                    </w:rPr>
                    <w:t>%。</w:t>
                  </w:r>
                </w:p>
              </w:tc>
              <w:tc>
                <w:tcPr>
                  <w:tcW w:w="1166" w:type="dxa"/>
                  <w:vAlign w:val="center"/>
                </w:tcPr>
                <w:p w14:paraId="0CF4EE30">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357A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77B98F81">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6478" w:type="dxa"/>
                  <w:gridSpan w:val="2"/>
                  <w:vAlign w:val="center"/>
                </w:tcPr>
                <w:p w14:paraId="24C33C3B">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废气收集处理系统应当与生产工艺设备同步运行，较生产工艺设备做到“先启后停”。废气收集处理系统发生故障或者检修时，对应的生产工艺设备应当停止运行，待检修完毕后同步投入使用；生产工艺设备不能停止运行或者不能及时停止运行的，应当设置废气应急处理设施或者采取其他替代措施。</w:t>
                  </w:r>
                </w:p>
              </w:tc>
              <w:tc>
                <w:tcPr>
                  <w:tcW w:w="3739" w:type="dxa"/>
                  <w:vAlign w:val="center"/>
                </w:tcPr>
                <w:p w14:paraId="70EA5A5A">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本项目废气收集处理系统与生产工艺设备同步运行，较生产工艺设备做到“先启后停”。废气收集处理系统发生故障或者检修时，对应的生产工艺设备立即停止运行，待检修完毕后同步投入使用。</w:t>
                  </w:r>
                </w:p>
              </w:tc>
              <w:tc>
                <w:tcPr>
                  <w:tcW w:w="1166" w:type="dxa"/>
                  <w:vAlign w:val="center"/>
                </w:tcPr>
                <w:p w14:paraId="6999345D">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304C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44685F7A">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6478" w:type="dxa"/>
                  <w:gridSpan w:val="2"/>
                  <w:vAlign w:val="center"/>
                </w:tcPr>
                <w:p w14:paraId="7323B4E4">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排气筒高度不低于15m（因安全考虑或者有特殊工艺要求的除外），具体高度以及与周围建筑物的相对高度关系应当根据环境影响评价文件确定。</w:t>
                  </w:r>
                </w:p>
              </w:tc>
              <w:tc>
                <w:tcPr>
                  <w:tcW w:w="3739" w:type="dxa"/>
                  <w:vAlign w:val="center"/>
                </w:tcPr>
                <w:p w14:paraId="3BDF8C69">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本项目排气筒高度均为15m。</w:t>
                  </w:r>
                </w:p>
              </w:tc>
              <w:tc>
                <w:tcPr>
                  <w:tcW w:w="1166" w:type="dxa"/>
                  <w:vAlign w:val="center"/>
                </w:tcPr>
                <w:p w14:paraId="0A1A5C1C">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4945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79724FA8">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6478" w:type="dxa"/>
                  <w:gridSpan w:val="2"/>
                  <w:vAlign w:val="center"/>
                </w:tcPr>
                <w:p w14:paraId="3166DA51">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企业应当建立台账，记录废气收集系统、VOCs 处理设施的主要运行和维护信息，如运行时间、废气处理量、操作温度、停留时间、吸附剂再生/更换周期和更换量、催化剂更换周期和更换量、吸收液 pH 值等关键运行参数。台账保存期限不少于3年。</w:t>
                  </w:r>
                </w:p>
              </w:tc>
              <w:tc>
                <w:tcPr>
                  <w:tcW w:w="3739" w:type="dxa"/>
                  <w:vAlign w:val="center"/>
                </w:tcPr>
                <w:p w14:paraId="51D219AF">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建设单位拟建立台账，记录废气收集系统、VOCs处理设施的主要运行和维护信息。台账保存期限不少于3年。</w:t>
                  </w:r>
                </w:p>
              </w:tc>
              <w:tc>
                <w:tcPr>
                  <w:tcW w:w="1166" w:type="dxa"/>
                  <w:vAlign w:val="center"/>
                </w:tcPr>
                <w:p w14:paraId="04303AA0">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59CA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133" w:type="dxa"/>
                  <w:vMerge w:val="restart"/>
                  <w:vAlign w:val="center"/>
                </w:tcPr>
                <w:p w14:paraId="13670D89">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无组织排放控制要求</w:t>
                  </w:r>
                </w:p>
              </w:tc>
              <w:tc>
                <w:tcPr>
                  <w:tcW w:w="1729" w:type="dxa"/>
                  <w:vMerge w:val="restart"/>
                  <w:vAlign w:val="center"/>
                </w:tcPr>
                <w:p w14:paraId="737EF6F1">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VOCs物料储存无组织排放控制要求</w:t>
                  </w:r>
                </w:p>
              </w:tc>
              <w:tc>
                <w:tcPr>
                  <w:tcW w:w="4749" w:type="dxa"/>
                  <w:vAlign w:val="center"/>
                </w:tcPr>
                <w:p w14:paraId="68D461E7">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VOCs 物料应当储存于密闭的容器、储罐、储库、料仓中。</w:t>
                  </w:r>
                </w:p>
              </w:tc>
              <w:tc>
                <w:tcPr>
                  <w:tcW w:w="3739" w:type="dxa"/>
                  <w:vMerge w:val="restart"/>
                  <w:vAlign w:val="center"/>
                </w:tcPr>
                <w:p w14:paraId="36BCB98E">
                  <w:pPr>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项目涉及的VOCs物料主要为耐高温漆、稀释剂，耐高温漆、稀释剂等均由供应商上门，使用密封铁桶装载并储存在原料仓内，不露天放置；在非取用时处于（加盖）密封状态，可有效控制VOCs废气挥发至空气中。</w:t>
                  </w:r>
                </w:p>
              </w:tc>
              <w:tc>
                <w:tcPr>
                  <w:tcW w:w="1166" w:type="dxa"/>
                  <w:vMerge w:val="restart"/>
                  <w:vAlign w:val="center"/>
                </w:tcPr>
                <w:p w14:paraId="01273FE0">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7608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3C0E605E">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Merge w:val="continue"/>
                  <w:vAlign w:val="center"/>
                </w:tcPr>
                <w:p w14:paraId="0E93D22A">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4749" w:type="dxa"/>
                  <w:vAlign w:val="center"/>
                </w:tcPr>
                <w:p w14:paraId="57F24AD5">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盛装VOCs 物料的容器应当存放于室内，或者存放于设置有雨棚、遮阳和防渗设施的专用场地。盛装VOCs物料的容器或者包装袋在非取用状态时应当加盖、封口，保持密闭。</w:t>
                  </w:r>
                </w:p>
              </w:tc>
              <w:tc>
                <w:tcPr>
                  <w:tcW w:w="3739" w:type="dxa"/>
                  <w:vMerge w:val="continue"/>
                  <w:vAlign w:val="center"/>
                </w:tcPr>
                <w:p w14:paraId="052DA25A">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166" w:type="dxa"/>
                  <w:vMerge w:val="continue"/>
                  <w:vAlign w:val="center"/>
                </w:tcPr>
                <w:p w14:paraId="42BA096C">
                  <w:pPr>
                    <w:autoSpaceDE w:val="0"/>
                    <w:autoSpaceDN w:val="0"/>
                    <w:adjustRightInd w:val="0"/>
                    <w:snapToGrid w:val="0"/>
                    <w:jc w:val="center"/>
                    <w:rPr>
                      <w:rFonts w:hint="default" w:ascii="Times New Roman" w:hAnsi="Times New Roman" w:cs="Times New Roman"/>
                      <w:color w:val="auto"/>
                      <w:kern w:val="0"/>
                      <w:szCs w:val="21"/>
                      <w:highlight w:val="none"/>
                    </w:rPr>
                  </w:pPr>
                </w:p>
              </w:tc>
            </w:tr>
            <w:tr w14:paraId="765A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377CE284">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Merge w:val="continue"/>
                  <w:vAlign w:val="center"/>
                </w:tcPr>
                <w:p w14:paraId="4D0AAC82">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4749" w:type="dxa"/>
                  <w:vAlign w:val="center"/>
                </w:tcPr>
                <w:p w14:paraId="2D88C6CD">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VOCs物料储库、料仓应当利用完整的围护结构将污染物质、作业场所等与周围空间阻隔所形成的封闭区域或者封闭式建筑物。</w:t>
                  </w:r>
                </w:p>
              </w:tc>
              <w:tc>
                <w:tcPr>
                  <w:tcW w:w="3739" w:type="dxa"/>
                  <w:vMerge w:val="continue"/>
                  <w:vAlign w:val="center"/>
                </w:tcPr>
                <w:p w14:paraId="733F7C90">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166" w:type="dxa"/>
                  <w:vMerge w:val="continue"/>
                  <w:vAlign w:val="center"/>
                </w:tcPr>
                <w:p w14:paraId="659A9533">
                  <w:pPr>
                    <w:autoSpaceDE w:val="0"/>
                    <w:autoSpaceDN w:val="0"/>
                    <w:adjustRightInd w:val="0"/>
                    <w:snapToGrid w:val="0"/>
                    <w:jc w:val="center"/>
                    <w:rPr>
                      <w:rFonts w:hint="default" w:ascii="Times New Roman" w:hAnsi="Times New Roman" w:cs="Times New Roman"/>
                      <w:color w:val="auto"/>
                      <w:kern w:val="0"/>
                      <w:szCs w:val="21"/>
                      <w:highlight w:val="none"/>
                    </w:rPr>
                  </w:pPr>
                </w:p>
              </w:tc>
            </w:tr>
            <w:tr w14:paraId="142A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0FB19307">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Merge w:val="restart"/>
                  <w:vAlign w:val="center"/>
                </w:tcPr>
                <w:p w14:paraId="2A622FB6">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VOCs物料转移和输送无组织排放控制要求</w:t>
                  </w:r>
                </w:p>
              </w:tc>
              <w:tc>
                <w:tcPr>
                  <w:tcW w:w="4749" w:type="dxa"/>
                  <w:vAlign w:val="center"/>
                </w:tcPr>
                <w:p w14:paraId="13CD2D7D">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液态VOCs 物料应当采用密闭管道输送。采用非管道输送方式转移液态VOCs 物料时，应当采用密闭容器、罐车。</w:t>
                  </w:r>
                </w:p>
              </w:tc>
              <w:tc>
                <w:tcPr>
                  <w:tcW w:w="3739" w:type="dxa"/>
                  <w:vAlign w:val="center"/>
                </w:tcPr>
                <w:p w14:paraId="4156DC1E">
                  <w:pPr>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项目使用的耐高温漆、稀释剂等用包装桶密封保存，常温下无挥发性，符合要求。</w:t>
                  </w:r>
                </w:p>
              </w:tc>
              <w:tc>
                <w:tcPr>
                  <w:tcW w:w="1166" w:type="dxa"/>
                  <w:vAlign w:val="center"/>
                </w:tcPr>
                <w:p w14:paraId="3C473E38">
                  <w:pPr>
                    <w:autoSpaceDE w:val="0"/>
                    <w:autoSpaceDN w:val="0"/>
                    <w:adjustRightInd w:val="0"/>
                    <w:snapToGrid w:val="0"/>
                    <w:jc w:val="center"/>
                    <w:rPr>
                      <w:rFonts w:hint="default" w:ascii="Times New Roman" w:hAnsi="Times New Roman" w:cs="Times New Roman"/>
                      <w:color w:val="auto"/>
                      <w:kern w:val="0"/>
                      <w:szCs w:val="21"/>
                      <w:highlight w:val="none"/>
                    </w:rPr>
                  </w:pPr>
                </w:p>
              </w:tc>
            </w:tr>
            <w:tr w14:paraId="6B2E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1133" w:type="dxa"/>
                  <w:vMerge w:val="continue"/>
                  <w:vAlign w:val="center"/>
                </w:tcPr>
                <w:p w14:paraId="479E11C8">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Merge w:val="continue"/>
                  <w:vAlign w:val="center"/>
                </w:tcPr>
                <w:p w14:paraId="161CF9A7">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4749" w:type="dxa"/>
                  <w:vAlign w:val="center"/>
                </w:tcPr>
                <w:p w14:paraId="70A246E5">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粉状、粒状 VOCs 物料应当采用气力输送设备、管状带式输送机、螺旋输送机等方式，或者采用密闭的包装袋、容器或者罐车进行物料转移。</w:t>
                  </w:r>
                </w:p>
              </w:tc>
              <w:tc>
                <w:tcPr>
                  <w:tcW w:w="3739" w:type="dxa"/>
                  <w:vAlign w:val="center"/>
                </w:tcPr>
                <w:p w14:paraId="1C86A71F">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本项目采用的热固性粉末涂料采用静电喷枪喷粉，属于气力输送设备，热固性粉末涂料采用密闭的包装袋进行物料转移。</w:t>
                  </w:r>
                </w:p>
              </w:tc>
              <w:tc>
                <w:tcPr>
                  <w:tcW w:w="1166" w:type="dxa"/>
                  <w:vAlign w:val="center"/>
                </w:tcPr>
                <w:p w14:paraId="74C60156">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19CE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6845C8EA">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Align w:val="center"/>
                </w:tcPr>
                <w:p w14:paraId="5839AF9E">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工艺过程 VOCs无组织排放控制要求</w:t>
                  </w:r>
                </w:p>
              </w:tc>
              <w:tc>
                <w:tcPr>
                  <w:tcW w:w="4749" w:type="dxa"/>
                  <w:vAlign w:val="center"/>
                </w:tcPr>
                <w:p w14:paraId="38132ED8">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料投加和卸放无组织排放控制应当符合下列规定：</w:t>
                  </w:r>
                </w:p>
                <w:p w14:paraId="52F8E444">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a）液态VOCs物料应当采用密闭管道输送方式或者采用高位槽（罐）、桶泵等给料方式密闭投加。无法密闭投加的，应当在密闭空间内操作，或者进行局部气体收集，废气应当排至 VOCs废气收集处理系统；</w:t>
                  </w:r>
                </w:p>
                <w:p w14:paraId="3159EFB4">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b）粉状、粒状 VOCs 物料应当采用气力输送方式或者采用密闭固体投料器等给料方式密闭投加。无法密闭投加的，应当在密闭空间内操作，或者进行局部气体收集，废气应当排至除尘设施、VOCs 废气收集处理系统；</w:t>
                  </w:r>
                </w:p>
                <w:p w14:paraId="624D8E8D">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 VOCs卸（出、放）料过程应当密闭，卸料废气应当排至 VOCs 废气收集处理系统；无法密闭的，应当采取局部气体收集措施，废气应当排至 VOCs 废气收集处理系统。</w:t>
                  </w:r>
                </w:p>
                <w:p w14:paraId="54629FF9">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VOCs 质量占比≥10%的含 VOCs 产品，其使用过程应当采用密闭设备或者在密闭空间内操作，废气应当排至 VOCs 废气收集处理系统；无法密闭的，应当采取局部气体收集措施，废气应当排至VOCs废气收集处理系统。含 VOCs 产品的使用过程包括但不限于以下作业：</w:t>
                  </w:r>
                </w:p>
                <w:p w14:paraId="669FEABF">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a）调配（混合、搅拌等）；</w:t>
                  </w:r>
                </w:p>
                <w:p w14:paraId="1FFD92AE">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b）涂装（喷涂、浸涂、淋涂、辊涂、刷涂、涂布等）；</w:t>
                  </w:r>
                </w:p>
                <w:p w14:paraId="5DF0E943">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c）印刷（平版、凸版、凹版、孔版等）；</w:t>
                  </w:r>
                </w:p>
                <w:p w14:paraId="7E319730">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d）粘结（涂胶、热压、复合、贴合等）；</w:t>
                  </w:r>
                </w:p>
                <w:p w14:paraId="4F820333">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e）印染（染色、印花、定型等）；</w:t>
                  </w:r>
                </w:p>
                <w:p w14:paraId="49C1919F">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f）干燥（烘干、风干、晾干等）；</w:t>
                  </w:r>
                </w:p>
                <w:p w14:paraId="21FC4F4A">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g）清洗（浸洗、喷洗、淋洗、冲洗、擦洗等）。</w:t>
                  </w:r>
                </w:p>
              </w:tc>
              <w:tc>
                <w:tcPr>
                  <w:tcW w:w="3739" w:type="dxa"/>
                  <w:vAlign w:val="center"/>
                </w:tcPr>
                <w:p w14:paraId="677A8B25">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项目喷</w:t>
                  </w:r>
                  <w:r>
                    <w:rPr>
                      <w:rFonts w:hint="default" w:ascii="Times New Roman" w:hAnsi="Times New Roman" w:cs="Times New Roman"/>
                      <w:color w:val="auto"/>
                      <w:kern w:val="0"/>
                      <w:szCs w:val="21"/>
                      <w:highlight w:val="none"/>
                      <w:lang w:val="en-US" w:eastAsia="zh-CN"/>
                    </w:rPr>
                    <w:t>涂</w:t>
                  </w:r>
                  <w:r>
                    <w:rPr>
                      <w:rFonts w:hint="default" w:ascii="Times New Roman" w:hAnsi="Times New Roman" w:cs="Times New Roman"/>
                      <w:color w:val="auto"/>
                      <w:kern w:val="0"/>
                      <w:szCs w:val="21"/>
                      <w:highlight w:val="none"/>
                    </w:rPr>
                    <w:t>工序废气在密闭的操作间内进行，烘烤在烤箱内进行，可有效减少有机废气无组织排放。喷</w:t>
                  </w:r>
                  <w:r>
                    <w:rPr>
                      <w:rFonts w:hint="default" w:ascii="Times New Roman" w:hAnsi="Times New Roman" w:cs="Times New Roman"/>
                      <w:color w:val="auto"/>
                      <w:kern w:val="0"/>
                      <w:szCs w:val="21"/>
                      <w:highlight w:val="none"/>
                      <w:lang w:val="en-US" w:eastAsia="zh-CN"/>
                    </w:rPr>
                    <w:t>涂</w:t>
                  </w:r>
                  <w:r>
                    <w:rPr>
                      <w:rFonts w:hint="default" w:ascii="Times New Roman" w:hAnsi="Times New Roman" w:cs="Times New Roman"/>
                      <w:color w:val="auto"/>
                      <w:kern w:val="0"/>
                      <w:szCs w:val="21"/>
                      <w:highlight w:val="none"/>
                    </w:rPr>
                    <w:t>、烘烤工序废气采用二</w:t>
                  </w:r>
                  <w:r>
                    <w:rPr>
                      <w:rFonts w:hint="default" w:ascii="Times New Roman" w:hAnsi="Times New Roman" w:cs="Times New Roman"/>
                      <w:color w:val="auto"/>
                      <w:kern w:val="0"/>
                      <w:szCs w:val="21"/>
                      <w:highlight w:val="none"/>
                      <w:lang w:bidi="ar"/>
                    </w:rPr>
                    <w:t>级活性炭吸附装置</w:t>
                  </w:r>
                  <w:r>
                    <w:rPr>
                      <w:rFonts w:hint="default" w:ascii="Times New Roman" w:hAnsi="Times New Roman" w:cs="Times New Roman"/>
                      <w:color w:val="auto"/>
                      <w:kern w:val="0"/>
                      <w:szCs w:val="21"/>
                      <w:highlight w:val="none"/>
                    </w:rPr>
                    <w:t>处理达标后</w:t>
                  </w:r>
                  <w:r>
                    <w:rPr>
                      <w:rFonts w:hint="default" w:ascii="Times New Roman" w:hAnsi="Times New Roman" w:cs="Times New Roman"/>
                      <w:bCs/>
                      <w:color w:val="auto"/>
                      <w:szCs w:val="21"/>
                      <w:highlight w:val="none"/>
                    </w:rPr>
                    <w:t>排放</w:t>
                  </w:r>
                  <w:r>
                    <w:rPr>
                      <w:rFonts w:hint="default" w:ascii="Times New Roman" w:hAnsi="Times New Roman" w:cs="Times New Roman"/>
                      <w:color w:val="auto"/>
                      <w:kern w:val="0"/>
                      <w:szCs w:val="21"/>
                      <w:highlight w:val="none"/>
                    </w:rPr>
                    <w:t>。</w:t>
                  </w:r>
                </w:p>
              </w:tc>
              <w:tc>
                <w:tcPr>
                  <w:tcW w:w="1166" w:type="dxa"/>
                  <w:vAlign w:val="center"/>
                </w:tcPr>
                <w:p w14:paraId="6338EC4C">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7698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restart"/>
                  <w:vAlign w:val="center"/>
                </w:tcPr>
                <w:p w14:paraId="0F2F33B6">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Align w:val="center"/>
                </w:tcPr>
                <w:p w14:paraId="20DF76B4">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4749" w:type="dxa"/>
                  <w:vAlign w:val="center"/>
                </w:tcPr>
                <w:p w14:paraId="37D9A9F6">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xml:space="preserve">其他要求： </w:t>
                  </w:r>
                </w:p>
                <w:p w14:paraId="345A22A7">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a）企业应当建立台账，记录含VOCs原辅材料和含VOCs产品的名称、使用量、回收量、废弃量、去向以及VOCs含量等信息。台账保存期限不少于3年。</w:t>
                  </w:r>
                </w:p>
                <w:p w14:paraId="00F023CF">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b）通风生产设备、操作工位、车间厂房等应当在符合安全生产、职业卫生相关规定的前提下，根据行业作业规程与标准、工业建筑及洁净厂房通风设计规范等的要求，采用合理的通风量。</w:t>
                  </w:r>
                </w:p>
                <w:p w14:paraId="179A6616">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c）载有VOCs物料的设备及其管道在开停工（车）、检维修和 洗 ，应当在退料阶段将残存物料退净，并用密闭容器盛装，退料过程废气应当排至VOCs废气收集处理系统；清洗及吹扫过程排气应当排至VOCs废气收集处理系统。</w:t>
                  </w:r>
                </w:p>
              </w:tc>
              <w:tc>
                <w:tcPr>
                  <w:tcW w:w="3739" w:type="dxa"/>
                  <w:vAlign w:val="center"/>
                </w:tcPr>
                <w:p w14:paraId="194B2214">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建设单位拟建立台账，记录含VOCs原辅材料和含VOCs产品的名称、使用量、回收量、废弃量、去向以及VOCs含量等信息。台账保存期限不少于3年。本项目喷漆废气拟采用合理的通风量。</w:t>
                  </w:r>
                </w:p>
              </w:tc>
              <w:tc>
                <w:tcPr>
                  <w:tcW w:w="1166" w:type="dxa"/>
                  <w:vAlign w:val="center"/>
                </w:tcPr>
                <w:p w14:paraId="72670E33">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78DB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5B44E4F5">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Merge w:val="restart"/>
                  <w:vAlign w:val="center"/>
                </w:tcPr>
                <w:p w14:paraId="7D107746">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设备与管线组件 VOCs 泄漏控制要求</w:t>
                  </w:r>
                </w:p>
              </w:tc>
              <w:tc>
                <w:tcPr>
                  <w:tcW w:w="4749" w:type="dxa"/>
                  <w:vAlign w:val="center"/>
                </w:tcPr>
                <w:p w14:paraId="7BBCA453">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企业中载有气态VOCs物料、液态VOCs物料的设备与管线组件的密封点≥2000个，应当开展泄漏检测与修复工作。</w:t>
                  </w:r>
                </w:p>
              </w:tc>
              <w:tc>
                <w:tcPr>
                  <w:tcW w:w="3739" w:type="dxa"/>
                  <w:vMerge w:val="restart"/>
                  <w:vAlign w:val="center"/>
                </w:tcPr>
                <w:p w14:paraId="0EF8F393">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项目无载有气态VOCs物料、液态VOCs物料的设备与管线组件，无需进行泄漏检测。</w:t>
                  </w:r>
                </w:p>
              </w:tc>
              <w:tc>
                <w:tcPr>
                  <w:tcW w:w="1166" w:type="dxa"/>
                  <w:vMerge w:val="restart"/>
                  <w:vAlign w:val="center"/>
                </w:tcPr>
                <w:p w14:paraId="7FA505C5">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119C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12F2A600">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Merge w:val="continue"/>
                  <w:vAlign w:val="center"/>
                </w:tcPr>
                <w:p w14:paraId="01D7175C">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4749" w:type="dxa"/>
                  <w:vAlign w:val="center"/>
                </w:tcPr>
                <w:p w14:paraId="33A7D13B">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泄漏检测应当建立台账，记录检测时间、检测仪器读数、修复时间、采取的修复措施、修复后检测仪器读数等。台账保存期限不少于3年。</w:t>
                  </w:r>
                </w:p>
              </w:tc>
              <w:tc>
                <w:tcPr>
                  <w:tcW w:w="3739" w:type="dxa"/>
                  <w:vMerge w:val="continue"/>
                  <w:vAlign w:val="center"/>
                </w:tcPr>
                <w:p w14:paraId="48128FBD">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166" w:type="dxa"/>
                  <w:vMerge w:val="continue"/>
                  <w:vAlign w:val="center"/>
                </w:tcPr>
                <w:p w14:paraId="0B212533">
                  <w:pPr>
                    <w:autoSpaceDE w:val="0"/>
                    <w:autoSpaceDN w:val="0"/>
                    <w:adjustRightInd w:val="0"/>
                    <w:snapToGrid w:val="0"/>
                    <w:jc w:val="center"/>
                    <w:rPr>
                      <w:rFonts w:hint="default" w:ascii="Times New Roman" w:hAnsi="Times New Roman" w:cs="Times New Roman"/>
                      <w:color w:val="auto"/>
                      <w:kern w:val="0"/>
                      <w:szCs w:val="21"/>
                      <w:highlight w:val="none"/>
                    </w:rPr>
                  </w:pPr>
                </w:p>
              </w:tc>
            </w:tr>
            <w:tr w14:paraId="67BF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447F3810">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Merge w:val="restart"/>
                  <w:vAlign w:val="center"/>
                </w:tcPr>
                <w:p w14:paraId="5F96A882">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敞开液面 VOCs无组织排放控制要求</w:t>
                  </w:r>
                </w:p>
              </w:tc>
              <w:tc>
                <w:tcPr>
                  <w:tcW w:w="4749" w:type="dxa"/>
                  <w:vAlign w:val="center"/>
                </w:tcPr>
                <w:p w14:paraId="31CB763E">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对于工艺过程排放的含VOCs废水，集输系统应当符合下列规定之一：</w:t>
                  </w:r>
                </w:p>
                <w:p w14:paraId="6583FB64">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a）采用密闭管道输送，接入口和排出口采取与环境空气隔离的措施；</w:t>
                  </w:r>
                </w:p>
                <w:p w14:paraId="1350277D">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b）采用沟渠输送，若敞开液面上方100 mm处VOCs检测浓度≥200 µmol/mol，应当加盖密闭，接入口和排出口采取与环境空气隔离的措施。</w:t>
                  </w:r>
                </w:p>
              </w:tc>
              <w:tc>
                <w:tcPr>
                  <w:tcW w:w="3739" w:type="dxa"/>
                  <w:vAlign w:val="center"/>
                </w:tcPr>
                <w:p w14:paraId="05079911">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本项目不排放含VOCs的废水。</w:t>
                  </w:r>
                </w:p>
              </w:tc>
              <w:tc>
                <w:tcPr>
                  <w:tcW w:w="1166" w:type="dxa"/>
                  <w:vAlign w:val="center"/>
                </w:tcPr>
                <w:p w14:paraId="0F87CC90">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0D18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355E22CE">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Merge w:val="continue"/>
                  <w:vAlign w:val="center"/>
                </w:tcPr>
                <w:p w14:paraId="776A04F6">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4749" w:type="dxa"/>
                  <w:vAlign w:val="center"/>
                </w:tcPr>
                <w:p w14:paraId="394D4030">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含VOCs废水储存和处理设施敞开液面上方100 mm处VOCs检测浓度≥200 µmol/mol，应当符合下列规定之一：</w:t>
                  </w:r>
                </w:p>
                <w:p w14:paraId="63A43DCA">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a）采用浮动顶盖；</w:t>
                  </w:r>
                </w:p>
                <w:p w14:paraId="2EE34BBF">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b）采用固定顶盖，收集废气至 VOCs 废气收集处理系统；</w:t>
                  </w:r>
                </w:p>
                <w:p w14:paraId="60DD9E4D">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c）其他等效措施。</w:t>
                  </w:r>
                </w:p>
              </w:tc>
              <w:tc>
                <w:tcPr>
                  <w:tcW w:w="3739" w:type="dxa"/>
                  <w:vAlign w:val="center"/>
                </w:tcPr>
                <w:p w14:paraId="310EC77D">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本项目无VOCs废水储存和处理设施。</w:t>
                  </w:r>
                </w:p>
              </w:tc>
              <w:tc>
                <w:tcPr>
                  <w:tcW w:w="1166" w:type="dxa"/>
                  <w:vAlign w:val="center"/>
                </w:tcPr>
                <w:p w14:paraId="1F07E63F">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16F5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14:paraId="0953F661">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1729" w:type="dxa"/>
                  <w:vMerge w:val="continue"/>
                  <w:vAlign w:val="center"/>
                </w:tcPr>
                <w:p w14:paraId="751FAD12">
                  <w:pPr>
                    <w:autoSpaceDE w:val="0"/>
                    <w:autoSpaceDN w:val="0"/>
                    <w:adjustRightInd w:val="0"/>
                    <w:snapToGrid w:val="0"/>
                    <w:jc w:val="center"/>
                    <w:rPr>
                      <w:rFonts w:hint="default" w:ascii="Times New Roman" w:hAnsi="Times New Roman" w:cs="Times New Roman"/>
                      <w:color w:val="auto"/>
                      <w:kern w:val="0"/>
                      <w:szCs w:val="21"/>
                      <w:highlight w:val="none"/>
                    </w:rPr>
                  </w:pPr>
                </w:p>
              </w:tc>
              <w:tc>
                <w:tcPr>
                  <w:tcW w:w="4749" w:type="dxa"/>
                  <w:vAlign w:val="center"/>
                </w:tcPr>
                <w:p w14:paraId="5B3F7077">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对开式循环冷却水系统，每6个月对流经换热器进口和出口的循环冷却水中的总有机碳（TOC）浓度进行检测，若出口浓度大于进口浓度10%，则认定发生了泄漏，应当按5.5.4、5.5.5规定进行泄漏源修复与记录。</w:t>
                  </w:r>
                </w:p>
              </w:tc>
              <w:tc>
                <w:tcPr>
                  <w:tcW w:w="3739" w:type="dxa"/>
                  <w:vAlign w:val="center"/>
                </w:tcPr>
                <w:p w14:paraId="2BCA78D9">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本项目喷</w:t>
                  </w:r>
                  <w:r>
                    <w:rPr>
                      <w:rFonts w:hint="default" w:ascii="Times New Roman" w:hAnsi="Times New Roman" w:cs="Times New Roman"/>
                      <w:color w:val="auto"/>
                      <w:kern w:val="0"/>
                      <w:szCs w:val="21"/>
                      <w:highlight w:val="none"/>
                      <w:lang w:val="en-US" w:eastAsia="zh-CN"/>
                    </w:rPr>
                    <w:t>涂</w:t>
                  </w:r>
                  <w:r>
                    <w:rPr>
                      <w:rFonts w:hint="default" w:ascii="Times New Roman" w:hAnsi="Times New Roman" w:cs="Times New Roman"/>
                      <w:color w:val="auto"/>
                      <w:kern w:val="0"/>
                      <w:szCs w:val="21"/>
                      <w:highlight w:val="none"/>
                    </w:rPr>
                    <w:t>、烘烤等涉VOCs工序中无循环冷却水系统。</w:t>
                  </w:r>
                </w:p>
              </w:tc>
              <w:tc>
                <w:tcPr>
                  <w:tcW w:w="1166" w:type="dxa"/>
                  <w:vAlign w:val="center"/>
                </w:tcPr>
                <w:p w14:paraId="118ADABA">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bl>
          <w:p w14:paraId="6DC8ECB3">
            <w:pPr>
              <w:pStyle w:val="11"/>
              <w:spacing w:before="240" w:beforeLines="100" w:after="0"/>
              <w:ind w:right="0" w:firstLine="960" w:firstLineChars="4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由上表可知，本项目与广东省《固定污染源挥发性有机物综合排放标准》（DB44/2367-2022）中的相关要求是相符的。</w:t>
            </w:r>
          </w:p>
          <w:p w14:paraId="502D9154">
            <w:pPr>
              <w:spacing w:line="360" w:lineRule="auto"/>
              <w:outlineLvl w:val="0"/>
              <w:rPr>
                <w:rFonts w:hint="default" w:ascii="Times New Roman" w:hAnsi="Times New Roman" w:eastAsia="黑体" w:cs="Times New Roman"/>
                <w:color w:val="auto"/>
                <w:sz w:val="30"/>
                <w:highlight w:val="none"/>
              </w:rPr>
            </w:pPr>
          </w:p>
        </w:tc>
      </w:tr>
    </w:tbl>
    <w:p w14:paraId="00140603">
      <w:pPr>
        <w:pStyle w:val="42"/>
        <w:rPr>
          <w:rFonts w:hint="default" w:ascii="Times New Roman" w:hAnsi="Times New Roman" w:cs="Times New Roman"/>
          <w:color w:val="auto"/>
          <w:highlight w:val="none"/>
        </w:rPr>
        <w:sectPr>
          <w:pgSz w:w="16838" w:h="11906" w:orient="landscape"/>
          <w:pgMar w:top="1134" w:right="1417" w:bottom="1134" w:left="1417" w:header="851" w:footer="851" w:gutter="0"/>
          <w:cols w:space="720" w:num="1"/>
          <w:docGrid w:linePitch="312" w:charSpace="0"/>
        </w:sectPr>
      </w:pPr>
    </w:p>
    <w:p w14:paraId="1B374F79">
      <w:pPr>
        <w:pStyle w:val="42"/>
        <w:rPr>
          <w:rFonts w:hint="default" w:ascii="Times New Roman" w:hAnsi="Times New Roman" w:cs="Times New Roman"/>
          <w:color w:val="auto"/>
          <w:highlight w:val="none"/>
        </w:rPr>
      </w:pPr>
    </w:p>
    <w:p w14:paraId="33F09925">
      <w:pPr>
        <w:jc w:val="center"/>
        <w:outlineLvl w:val="0"/>
        <w:rPr>
          <w:rStyle w:val="37"/>
          <w:rFonts w:hint="default" w:ascii="Times New Roman" w:hAnsi="Times New Roman" w:cs="Times New Roman"/>
          <w:color w:val="auto"/>
          <w:kern w:val="0"/>
          <w:szCs w:val="20"/>
          <w:highlight w:val="none"/>
        </w:rPr>
      </w:pPr>
      <w:r>
        <w:rPr>
          <w:rFonts w:hint="default" w:ascii="Times New Roman" w:hAnsi="Times New Roman" w:eastAsia="黑体" w:cs="Times New Roman"/>
          <w:snapToGrid w:val="0"/>
          <w:color w:val="auto"/>
          <w:sz w:val="30"/>
          <w:szCs w:val="30"/>
          <w:highlight w:val="none"/>
        </w:rPr>
        <w:t xml:space="preserve"> 二、建设项目工程分析</w:t>
      </w:r>
    </w:p>
    <w:tbl>
      <w:tblPr>
        <w:tblStyle w:val="26"/>
        <w:tblW w:w="95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6"/>
        <w:gridCol w:w="8579"/>
      </w:tblGrid>
      <w:tr w14:paraId="09EE3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6" w:type="dxa"/>
            <w:vAlign w:val="center"/>
          </w:tcPr>
          <w:p w14:paraId="302FECCB">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建设内容</w:t>
            </w:r>
          </w:p>
        </w:tc>
        <w:tc>
          <w:tcPr>
            <w:tcW w:w="8579" w:type="dxa"/>
          </w:tcPr>
          <w:p w14:paraId="399C051C">
            <w:pPr>
              <w:adjustRightInd w:val="0"/>
              <w:snapToGrid w:val="0"/>
              <w:spacing w:before="240" w:beforeLines="10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一、项目概况</w:t>
            </w:r>
          </w:p>
          <w:p w14:paraId="50945A99">
            <w:pPr>
              <w:pStyle w:val="126"/>
              <w:autoSpaceDE w:val="0"/>
              <w:spacing w:line="360" w:lineRule="auto"/>
              <w:ind w:firstLineChars="200"/>
              <w:rPr>
                <w:rFonts w:hint="default" w:ascii="Times New Roman" w:hAnsi="Times New Roman" w:cs="Times New Roman"/>
                <w:bCs/>
                <w:color w:val="auto"/>
                <w:sz w:val="24"/>
                <w:highlight w:val="none"/>
              </w:rPr>
            </w:pPr>
            <w:r>
              <w:rPr>
                <w:rFonts w:hint="default" w:ascii="Times New Roman" w:hAnsi="Times New Roman" w:cs="Times New Roman"/>
                <w:color w:val="auto"/>
                <w:sz w:val="24"/>
                <w:highlight w:val="none"/>
              </w:rPr>
              <w:t>韶关博尔兹阀门工业有限公司位于广东省韶关乐昌市乐城街道乐昌市东莞东坑(乐昌)产业转移工业园金湖二路，原名乐昌市金信工业有限公司。原乐昌市环境保护局于2009年11月26日以乐环函[2009]94号（见附件5）对“年产5000件阀门生产项目”予以批复；2014年5月19日企业更改公司名称为韶关博</w:t>
            </w:r>
            <w:r>
              <w:rPr>
                <w:rFonts w:hint="default" w:ascii="Times New Roman" w:hAnsi="Times New Roman" w:cs="Times New Roman"/>
                <w:color w:val="auto"/>
                <w:sz w:val="24"/>
                <w:highlight w:val="none"/>
                <w:lang w:val="en-US" w:eastAsia="zh-CN"/>
              </w:rPr>
              <w:t>尔</w:t>
            </w:r>
            <w:r>
              <w:rPr>
                <w:rFonts w:hint="default" w:ascii="Times New Roman" w:hAnsi="Times New Roman" w:cs="Times New Roman"/>
                <w:color w:val="auto"/>
                <w:sz w:val="24"/>
                <w:highlight w:val="none"/>
              </w:rPr>
              <w:t>兹阀门工业有限公司（以下简称“建设单位”）； 2017年1月，建设单位办理了年产5000件阀门生产项目（以下简称“一期”）的竣工环境保护验收手续，原乐昌市环境保护局以乐环备[2017]001号（见附件6）予以备案。经过多年的发展，市场份额不断扩大，2018年建设单位在厂内对项目进行扩建，原乐昌市环境保护局于2018年12月26日以乐环审[2018]65号（见附件5）对“年产35000吨铸件改扩建项目”予以批复，项目分四期建设（为二期、三期、四期、五期）。2020年8月，建设单位完成了年产35</w:t>
            </w:r>
            <w:r>
              <w:rPr>
                <w:rFonts w:hint="default" w:ascii="Times New Roman" w:hAnsi="Times New Roman" w:cs="Times New Roman"/>
                <w:color w:val="auto"/>
                <w:sz w:val="24"/>
                <w:szCs w:val="24"/>
                <w:highlight w:val="none"/>
              </w:rPr>
              <w:t>000吨铸件改扩建项目（二期、三期）的竣工环境保护自主验收（见附件6），</w:t>
            </w:r>
            <w:r>
              <w:rPr>
                <w:rFonts w:hint="default" w:ascii="Times New Roman" w:hAnsi="Times New Roman" w:cs="Times New Roman"/>
                <w:b w:val="0"/>
                <w:bCs w:val="0"/>
                <w:color w:val="auto"/>
                <w:sz w:val="24"/>
                <w:szCs w:val="24"/>
                <w:lang w:val="en-US" w:eastAsia="zh-CN"/>
              </w:rPr>
              <w:t>目前尚有四期和五期未开始建设。</w:t>
            </w:r>
            <w:r>
              <w:rPr>
                <w:rFonts w:hint="default" w:ascii="Times New Roman" w:hAnsi="Times New Roman" w:cs="Times New Roman"/>
                <w:bCs/>
                <w:color w:val="auto"/>
                <w:sz w:val="24"/>
                <w:highlight w:val="none"/>
              </w:rPr>
              <w:t>2025年07月28日建设单位重新申请取得国家排污许可证（编号：91440281555628918B001U）（详见附件8）。</w:t>
            </w:r>
          </w:p>
          <w:p w14:paraId="1A54FA83">
            <w:pPr>
              <w:pStyle w:val="126"/>
              <w:autoSpaceDE w:val="0"/>
              <w:spacing w:line="360" w:lineRule="auto"/>
              <w:ind w:firstLineChars="200"/>
              <w:rPr>
                <w:rFonts w:hint="default" w:ascii="Times New Roman" w:hAnsi="Times New Roman" w:cs="Times New Roman"/>
                <w:b/>
                <w:bCs/>
                <w:color w:val="FF0000"/>
                <w:sz w:val="24"/>
                <w:highlight w:val="none"/>
              </w:rPr>
            </w:pPr>
            <w:r>
              <w:rPr>
                <w:rFonts w:hint="default" w:ascii="Times New Roman" w:hAnsi="Times New Roman" w:cs="Times New Roman"/>
                <w:color w:val="auto"/>
                <w:sz w:val="24"/>
                <w:highlight w:val="none"/>
              </w:rPr>
              <w:t>随着近年客户对产品质量要求的不断提高，为了迎合客户的需求，建设单位拟在厂区空置车间内设置喷漆、喷粉生产线，采购配套生产设施、耐高温漆（油性漆）、稀释剂、热固性粉末涂料，对原项目的铸钢件、铸铁件进行喷漆/喷粉</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以下简称“本项目”）</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本项目为技改项目，不增加原项目的生产规模，为了方便日后管理，将本项目称作“六期”</w:t>
            </w:r>
            <w:r>
              <w:rPr>
                <w:rFonts w:hint="default" w:ascii="Times New Roman" w:hAnsi="Times New Roman" w:cs="Times New Roman"/>
                <w:color w:val="auto"/>
                <w:sz w:val="24"/>
                <w:highlight w:val="none"/>
              </w:rPr>
              <w:t>。</w:t>
            </w:r>
          </w:p>
          <w:p w14:paraId="491B2D0F">
            <w:pPr>
              <w:adjustRightInd w:val="0"/>
              <w:snapToGrid w:val="0"/>
              <w:spacing w:line="360" w:lineRule="auto"/>
              <w:ind w:firstLine="480" w:firstLineChars="200"/>
              <w:rPr>
                <w:rFonts w:hint="default" w:ascii="Times New Roman" w:hAnsi="Times New Roman" w:cs="Times New Roman"/>
                <w:bCs/>
                <w:color w:val="auto"/>
                <w:szCs w:val="21"/>
                <w:highlight w:val="none"/>
              </w:rPr>
            </w:pPr>
            <w:r>
              <w:rPr>
                <w:rFonts w:hint="default" w:ascii="Times New Roman" w:hAnsi="Times New Roman" w:cs="Times New Roman"/>
                <w:color w:val="auto"/>
                <w:sz w:val="24"/>
                <w:highlight w:val="none"/>
              </w:rPr>
              <w:t>根据《建设项目环境影响评价分类管理名录》（2021年版）“三十、金属制品业33；67、金属表面处理及热处理加工 其他（年用非溶剂型低VOCs含量涂料10吨以下的除外）”需编制报告表，因此，本项目应编制环境影响报告表。建设单位委托广州国寰环保科技发展有限公司承担本项目环境影响报告表的编制工作。</w:t>
            </w:r>
          </w:p>
          <w:p w14:paraId="329C7E81">
            <w:pPr>
              <w:adjustRightInd w:val="0"/>
              <w:snapToGrid w:val="0"/>
              <w:spacing w:before="120" w:beforeLines="5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2、项目选址、四至情况</w:t>
            </w:r>
          </w:p>
          <w:p w14:paraId="38ADDD7A">
            <w:pPr>
              <w:adjustRightInd w:val="0"/>
              <w:snapToGrid w:val="0"/>
              <w:spacing w:line="360" w:lineRule="auto"/>
              <w:ind w:firstLine="480"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color w:val="auto"/>
                <w:sz w:val="24"/>
                <w:highlight w:val="none"/>
              </w:rPr>
              <w:t>韶关博尔兹阀门工业有限公司位于广东省韶关乐昌市乐城街道乐昌市东莞东坑(乐昌)产业转移工业园金湖二路，厂区总占地面积20198.7m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，厂区中心地理坐标为东经113°23'57.961"，北纬25°8'25.007"，项目具体地理位置见附图1。本项目选址</w:t>
            </w:r>
            <w:r>
              <w:rPr>
                <w:rFonts w:hint="default" w:ascii="Times New Roman" w:hAnsi="Times New Roman" w:cs="Times New Roman"/>
                <w:color w:val="auto"/>
                <w:sz w:val="24"/>
                <w:highlight w:val="none"/>
                <w:lang w:val="en-US" w:eastAsia="zh-CN"/>
              </w:rPr>
              <w:t>于</w:t>
            </w:r>
            <w:r>
              <w:rPr>
                <w:rFonts w:hint="default" w:ascii="Times New Roman" w:hAnsi="Times New Roman" w:cs="Times New Roman"/>
                <w:color w:val="auto"/>
                <w:sz w:val="24"/>
                <w:highlight w:val="none"/>
              </w:rPr>
              <w:t>现有车间三内空置范围，不新增用地。根据现场踏勘，厂区东面为广东利生源生物饲料有限公司，南面隔金湖二路为春燕齿轮，西面为俊耀电子，北面为上海韶冶华南分公司，厂区四至图见附图3。</w:t>
            </w:r>
          </w:p>
          <w:p w14:paraId="01165728">
            <w:pPr>
              <w:adjustRightInd w:val="0"/>
              <w:snapToGrid w:val="0"/>
              <w:spacing w:before="120" w:beforeLines="50" w:line="360" w:lineRule="auto"/>
              <w:ind w:firstLine="482" w:firstLineChars="200"/>
              <w:rPr>
                <w:rFonts w:hint="default" w:ascii="Times New Roman" w:hAnsi="Times New Roman" w:cs="Times New Roman"/>
                <w:color w:val="auto"/>
                <w:highlight w:val="none"/>
              </w:rPr>
            </w:pPr>
            <w:r>
              <w:rPr>
                <w:rFonts w:hint="default" w:ascii="Times New Roman" w:hAnsi="Times New Roman" w:cs="Times New Roman"/>
                <w:b/>
                <w:bCs/>
                <w:color w:val="auto"/>
                <w:sz w:val="24"/>
                <w:highlight w:val="none"/>
              </w:rPr>
              <w:t>3、建设内容</w:t>
            </w:r>
          </w:p>
          <w:p w14:paraId="511A5818">
            <w:pPr>
              <w:adjustRightInd w:val="0"/>
              <w:snapToGrid w:val="0"/>
              <w:spacing w:before="120" w:beforeLines="50"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本项目</w:t>
            </w:r>
            <w:r>
              <w:rPr>
                <w:rFonts w:hint="default" w:ascii="Times New Roman" w:hAnsi="Times New Roman" w:cs="Times New Roman"/>
                <w:color w:val="auto"/>
                <w:sz w:val="24"/>
                <w:highlight w:val="none"/>
              </w:rPr>
              <w:t>选址</w:t>
            </w:r>
            <w:r>
              <w:rPr>
                <w:rFonts w:hint="default" w:ascii="Times New Roman" w:hAnsi="Times New Roman" w:cs="Times New Roman"/>
                <w:color w:val="auto"/>
                <w:sz w:val="24"/>
                <w:highlight w:val="none"/>
                <w:lang w:val="en-US" w:eastAsia="zh-CN"/>
              </w:rPr>
              <w:t>于</w:t>
            </w:r>
            <w:r>
              <w:rPr>
                <w:rFonts w:hint="default" w:ascii="Times New Roman" w:hAnsi="Times New Roman" w:cs="Times New Roman"/>
                <w:color w:val="auto"/>
                <w:sz w:val="24"/>
                <w:highlight w:val="none"/>
              </w:rPr>
              <w:t>现有车间三内， 单层，</w:t>
            </w:r>
            <w:r>
              <w:rPr>
                <w:rFonts w:hint="default" w:ascii="Times New Roman" w:hAnsi="Times New Roman" w:cs="Times New Roman"/>
                <w:bCs/>
                <w:color w:val="auto"/>
                <w:sz w:val="24"/>
                <w:highlight w:val="none"/>
              </w:rPr>
              <w:t>占地面积为500m</w:t>
            </w:r>
            <w:r>
              <w:rPr>
                <w:rFonts w:hint="default" w:ascii="Times New Roman" w:hAnsi="Times New Roman" w:cs="Times New Roman"/>
                <w:bCs/>
                <w:color w:val="auto"/>
                <w:sz w:val="24"/>
                <w:highlight w:val="none"/>
                <w:vertAlign w:val="superscript"/>
              </w:rPr>
              <w:t>2</w:t>
            </w:r>
            <w:r>
              <w:rPr>
                <w:rFonts w:hint="default" w:ascii="Times New Roman" w:hAnsi="Times New Roman" w:cs="Times New Roman"/>
                <w:bCs/>
                <w:color w:val="auto"/>
                <w:sz w:val="24"/>
                <w:highlight w:val="none"/>
              </w:rPr>
              <w:t>，主要建设内容为在车间三内安装水帘柜、喷粉柜、烤箱、废气处理设施等</w:t>
            </w: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设置1条喷漆生产线，3条喷粉生产线</w:t>
            </w:r>
            <w:r>
              <w:rPr>
                <w:rFonts w:hint="default" w:ascii="Times New Roman" w:hAnsi="Times New Roman" w:cs="Times New Roman"/>
                <w:bCs/>
                <w:color w:val="auto"/>
                <w:sz w:val="24"/>
                <w:highlight w:val="none"/>
              </w:rPr>
              <w:t>，本项目平面布置图见附图2。</w:t>
            </w:r>
          </w:p>
          <w:p w14:paraId="7AB28442">
            <w:pPr>
              <w:adjustRightInd w:val="0"/>
              <w:snapToGrid w:val="0"/>
              <w:spacing w:before="120" w:beforeLines="50"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color w:val="auto"/>
                <w:sz w:val="24"/>
                <w:highlight w:val="none"/>
              </w:rPr>
              <w:t>本</w:t>
            </w:r>
            <w:r>
              <w:rPr>
                <w:rFonts w:hint="default" w:ascii="Times New Roman" w:hAnsi="Times New Roman" w:cs="Times New Roman"/>
                <w:bCs/>
                <w:color w:val="auto"/>
                <w:sz w:val="24"/>
                <w:highlight w:val="none"/>
              </w:rPr>
              <w:t xml:space="preserve">项目工程组成详见表2-1。 </w:t>
            </w:r>
          </w:p>
          <w:p w14:paraId="2D88C0BA">
            <w:pPr>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表2-1 项目组成一览表</w:t>
            </w:r>
          </w:p>
          <w:tbl>
            <w:tblPr>
              <w:tblStyle w:val="26"/>
              <w:tblW w:w="8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600"/>
              <w:gridCol w:w="630"/>
              <w:gridCol w:w="784"/>
              <w:gridCol w:w="2280"/>
              <w:gridCol w:w="2144"/>
              <w:gridCol w:w="1995"/>
            </w:tblGrid>
            <w:tr w14:paraId="4F08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600" w:type="dxa"/>
                  <w:vAlign w:val="center"/>
                </w:tcPr>
                <w:p w14:paraId="7256770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类别</w:t>
                  </w:r>
                </w:p>
              </w:tc>
              <w:tc>
                <w:tcPr>
                  <w:tcW w:w="630" w:type="dxa"/>
                  <w:vAlign w:val="center"/>
                </w:tcPr>
                <w:p w14:paraId="7A2086F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工程名称</w:t>
                  </w:r>
                </w:p>
              </w:tc>
              <w:tc>
                <w:tcPr>
                  <w:tcW w:w="3064" w:type="dxa"/>
                  <w:gridSpan w:val="2"/>
                  <w:vAlign w:val="center"/>
                </w:tcPr>
                <w:p w14:paraId="4CE628F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原项目情况</w:t>
                  </w:r>
                </w:p>
              </w:tc>
              <w:tc>
                <w:tcPr>
                  <w:tcW w:w="2144" w:type="dxa"/>
                  <w:vAlign w:val="center"/>
                </w:tcPr>
                <w:p w14:paraId="34BE5BFB">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本项目情况</w:t>
                  </w:r>
                </w:p>
              </w:tc>
              <w:tc>
                <w:tcPr>
                  <w:tcW w:w="1995" w:type="dxa"/>
                  <w:vAlign w:val="center"/>
                </w:tcPr>
                <w:p w14:paraId="05DB744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总体项目情况</w:t>
                  </w:r>
                </w:p>
              </w:tc>
            </w:tr>
            <w:tr w14:paraId="088A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46" w:hRule="atLeast"/>
                <w:jc w:val="center"/>
              </w:trPr>
              <w:tc>
                <w:tcPr>
                  <w:tcW w:w="600" w:type="dxa"/>
                  <w:vMerge w:val="restart"/>
                  <w:vAlign w:val="center"/>
                </w:tcPr>
                <w:p w14:paraId="066D2D8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主体工程</w:t>
                  </w:r>
                </w:p>
              </w:tc>
              <w:tc>
                <w:tcPr>
                  <w:tcW w:w="630" w:type="dxa"/>
                  <w:vMerge w:val="restart"/>
                  <w:vAlign w:val="center"/>
                </w:tcPr>
                <w:p w14:paraId="257749A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生产区域</w:t>
                  </w:r>
                </w:p>
              </w:tc>
              <w:tc>
                <w:tcPr>
                  <w:tcW w:w="784" w:type="dxa"/>
                  <w:vAlign w:val="center"/>
                </w:tcPr>
                <w:p w14:paraId="6C51C124">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车间一</w:t>
                  </w:r>
                </w:p>
              </w:tc>
              <w:tc>
                <w:tcPr>
                  <w:tcW w:w="2280" w:type="dxa"/>
                  <w:vAlign w:val="center"/>
                </w:tcPr>
                <w:p w14:paraId="176B7FBC">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单层，占地面积2800m</w:t>
                  </w:r>
                  <w:r>
                    <w:rPr>
                      <w:rFonts w:hint="default" w:ascii="Times New Roman" w:hAnsi="Times New Roman" w:cs="Times New Roman"/>
                      <w:color w:val="auto"/>
                      <w:szCs w:val="21"/>
                      <w:highlight w:val="none"/>
                      <w:vertAlign w:val="superscript"/>
                    </w:rPr>
                    <w:t>2</w:t>
                  </w:r>
                </w:p>
              </w:tc>
              <w:tc>
                <w:tcPr>
                  <w:tcW w:w="2144" w:type="dxa"/>
                  <w:vMerge w:val="restart"/>
                  <w:shd w:val="clear" w:color="auto" w:fill="auto"/>
                  <w:vAlign w:val="center"/>
                </w:tcPr>
                <w:p w14:paraId="12101A4E">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本项目设置在车间三内，</w:t>
                  </w:r>
                  <w:r>
                    <w:rPr>
                      <w:rFonts w:hint="default" w:ascii="Times New Roman" w:hAnsi="Times New Roman" w:cs="Times New Roman"/>
                      <w:bCs/>
                      <w:color w:val="auto"/>
                      <w:szCs w:val="21"/>
                      <w:highlight w:val="none"/>
                    </w:rPr>
                    <w:t>占地面积为500m</w:t>
                  </w:r>
                  <w:r>
                    <w:rPr>
                      <w:rFonts w:hint="default" w:ascii="Times New Roman" w:hAnsi="Times New Roman" w:cs="Times New Roman"/>
                      <w:bCs/>
                      <w:color w:val="auto"/>
                      <w:szCs w:val="21"/>
                      <w:highlight w:val="none"/>
                      <w:vertAlign w:val="superscript"/>
                    </w:rPr>
                    <w:t>2</w:t>
                  </w:r>
                  <w:r>
                    <w:rPr>
                      <w:rFonts w:hint="default" w:ascii="Times New Roman" w:hAnsi="Times New Roman" w:cs="Times New Roman"/>
                      <w:color w:val="auto"/>
                      <w:szCs w:val="21"/>
                      <w:highlight w:val="none"/>
                    </w:rPr>
                    <w:t>，本项目区域划分为喷漆房</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占地面积24m</w:t>
                  </w:r>
                  <w:r>
                    <w:rPr>
                      <w:rFonts w:hint="default" w:ascii="Times New Roman" w:hAnsi="Times New Roman" w:cs="Times New Roman"/>
                      <w:color w:val="auto"/>
                      <w:szCs w:val="21"/>
                      <w:highlight w:val="none"/>
                      <w:vertAlign w:val="superscript"/>
                      <w:lang w:val="en-US" w:eastAsia="zh-CN"/>
                    </w:rPr>
                    <w:t>2</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喷粉和烘烤区</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占地面积约100m</w:t>
                  </w:r>
                  <w:r>
                    <w:rPr>
                      <w:rFonts w:hint="default" w:ascii="Times New Roman" w:hAnsi="Times New Roman" w:cs="Times New Roman"/>
                      <w:color w:val="auto"/>
                      <w:szCs w:val="21"/>
                      <w:highlight w:val="none"/>
                      <w:vertAlign w:val="superscript"/>
                      <w:lang w:val="en-US" w:eastAsia="zh-CN"/>
                    </w:rPr>
                    <w:t>2</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、风干房</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占地面积约84m</w:t>
                  </w:r>
                  <w:r>
                    <w:rPr>
                      <w:rFonts w:hint="default" w:ascii="Times New Roman" w:hAnsi="Times New Roman" w:cs="Times New Roman"/>
                      <w:color w:val="auto"/>
                      <w:szCs w:val="21"/>
                      <w:highlight w:val="none"/>
                      <w:vertAlign w:val="superscript"/>
                      <w:lang w:val="en-US" w:eastAsia="zh-CN"/>
                    </w:rPr>
                    <w:t>2</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、待喷区、成品区</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占地面积约292m</w:t>
                  </w:r>
                  <w:r>
                    <w:rPr>
                      <w:rFonts w:hint="default" w:ascii="Times New Roman" w:hAnsi="Times New Roman" w:cs="Times New Roman"/>
                      <w:color w:val="auto"/>
                      <w:szCs w:val="21"/>
                      <w:highlight w:val="none"/>
                      <w:vertAlign w:val="superscript"/>
                      <w:lang w:val="en-US" w:eastAsia="zh-CN"/>
                    </w:rPr>
                    <w:t>2</w:t>
                  </w:r>
                  <w:r>
                    <w:rPr>
                      <w:rFonts w:hint="default" w:ascii="Times New Roman" w:hAnsi="Times New Roman" w:cs="Times New Roman"/>
                      <w:color w:val="auto"/>
                      <w:szCs w:val="21"/>
                      <w:highlight w:val="none"/>
                      <w:lang w:val="en-US" w:eastAsia="zh-CN"/>
                    </w:rPr>
                    <w:t>）</w:t>
                  </w:r>
                </w:p>
              </w:tc>
              <w:tc>
                <w:tcPr>
                  <w:tcW w:w="1995" w:type="dxa"/>
                  <w:vMerge w:val="restart"/>
                  <w:vAlign w:val="center"/>
                </w:tcPr>
                <w:p w14:paraId="0ECDCEFF">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共计</w:t>
                  </w:r>
                  <w:r>
                    <w:rPr>
                      <w:rFonts w:hint="default" w:ascii="Times New Roman" w:hAnsi="Times New Roman" w:cs="Times New Roman"/>
                      <w:bCs/>
                      <w:color w:val="auto"/>
                      <w:szCs w:val="21"/>
                      <w:highlight w:val="none"/>
                      <w:lang w:val="en-US" w:eastAsia="zh-CN"/>
                    </w:rPr>
                    <w:t>5</w:t>
                  </w:r>
                  <w:r>
                    <w:rPr>
                      <w:rFonts w:hint="default" w:ascii="Times New Roman" w:hAnsi="Times New Roman" w:cs="Times New Roman"/>
                      <w:bCs/>
                      <w:color w:val="auto"/>
                      <w:szCs w:val="21"/>
                      <w:highlight w:val="none"/>
                    </w:rPr>
                    <w:t>个生产车间，本项目设置在车间三内，占地面积为500m</w:t>
                  </w:r>
                  <w:r>
                    <w:rPr>
                      <w:rFonts w:hint="default" w:ascii="Times New Roman" w:hAnsi="Times New Roman" w:cs="Times New Roman"/>
                      <w:bCs/>
                      <w:color w:val="auto"/>
                      <w:szCs w:val="21"/>
                      <w:highlight w:val="none"/>
                      <w:vertAlign w:val="superscript"/>
                    </w:rPr>
                    <w:t>2</w:t>
                  </w:r>
                </w:p>
              </w:tc>
            </w:tr>
            <w:tr w14:paraId="4630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46" w:hRule="atLeast"/>
                <w:jc w:val="center"/>
              </w:trPr>
              <w:tc>
                <w:tcPr>
                  <w:tcW w:w="600" w:type="dxa"/>
                  <w:vMerge w:val="continue"/>
                  <w:vAlign w:val="center"/>
                </w:tcPr>
                <w:p w14:paraId="4F745923">
                  <w:pPr>
                    <w:adjustRightInd w:val="0"/>
                    <w:snapToGrid w:val="0"/>
                    <w:rPr>
                      <w:rFonts w:hint="default" w:ascii="Times New Roman" w:hAnsi="Times New Roman" w:cs="Times New Roman"/>
                      <w:color w:val="auto"/>
                      <w:szCs w:val="21"/>
                      <w:highlight w:val="none"/>
                    </w:rPr>
                  </w:pPr>
                </w:p>
              </w:tc>
              <w:tc>
                <w:tcPr>
                  <w:tcW w:w="630" w:type="dxa"/>
                  <w:vMerge w:val="continue"/>
                  <w:vAlign w:val="center"/>
                </w:tcPr>
                <w:p w14:paraId="3D8C6636">
                  <w:pPr>
                    <w:adjustRightInd w:val="0"/>
                    <w:snapToGrid w:val="0"/>
                    <w:rPr>
                      <w:rFonts w:hint="default" w:ascii="Times New Roman" w:hAnsi="Times New Roman" w:cs="Times New Roman"/>
                      <w:color w:val="auto"/>
                      <w:szCs w:val="21"/>
                      <w:highlight w:val="none"/>
                    </w:rPr>
                  </w:pPr>
                </w:p>
              </w:tc>
              <w:tc>
                <w:tcPr>
                  <w:tcW w:w="784" w:type="dxa"/>
                  <w:vAlign w:val="center"/>
                </w:tcPr>
                <w:p w14:paraId="4E39FEEE">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车间二</w:t>
                  </w:r>
                </w:p>
              </w:tc>
              <w:tc>
                <w:tcPr>
                  <w:tcW w:w="2280" w:type="dxa"/>
                  <w:vAlign w:val="center"/>
                </w:tcPr>
                <w:p w14:paraId="21F5DE15">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单层，占地面积990m</w:t>
                  </w:r>
                  <w:r>
                    <w:rPr>
                      <w:rFonts w:hint="default" w:ascii="Times New Roman" w:hAnsi="Times New Roman" w:cs="Times New Roman"/>
                      <w:color w:val="auto"/>
                      <w:szCs w:val="21"/>
                      <w:highlight w:val="none"/>
                      <w:vertAlign w:val="superscript"/>
                    </w:rPr>
                    <w:t>2</w:t>
                  </w:r>
                </w:p>
              </w:tc>
              <w:tc>
                <w:tcPr>
                  <w:tcW w:w="2144" w:type="dxa"/>
                  <w:vMerge w:val="continue"/>
                  <w:shd w:val="clear" w:color="auto" w:fill="auto"/>
                  <w:vAlign w:val="center"/>
                </w:tcPr>
                <w:p w14:paraId="70559B80">
                  <w:pPr>
                    <w:adjustRightInd w:val="0"/>
                    <w:snapToGrid w:val="0"/>
                    <w:rPr>
                      <w:rFonts w:hint="default" w:ascii="Times New Roman" w:hAnsi="Times New Roman" w:cs="Times New Roman"/>
                      <w:color w:val="auto"/>
                      <w:szCs w:val="21"/>
                      <w:highlight w:val="none"/>
                    </w:rPr>
                  </w:pPr>
                </w:p>
              </w:tc>
              <w:tc>
                <w:tcPr>
                  <w:tcW w:w="1995" w:type="dxa"/>
                  <w:vMerge w:val="continue"/>
                  <w:vAlign w:val="center"/>
                </w:tcPr>
                <w:p w14:paraId="1F3B6F78">
                  <w:pPr>
                    <w:adjustRightInd w:val="0"/>
                    <w:snapToGrid w:val="0"/>
                    <w:rPr>
                      <w:rFonts w:hint="default" w:ascii="Times New Roman" w:hAnsi="Times New Roman" w:cs="Times New Roman"/>
                      <w:color w:val="auto"/>
                      <w:szCs w:val="21"/>
                      <w:highlight w:val="none"/>
                    </w:rPr>
                  </w:pPr>
                </w:p>
              </w:tc>
            </w:tr>
            <w:tr w14:paraId="00CE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46" w:hRule="atLeast"/>
                <w:jc w:val="center"/>
              </w:trPr>
              <w:tc>
                <w:tcPr>
                  <w:tcW w:w="600" w:type="dxa"/>
                  <w:vMerge w:val="continue"/>
                  <w:vAlign w:val="center"/>
                </w:tcPr>
                <w:p w14:paraId="3C646BD9">
                  <w:pPr>
                    <w:adjustRightInd w:val="0"/>
                    <w:snapToGrid w:val="0"/>
                    <w:rPr>
                      <w:rFonts w:hint="default" w:ascii="Times New Roman" w:hAnsi="Times New Roman" w:cs="Times New Roman"/>
                      <w:color w:val="auto"/>
                      <w:szCs w:val="21"/>
                      <w:highlight w:val="none"/>
                    </w:rPr>
                  </w:pPr>
                </w:p>
              </w:tc>
              <w:tc>
                <w:tcPr>
                  <w:tcW w:w="630" w:type="dxa"/>
                  <w:vMerge w:val="continue"/>
                  <w:vAlign w:val="center"/>
                </w:tcPr>
                <w:p w14:paraId="738A337A">
                  <w:pPr>
                    <w:adjustRightInd w:val="0"/>
                    <w:snapToGrid w:val="0"/>
                    <w:rPr>
                      <w:rFonts w:hint="default" w:ascii="Times New Roman" w:hAnsi="Times New Roman" w:cs="Times New Roman"/>
                      <w:color w:val="auto"/>
                      <w:szCs w:val="21"/>
                      <w:highlight w:val="none"/>
                    </w:rPr>
                  </w:pPr>
                </w:p>
              </w:tc>
              <w:tc>
                <w:tcPr>
                  <w:tcW w:w="784" w:type="dxa"/>
                  <w:vAlign w:val="center"/>
                </w:tcPr>
                <w:p w14:paraId="17E5D2BF">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车间三</w:t>
                  </w:r>
                </w:p>
              </w:tc>
              <w:tc>
                <w:tcPr>
                  <w:tcW w:w="2280" w:type="dxa"/>
                  <w:vAlign w:val="center"/>
                </w:tcPr>
                <w:p w14:paraId="66D2B3F0">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单层，占地面积990m</w:t>
                  </w:r>
                  <w:r>
                    <w:rPr>
                      <w:rFonts w:hint="default" w:ascii="Times New Roman" w:hAnsi="Times New Roman" w:cs="Times New Roman"/>
                      <w:color w:val="auto"/>
                      <w:szCs w:val="21"/>
                      <w:highlight w:val="none"/>
                      <w:vertAlign w:val="superscript"/>
                    </w:rPr>
                    <w:t>2</w:t>
                  </w:r>
                </w:p>
              </w:tc>
              <w:tc>
                <w:tcPr>
                  <w:tcW w:w="2144" w:type="dxa"/>
                  <w:vMerge w:val="continue"/>
                  <w:shd w:val="clear" w:color="auto" w:fill="auto"/>
                  <w:vAlign w:val="center"/>
                </w:tcPr>
                <w:p w14:paraId="3C4DF420">
                  <w:pPr>
                    <w:adjustRightInd w:val="0"/>
                    <w:snapToGrid w:val="0"/>
                    <w:rPr>
                      <w:rFonts w:hint="default" w:ascii="Times New Roman" w:hAnsi="Times New Roman" w:cs="Times New Roman"/>
                      <w:color w:val="auto"/>
                      <w:szCs w:val="21"/>
                      <w:highlight w:val="none"/>
                    </w:rPr>
                  </w:pPr>
                </w:p>
              </w:tc>
              <w:tc>
                <w:tcPr>
                  <w:tcW w:w="1995" w:type="dxa"/>
                  <w:vMerge w:val="continue"/>
                  <w:vAlign w:val="center"/>
                </w:tcPr>
                <w:p w14:paraId="159B45B8">
                  <w:pPr>
                    <w:adjustRightInd w:val="0"/>
                    <w:snapToGrid w:val="0"/>
                    <w:rPr>
                      <w:rFonts w:hint="default" w:ascii="Times New Roman" w:hAnsi="Times New Roman" w:cs="Times New Roman"/>
                      <w:color w:val="auto"/>
                      <w:szCs w:val="21"/>
                      <w:highlight w:val="none"/>
                    </w:rPr>
                  </w:pPr>
                </w:p>
              </w:tc>
            </w:tr>
            <w:tr w14:paraId="355F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61" w:hRule="atLeast"/>
                <w:jc w:val="center"/>
              </w:trPr>
              <w:tc>
                <w:tcPr>
                  <w:tcW w:w="600" w:type="dxa"/>
                  <w:vMerge w:val="continue"/>
                  <w:vAlign w:val="center"/>
                </w:tcPr>
                <w:p w14:paraId="0B0667C7">
                  <w:pPr>
                    <w:adjustRightInd w:val="0"/>
                    <w:snapToGrid w:val="0"/>
                    <w:rPr>
                      <w:rFonts w:hint="default" w:ascii="Times New Roman" w:hAnsi="Times New Roman" w:cs="Times New Roman"/>
                      <w:color w:val="auto"/>
                      <w:szCs w:val="21"/>
                      <w:highlight w:val="none"/>
                    </w:rPr>
                  </w:pPr>
                </w:p>
              </w:tc>
              <w:tc>
                <w:tcPr>
                  <w:tcW w:w="630" w:type="dxa"/>
                  <w:vMerge w:val="continue"/>
                  <w:vAlign w:val="center"/>
                </w:tcPr>
                <w:p w14:paraId="0FC7F8CA">
                  <w:pPr>
                    <w:adjustRightInd w:val="0"/>
                    <w:snapToGrid w:val="0"/>
                    <w:rPr>
                      <w:rFonts w:hint="default" w:ascii="Times New Roman" w:hAnsi="Times New Roman" w:cs="Times New Roman"/>
                      <w:color w:val="auto"/>
                      <w:szCs w:val="21"/>
                      <w:highlight w:val="none"/>
                    </w:rPr>
                  </w:pPr>
                </w:p>
              </w:tc>
              <w:tc>
                <w:tcPr>
                  <w:tcW w:w="784" w:type="dxa"/>
                  <w:vAlign w:val="center"/>
                </w:tcPr>
                <w:p w14:paraId="05A024E8">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车间四</w:t>
                  </w:r>
                </w:p>
              </w:tc>
              <w:tc>
                <w:tcPr>
                  <w:tcW w:w="2280" w:type="dxa"/>
                  <w:vAlign w:val="center"/>
                </w:tcPr>
                <w:p w14:paraId="6BB486FF">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单层，占地面积990m</w:t>
                  </w:r>
                  <w:r>
                    <w:rPr>
                      <w:rFonts w:hint="default" w:ascii="Times New Roman" w:hAnsi="Times New Roman" w:cs="Times New Roman"/>
                      <w:color w:val="auto"/>
                      <w:szCs w:val="21"/>
                      <w:highlight w:val="none"/>
                      <w:vertAlign w:val="superscript"/>
                    </w:rPr>
                    <w:t>2</w:t>
                  </w:r>
                </w:p>
              </w:tc>
              <w:tc>
                <w:tcPr>
                  <w:tcW w:w="2144" w:type="dxa"/>
                  <w:vMerge w:val="continue"/>
                  <w:shd w:val="clear" w:color="auto" w:fill="auto"/>
                  <w:vAlign w:val="center"/>
                </w:tcPr>
                <w:p w14:paraId="07ABDB5D">
                  <w:pPr>
                    <w:adjustRightInd w:val="0"/>
                    <w:snapToGrid w:val="0"/>
                    <w:rPr>
                      <w:rFonts w:hint="default" w:ascii="Times New Roman" w:hAnsi="Times New Roman" w:cs="Times New Roman"/>
                      <w:color w:val="auto"/>
                      <w:szCs w:val="21"/>
                      <w:highlight w:val="none"/>
                    </w:rPr>
                  </w:pPr>
                </w:p>
              </w:tc>
              <w:tc>
                <w:tcPr>
                  <w:tcW w:w="1995" w:type="dxa"/>
                  <w:vMerge w:val="continue"/>
                  <w:vAlign w:val="center"/>
                </w:tcPr>
                <w:p w14:paraId="670B3E3F">
                  <w:pPr>
                    <w:adjustRightInd w:val="0"/>
                    <w:snapToGrid w:val="0"/>
                    <w:rPr>
                      <w:rFonts w:hint="default" w:ascii="Times New Roman" w:hAnsi="Times New Roman" w:cs="Times New Roman"/>
                      <w:color w:val="auto"/>
                      <w:szCs w:val="21"/>
                      <w:highlight w:val="none"/>
                    </w:rPr>
                  </w:pPr>
                </w:p>
              </w:tc>
            </w:tr>
            <w:tr w14:paraId="7ED8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600" w:type="dxa"/>
                  <w:vMerge w:val="continue"/>
                  <w:vAlign w:val="center"/>
                </w:tcPr>
                <w:p w14:paraId="3CB9A8FC">
                  <w:pPr>
                    <w:adjustRightInd w:val="0"/>
                    <w:snapToGrid w:val="0"/>
                    <w:rPr>
                      <w:rFonts w:hint="default" w:ascii="Times New Roman" w:hAnsi="Times New Roman" w:cs="Times New Roman"/>
                      <w:color w:val="auto"/>
                      <w:szCs w:val="21"/>
                      <w:highlight w:val="none"/>
                    </w:rPr>
                  </w:pPr>
                </w:p>
              </w:tc>
              <w:tc>
                <w:tcPr>
                  <w:tcW w:w="630" w:type="dxa"/>
                  <w:vMerge w:val="continue"/>
                  <w:vAlign w:val="center"/>
                </w:tcPr>
                <w:p w14:paraId="3994AF5A">
                  <w:pPr>
                    <w:adjustRightInd w:val="0"/>
                    <w:snapToGrid w:val="0"/>
                    <w:rPr>
                      <w:rFonts w:hint="default" w:ascii="Times New Roman" w:hAnsi="Times New Roman" w:cs="Times New Roman"/>
                      <w:color w:val="auto"/>
                      <w:szCs w:val="21"/>
                      <w:highlight w:val="none"/>
                    </w:rPr>
                  </w:pPr>
                </w:p>
              </w:tc>
              <w:tc>
                <w:tcPr>
                  <w:tcW w:w="784" w:type="dxa"/>
                  <w:vAlign w:val="center"/>
                </w:tcPr>
                <w:p w14:paraId="1817E770">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车间五</w:t>
                  </w:r>
                </w:p>
              </w:tc>
              <w:tc>
                <w:tcPr>
                  <w:tcW w:w="2280" w:type="dxa"/>
                  <w:vAlign w:val="center"/>
                </w:tcPr>
                <w:p w14:paraId="6816820F">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单层，占地面积990m</w:t>
                  </w:r>
                  <w:r>
                    <w:rPr>
                      <w:rFonts w:hint="default" w:ascii="Times New Roman" w:hAnsi="Times New Roman" w:cs="Times New Roman"/>
                      <w:color w:val="auto"/>
                      <w:szCs w:val="21"/>
                      <w:highlight w:val="none"/>
                      <w:vertAlign w:val="superscript"/>
                    </w:rPr>
                    <w:t>2</w:t>
                  </w:r>
                </w:p>
              </w:tc>
              <w:tc>
                <w:tcPr>
                  <w:tcW w:w="2144" w:type="dxa"/>
                  <w:vMerge w:val="continue"/>
                  <w:shd w:val="clear" w:color="auto" w:fill="auto"/>
                  <w:vAlign w:val="center"/>
                </w:tcPr>
                <w:p w14:paraId="42887980">
                  <w:pPr>
                    <w:adjustRightInd w:val="0"/>
                    <w:snapToGrid w:val="0"/>
                    <w:rPr>
                      <w:rFonts w:hint="default" w:ascii="Times New Roman" w:hAnsi="Times New Roman" w:cs="Times New Roman"/>
                      <w:color w:val="auto"/>
                      <w:szCs w:val="21"/>
                      <w:highlight w:val="none"/>
                    </w:rPr>
                  </w:pPr>
                </w:p>
              </w:tc>
              <w:tc>
                <w:tcPr>
                  <w:tcW w:w="1995" w:type="dxa"/>
                  <w:vMerge w:val="continue"/>
                  <w:vAlign w:val="center"/>
                </w:tcPr>
                <w:p w14:paraId="08AA0D9A">
                  <w:pPr>
                    <w:adjustRightInd w:val="0"/>
                    <w:snapToGrid w:val="0"/>
                    <w:rPr>
                      <w:rFonts w:hint="default" w:ascii="Times New Roman" w:hAnsi="Times New Roman" w:cs="Times New Roman"/>
                      <w:color w:val="auto"/>
                      <w:szCs w:val="21"/>
                      <w:highlight w:val="none"/>
                    </w:rPr>
                  </w:pPr>
                </w:p>
              </w:tc>
            </w:tr>
            <w:tr w14:paraId="370F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14" w:hRule="atLeast"/>
                <w:jc w:val="center"/>
              </w:trPr>
              <w:tc>
                <w:tcPr>
                  <w:tcW w:w="600" w:type="dxa"/>
                  <w:vMerge w:val="continue"/>
                  <w:vAlign w:val="center"/>
                </w:tcPr>
                <w:p w14:paraId="0346123E">
                  <w:pPr>
                    <w:adjustRightInd w:val="0"/>
                    <w:snapToGrid w:val="0"/>
                    <w:jc w:val="center"/>
                    <w:rPr>
                      <w:rFonts w:hint="default" w:ascii="Times New Roman" w:hAnsi="Times New Roman" w:cs="Times New Roman"/>
                      <w:color w:val="auto"/>
                      <w:szCs w:val="21"/>
                      <w:highlight w:val="none"/>
                    </w:rPr>
                  </w:pPr>
                </w:p>
              </w:tc>
              <w:tc>
                <w:tcPr>
                  <w:tcW w:w="630" w:type="dxa"/>
                  <w:vMerge w:val="restart"/>
                  <w:vAlign w:val="center"/>
                </w:tcPr>
                <w:p w14:paraId="3236846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仓储工程</w:t>
                  </w:r>
                </w:p>
              </w:tc>
              <w:tc>
                <w:tcPr>
                  <w:tcW w:w="784" w:type="dxa"/>
                  <w:vAlign w:val="center"/>
                </w:tcPr>
                <w:p w14:paraId="70823FE1">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车间六</w:t>
                  </w:r>
                </w:p>
              </w:tc>
              <w:tc>
                <w:tcPr>
                  <w:tcW w:w="2280" w:type="dxa"/>
                  <w:vAlign w:val="center"/>
                </w:tcPr>
                <w:p w14:paraId="4FD99120">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单层，占地面积990m</w:t>
                  </w:r>
                  <w:r>
                    <w:rPr>
                      <w:rFonts w:hint="default" w:ascii="Times New Roman" w:hAnsi="Times New Roman" w:cs="Times New Roman"/>
                      <w:color w:val="auto"/>
                      <w:szCs w:val="21"/>
                      <w:highlight w:val="none"/>
                      <w:vertAlign w:val="superscript"/>
                    </w:rPr>
                    <w:t>2</w:t>
                  </w:r>
                </w:p>
              </w:tc>
              <w:tc>
                <w:tcPr>
                  <w:tcW w:w="2144" w:type="dxa"/>
                  <w:vMerge w:val="restart"/>
                  <w:shd w:val="clear" w:color="auto" w:fill="auto"/>
                  <w:vAlign w:val="center"/>
                </w:tcPr>
                <w:p w14:paraId="68A1522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依托现有</w:t>
                  </w:r>
                </w:p>
              </w:tc>
              <w:tc>
                <w:tcPr>
                  <w:tcW w:w="1995" w:type="dxa"/>
                  <w:vMerge w:val="restart"/>
                  <w:vAlign w:val="center"/>
                </w:tcPr>
                <w:p w14:paraId="0FD9F16C">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共计</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个原料车间</w:t>
                  </w:r>
                </w:p>
              </w:tc>
            </w:tr>
            <w:tr w14:paraId="61C8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27" w:hRule="atLeast"/>
                <w:jc w:val="center"/>
              </w:trPr>
              <w:tc>
                <w:tcPr>
                  <w:tcW w:w="600" w:type="dxa"/>
                  <w:vMerge w:val="continue"/>
                  <w:vAlign w:val="center"/>
                </w:tcPr>
                <w:p w14:paraId="68A48F1C">
                  <w:pPr>
                    <w:adjustRightInd w:val="0"/>
                    <w:snapToGrid w:val="0"/>
                    <w:jc w:val="center"/>
                    <w:rPr>
                      <w:rFonts w:hint="default" w:ascii="Times New Roman" w:hAnsi="Times New Roman" w:cs="Times New Roman"/>
                      <w:color w:val="auto"/>
                      <w:szCs w:val="21"/>
                      <w:highlight w:val="none"/>
                    </w:rPr>
                  </w:pPr>
                </w:p>
              </w:tc>
              <w:tc>
                <w:tcPr>
                  <w:tcW w:w="630" w:type="dxa"/>
                  <w:vMerge w:val="continue"/>
                  <w:vAlign w:val="center"/>
                </w:tcPr>
                <w:p w14:paraId="0C132561">
                  <w:pPr>
                    <w:adjustRightInd w:val="0"/>
                    <w:snapToGrid w:val="0"/>
                    <w:jc w:val="center"/>
                    <w:rPr>
                      <w:rFonts w:hint="default" w:ascii="Times New Roman" w:hAnsi="Times New Roman" w:cs="Times New Roman"/>
                      <w:color w:val="auto"/>
                      <w:szCs w:val="21"/>
                      <w:highlight w:val="none"/>
                    </w:rPr>
                  </w:pPr>
                </w:p>
              </w:tc>
              <w:tc>
                <w:tcPr>
                  <w:tcW w:w="784" w:type="dxa"/>
                  <w:vAlign w:val="center"/>
                </w:tcPr>
                <w:p w14:paraId="558DA58C">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车间七</w:t>
                  </w:r>
                </w:p>
              </w:tc>
              <w:tc>
                <w:tcPr>
                  <w:tcW w:w="2280" w:type="dxa"/>
                  <w:vAlign w:val="center"/>
                </w:tcPr>
                <w:p w14:paraId="3614C540">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单层，占地面积990m</w:t>
                  </w:r>
                  <w:r>
                    <w:rPr>
                      <w:rFonts w:hint="default" w:ascii="Times New Roman" w:hAnsi="Times New Roman" w:cs="Times New Roman"/>
                      <w:color w:val="auto"/>
                      <w:szCs w:val="21"/>
                      <w:highlight w:val="none"/>
                      <w:vertAlign w:val="superscript"/>
                    </w:rPr>
                    <w:t>2</w:t>
                  </w:r>
                </w:p>
              </w:tc>
              <w:tc>
                <w:tcPr>
                  <w:tcW w:w="2144" w:type="dxa"/>
                  <w:vMerge w:val="continue"/>
                  <w:shd w:val="clear" w:color="auto" w:fill="auto"/>
                  <w:vAlign w:val="center"/>
                </w:tcPr>
                <w:p w14:paraId="55DFF679">
                  <w:pPr>
                    <w:adjustRightInd w:val="0"/>
                    <w:snapToGrid w:val="0"/>
                    <w:jc w:val="center"/>
                    <w:rPr>
                      <w:rFonts w:hint="default" w:ascii="Times New Roman" w:hAnsi="Times New Roman" w:cs="Times New Roman"/>
                      <w:color w:val="auto"/>
                      <w:szCs w:val="21"/>
                      <w:highlight w:val="none"/>
                    </w:rPr>
                  </w:pPr>
                </w:p>
              </w:tc>
              <w:tc>
                <w:tcPr>
                  <w:tcW w:w="1995" w:type="dxa"/>
                  <w:vMerge w:val="continue"/>
                  <w:vAlign w:val="center"/>
                </w:tcPr>
                <w:p w14:paraId="0BFF7214">
                  <w:pPr>
                    <w:adjustRightInd w:val="0"/>
                    <w:snapToGrid w:val="0"/>
                    <w:jc w:val="center"/>
                    <w:rPr>
                      <w:rFonts w:hint="default" w:ascii="Times New Roman" w:hAnsi="Times New Roman" w:cs="Times New Roman"/>
                      <w:color w:val="auto"/>
                      <w:szCs w:val="21"/>
                      <w:highlight w:val="none"/>
                    </w:rPr>
                  </w:pPr>
                </w:p>
              </w:tc>
            </w:tr>
            <w:tr w14:paraId="61FB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5" w:hRule="atLeast"/>
                <w:jc w:val="center"/>
              </w:trPr>
              <w:tc>
                <w:tcPr>
                  <w:tcW w:w="600" w:type="dxa"/>
                  <w:vMerge w:val="continue"/>
                  <w:vAlign w:val="center"/>
                </w:tcPr>
                <w:p w14:paraId="52EFAE9F">
                  <w:pPr>
                    <w:adjustRightInd w:val="0"/>
                    <w:snapToGrid w:val="0"/>
                    <w:rPr>
                      <w:rFonts w:hint="default" w:ascii="Times New Roman" w:hAnsi="Times New Roman" w:cs="Times New Roman"/>
                      <w:color w:val="auto"/>
                      <w:szCs w:val="21"/>
                      <w:highlight w:val="none"/>
                    </w:rPr>
                  </w:pPr>
                </w:p>
              </w:tc>
              <w:tc>
                <w:tcPr>
                  <w:tcW w:w="630" w:type="dxa"/>
                  <w:vMerge w:val="restart"/>
                  <w:vAlign w:val="center"/>
                </w:tcPr>
                <w:p w14:paraId="1948C221">
                  <w:pPr>
                    <w:adjustRightInd w:val="0"/>
                    <w:snapToGrid w:val="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外租</w:t>
                  </w:r>
                </w:p>
              </w:tc>
              <w:tc>
                <w:tcPr>
                  <w:tcW w:w="784" w:type="dxa"/>
                  <w:vAlign w:val="center"/>
                </w:tcPr>
                <w:p w14:paraId="6AF87B48">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车间八</w:t>
                  </w:r>
                </w:p>
              </w:tc>
              <w:tc>
                <w:tcPr>
                  <w:tcW w:w="2280" w:type="dxa"/>
                  <w:vAlign w:val="center"/>
                </w:tcPr>
                <w:p w14:paraId="7459C95E">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单层，占地面积2800m</w:t>
                  </w:r>
                  <w:r>
                    <w:rPr>
                      <w:rFonts w:hint="default" w:ascii="Times New Roman" w:hAnsi="Times New Roman" w:cs="Times New Roman"/>
                      <w:color w:val="auto"/>
                      <w:szCs w:val="21"/>
                      <w:highlight w:val="none"/>
                      <w:vertAlign w:val="superscript"/>
                    </w:rPr>
                    <w:t>2</w:t>
                  </w:r>
                </w:p>
              </w:tc>
              <w:tc>
                <w:tcPr>
                  <w:tcW w:w="2144" w:type="dxa"/>
                  <w:vMerge w:val="restart"/>
                  <w:shd w:val="clear" w:color="auto" w:fill="auto"/>
                  <w:vAlign w:val="center"/>
                </w:tcPr>
                <w:p w14:paraId="6EFB4005">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1995" w:type="dxa"/>
                  <w:vMerge w:val="restart"/>
                  <w:vAlign w:val="center"/>
                </w:tcPr>
                <w:p w14:paraId="4E576CD3">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外租2</w:t>
                  </w:r>
                  <w:r>
                    <w:rPr>
                      <w:rFonts w:hint="default" w:ascii="Times New Roman" w:hAnsi="Times New Roman" w:cs="Times New Roman"/>
                      <w:color w:val="auto"/>
                      <w:szCs w:val="21"/>
                      <w:highlight w:val="none"/>
                    </w:rPr>
                    <w:t>个车间</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后续四期、五期建设时将不再外租）</w:t>
                  </w:r>
                </w:p>
              </w:tc>
            </w:tr>
            <w:tr w14:paraId="2EE8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5" w:hRule="atLeast"/>
                <w:jc w:val="center"/>
              </w:trPr>
              <w:tc>
                <w:tcPr>
                  <w:tcW w:w="600" w:type="dxa"/>
                  <w:vMerge w:val="continue"/>
                  <w:vAlign w:val="center"/>
                </w:tcPr>
                <w:p w14:paraId="30A7F7FB">
                  <w:pPr>
                    <w:adjustRightInd w:val="0"/>
                    <w:snapToGrid w:val="0"/>
                    <w:rPr>
                      <w:rFonts w:hint="default" w:ascii="Times New Roman" w:hAnsi="Times New Roman" w:cs="Times New Roman"/>
                      <w:color w:val="auto"/>
                      <w:szCs w:val="21"/>
                      <w:highlight w:val="none"/>
                    </w:rPr>
                  </w:pPr>
                </w:p>
              </w:tc>
              <w:tc>
                <w:tcPr>
                  <w:tcW w:w="630" w:type="dxa"/>
                  <w:vMerge w:val="continue"/>
                  <w:vAlign w:val="center"/>
                </w:tcPr>
                <w:p w14:paraId="500ADE48">
                  <w:pPr>
                    <w:adjustRightInd w:val="0"/>
                    <w:snapToGrid w:val="0"/>
                    <w:rPr>
                      <w:rFonts w:hint="default" w:ascii="Times New Roman" w:hAnsi="Times New Roman" w:cs="Times New Roman"/>
                      <w:color w:val="auto"/>
                      <w:szCs w:val="21"/>
                      <w:highlight w:val="none"/>
                    </w:rPr>
                  </w:pPr>
                </w:p>
              </w:tc>
              <w:tc>
                <w:tcPr>
                  <w:tcW w:w="784" w:type="dxa"/>
                  <w:vAlign w:val="center"/>
                </w:tcPr>
                <w:p w14:paraId="4BFE45CD">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车间九</w:t>
                  </w:r>
                </w:p>
              </w:tc>
              <w:tc>
                <w:tcPr>
                  <w:tcW w:w="2280" w:type="dxa"/>
                  <w:vAlign w:val="center"/>
                </w:tcPr>
                <w:p w14:paraId="74C8948C">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单层，占地面积1500m</w:t>
                  </w:r>
                  <w:r>
                    <w:rPr>
                      <w:rFonts w:hint="default" w:ascii="Times New Roman" w:hAnsi="Times New Roman" w:cs="Times New Roman"/>
                      <w:color w:val="auto"/>
                      <w:szCs w:val="21"/>
                      <w:highlight w:val="none"/>
                      <w:vertAlign w:val="superscript"/>
                    </w:rPr>
                    <w:t>2</w:t>
                  </w:r>
                </w:p>
              </w:tc>
              <w:tc>
                <w:tcPr>
                  <w:tcW w:w="2144" w:type="dxa"/>
                  <w:vMerge w:val="continue"/>
                  <w:shd w:val="clear" w:color="auto" w:fill="auto"/>
                  <w:vAlign w:val="center"/>
                </w:tcPr>
                <w:p w14:paraId="4DF7BF36">
                  <w:pPr>
                    <w:adjustRightInd w:val="0"/>
                    <w:snapToGrid w:val="0"/>
                    <w:rPr>
                      <w:rFonts w:hint="default" w:ascii="Times New Roman" w:hAnsi="Times New Roman" w:cs="Times New Roman"/>
                      <w:color w:val="auto"/>
                      <w:szCs w:val="21"/>
                      <w:highlight w:val="none"/>
                    </w:rPr>
                  </w:pPr>
                </w:p>
              </w:tc>
              <w:tc>
                <w:tcPr>
                  <w:tcW w:w="1995" w:type="dxa"/>
                  <w:vMerge w:val="continue"/>
                  <w:vAlign w:val="center"/>
                </w:tcPr>
                <w:p w14:paraId="346F5A4D">
                  <w:pPr>
                    <w:adjustRightInd w:val="0"/>
                    <w:snapToGrid w:val="0"/>
                    <w:rPr>
                      <w:rFonts w:hint="default" w:ascii="Times New Roman" w:hAnsi="Times New Roman" w:cs="Times New Roman"/>
                      <w:color w:val="auto"/>
                      <w:szCs w:val="21"/>
                      <w:highlight w:val="none"/>
                    </w:rPr>
                  </w:pPr>
                </w:p>
              </w:tc>
            </w:tr>
            <w:tr w14:paraId="50C0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jc w:val="center"/>
              </w:trPr>
              <w:tc>
                <w:tcPr>
                  <w:tcW w:w="600" w:type="dxa"/>
                  <w:vMerge w:val="continue"/>
                  <w:vAlign w:val="center"/>
                </w:tcPr>
                <w:p w14:paraId="18578136">
                  <w:pPr>
                    <w:adjustRightInd w:val="0"/>
                    <w:snapToGrid w:val="0"/>
                    <w:jc w:val="center"/>
                    <w:rPr>
                      <w:rFonts w:hint="default" w:ascii="Times New Roman" w:hAnsi="Times New Roman" w:cs="Times New Roman"/>
                      <w:color w:val="auto"/>
                      <w:szCs w:val="21"/>
                      <w:highlight w:val="none"/>
                    </w:rPr>
                  </w:pPr>
                </w:p>
              </w:tc>
              <w:tc>
                <w:tcPr>
                  <w:tcW w:w="630" w:type="dxa"/>
                  <w:vAlign w:val="center"/>
                </w:tcPr>
                <w:p w14:paraId="7004B9B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辅助工程</w:t>
                  </w:r>
                </w:p>
              </w:tc>
              <w:tc>
                <w:tcPr>
                  <w:tcW w:w="784" w:type="dxa"/>
                  <w:vAlign w:val="center"/>
                </w:tcPr>
                <w:p w14:paraId="0054F401">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门岗</w:t>
                  </w:r>
                </w:p>
              </w:tc>
              <w:tc>
                <w:tcPr>
                  <w:tcW w:w="2280" w:type="dxa"/>
                  <w:vAlign w:val="center"/>
                </w:tcPr>
                <w:p w14:paraId="56217419">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单层，占地面积75m</w:t>
                  </w:r>
                  <w:r>
                    <w:rPr>
                      <w:rFonts w:hint="default" w:ascii="Times New Roman" w:hAnsi="Times New Roman" w:cs="Times New Roman"/>
                      <w:color w:val="auto"/>
                      <w:szCs w:val="21"/>
                      <w:highlight w:val="none"/>
                      <w:vertAlign w:val="superscript"/>
                    </w:rPr>
                    <w:t>2</w:t>
                  </w:r>
                </w:p>
              </w:tc>
              <w:tc>
                <w:tcPr>
                  <w:tcW w:w="2144" w:type="dxa"/>
                  <w:shd w:val="clear" w:color="auto" w:fill="auto"/>
                  <w:vAlign w:val="center"/>
                </w:tcPr>
                <w:p w14:paraId="5C6FC39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依托现有</w:t>
                  </w:r>
                </w:p>
              </w:tc>
              <w:tc>
                <w:tcPr>
                  <w:tcW w:w="1995" w:type="dxa"/>
                  <w:vAlign w:val="center"/>
                </w:tcPr>
                <w:p w14:paraId="46AF5E48">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共计1个门岗</w:t>
                  </w:r>
                </w:p>
              </w:tc>
            </w:tr>
            <w:tr w14:paraId="1DA0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600" w:type="dxa"/>
                  <w:vMerge w:val="restart"/>
                  <w:vAlign w:val="center"/>
                </w:tcPr>
                <w:p w14:paraId="10CF994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公用工程</w:t>
                  </w:r>
                </w:p>
              </w:tc>
              <w:tc>
                <w:tcPr>
                  <w:tcW w:w="630" w:type="dxa"/>
                  <w:vMerge w:val="restart"/>
                  <w:vAlign w:val="center"/>
                </w:tcPr>
                <w:p w14:paraId="0737862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公用工程</w:t>
                  </w:r>
                </w:p>
              </w:tc>
              <w:tc>
                <w:tcPr>
                  <w:tcW w:w="784" w:type="dxa"/>
                  <w:vAlign w:val="center"/>
                </w:tcPr>
                <w:p w14:paraId="7821F50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供电</w:t>
                  </w:r>
                </w:p>
              </w:tc>
              <w:tc>
                <w:tcPr>
                  <w:tcW w:w="2280" w:type="dxa"/>
                  <w:vAlign w:val="center"/>
                </w:tcPr>
                <w:p w14:paraId="49C1371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用电采用市政供电</w:t>
                  </w:r>
                </w:p>
              </w:tc>
              <w:tc>
                <w:tcPr>
                  <w:tcW w:w="2144" w:type="dxa"/>
                  <w:shd w:val="clear" w:color="auto" w:fill="auto"/>
                  <w:vAlign w:val="center"/>
                </w:tcPr>
                <w:p w14:paraId="146ABCBB">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依托现有</w:t>
                  </w:r>
                </w:p>
              </w:tc>
              <w:tc>
                <w:tcPr>
                  <w:tcW w:w="1995" w:type="dxa"/>
                  <w:vAlign w:val="center"/>
                </w:tcPr>
                <w:p w14:paraId="5DD709D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用电采用市政供电</w:t>
                  </w:r>
                </w:p>
              </w:tc>
            </w:tr>
            <w:tr w14:paraId="167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600" w:type="dxa"/>
                  <w:vMerge w:val="continue"/>
                  <w:vAlign w:val="center"/>
                </w:tcPr>
                <w:p w14:paraId="4337B8DD">
                  <w:pPr>
                    <w:adjustRightInd w:val="0"/>
                    <w:snapToGrid w:val="0"/>
                    <w:ind w:firstLine="210" w:firstLineChars="100"/>
                    <w:jc w:val="center"/>
                    <w:rPr>
                      <w:rFonts w:hint="default" w:ascii="Times New Roman" w:hAnsi="Times New Roman" w:cs="Times New Roman"/>
                      <w:color w:val="auto"/>
                      <w:szCs w:val="21"/>
                      <w:highlight w:val="none"/>
                    </w:rPr>
                  </w:pPr>
                </w:p>
              </w:tc>
              <w:tc>
                <w:tcPr>
                  <w:tcW w:w="630" w:type="dxa"/>
                  <w:vMerge w:val="continue"/>
                  <w:vAlign w:val="center"/>
                </w:tcPr>
                <w:p w14:paraId="4BBBDA9D">
                  <w:pPr>
                    <w:adjustRightInd w:val="0"/>
                    <w:snapToGrid w:val="0"/>
                    <w:jc w:val="center"/>
                    <w:rPr>
                      <w:rFonts w:hint="default" w:ascii="Times New Roman" w:hAnsi="Times New Roman" w:cs="Times New Roman"/>
                      <w:color w:val="auto"/>
                      <w:szCs w:val="21"/>
                      <w:highlight w:val="none"/>
                    </w:rPr>
                  </w:pPr>
                </w:p>
              </w:tc>
              <w:tc>
                <w:tcPr>
                  <w:tcW w:w="784" w:type="dxa"/>
                  <w:vAlign w:val="center"/>
                </w:tcPr>
                <w:p w14:paraId="00BE9B3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给水</w:t>
                  </w:r>
                </w:p>
              </w:tc>
              <w:tc>
                <w:tcPr>
                  <w:tcW w:w="2280" w:type="dxa"/>
                  <w:vAlign w:val="center"/>
                </w:tcPr>
                <w:p w14:paraId="2B547EB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用水采用市政供水</w:t>
                  </w:r>
                </w:p>
              </w:tc>
              <w:tc>
                <w:tcPr>
                  <w:tcW w:w="2144" w:type="dxa"/>
                  <w:shd w:val="clear" w:color="auto" w:fill="auto"/>
                  <w:vAlign w:val="center"/>
                </w:tcPr>
                <w:p w14:paraId="638D289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依托现有</w:t>
                  </w:r>
                </w:p>
              </w:tc>
              <w:tc>
                <w:tcPr>
                  <w:tcW w:w="1995" w:type="dxa"/>
                  <w:vAlign w:val="center"/>
                </w:tcPr>
                <w:p w14:paraId="395BEBFC">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用水采用市政供水</w:t>
                  </w:r>
                </w:p>
              </w:tc>
            </w:tr>
            <w:tr w14:paraId="63EC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26" w:hRule="atLeast"/>
                <w:jc w:val="center"/>
              </w:trPr>
              <w:tc>
                <w:tcPr>
                  <w:tcW w:w="600" w:type="dxa"/>
                  <w:vMerge w:val="restart"/>
                  <w:vAlign w:val="center"/>
                </w:tcPr>
                <w:p w14:paraId="39775F2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环保工程</w:t>
                  </w:r>
                </w:p>
              </w:tc>
              <w:tc>
                <w:tcPr>
                  <w:tcW w:w="630" w:type="dxa"/>
                  <w:vAlign w:val="center"/>
                </w:tcPr>
                <w:p w14:paraId="3389FD5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废水</w:t>
                  </w:r>
                </w:p>
              </w:tc>
              <w:tc>
                <w:tcPr>
                  <w:tcW w:w="3064" w:type="dxa"/>
                  <w:gridSpan w:val="2"/>
                  <w:vAlign w:val="center"/>
                </w:tcPr>
                <w:p w14:paraId="4FC89F7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铸造冷却水循环使用不外排；生活污水经隔油隔渣池+三级化粪池处理后排入园区污水处理厂进一步处理。</w:t>
                  </w:r>
                </w:p>
              </w:tc>
              <w:tc>
                <w:tcPr>
                  <w:tcW w:w="2144" w:type="dxa"/>
                  <w:shd w:val="clear" w:color="auto" w:fill="auto"/>
                  <w:vAlign w:val="center"/>
                </w:tcPr>
                <w:p w14:paraId="5E9B50AE">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水帘柜废水作为危废交由有资质单位处理；本项目从原项目调配人员，不新增员工，不新增生活污水。</w:t>
                  </w:r>
                </w:p>
              </w:tc>
              <w:tc>
                <w:tcPr>
                  <w:tcW w:w="1995" w:type="dxa"/>
                  <w:vAlign w:val="center"/>
                </w:tcPr>
                <w:p w14:paraId="07730DF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铸造冷却水循环使用不外排；水帘柜废水作为危废交由有资质单位处理；生活污水经隔油隔渣池+三级化粪池处理后排入园区污水处理厂进一步处理。</w:t>
                  </w:r>
                </w:p>
              </w:tc>
            </w:tr>
            <w:tr w14:paraId="5865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71" w:hRule="atLeast"/>
                <w:jc w:val="center"/>
              </w:trPr>
              <w:tc>
                <w:tcPr>
                  <w:tcW w:w="600" w:type="dxa"/>
                  <w:vMerge w:val="continue"/>
                  <w:vAlign w:val="center"/>
                </w:tcPr>
                <w:p w14:paraId="7BCC505E">
                  <w:pPr>
                    <w:adjustRightInd w:val="0"/>
                    <w:snapToGrid w:val="0"/>
                    <w:jc w:val="center"/>
                    <w:rPr>
                      <w:rFonts w:hint="default" w:ascii="Times New Roman" w:hAnsi="Times New Roman" w:cs="Times New Roman"/>
                      <w:color w:val="auto"/>
                      <w:szCs w:val="21"/>
                      <w:highlight w:val="none"/>
                    </w:rPr>
                  </w:pPr>
                </w:p>
              </w:tc>
              <w:tc>
                <w:tcPr>
                  <w:tcW w:w="630" w:type="dxa"/>
                  <w:vAlign w:val="center"/>
                </w:tcPr>
                <w:p w14:paraId="683422A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废气</w:t>
                  </w:r>
                </w:p>
              </w:tc>
              <w:tc>
                <w:tcPr>
                  <w:tcW w:w="3064" w:type="dxa"/>
                  <w:gridSpan w:val="2"/>
                  <w:vAlign w:val="center"/>
                </w:tcPr>
                <w:p w14:paraId="332342DB">
                  <w:pPr>
                    <w:pStyle w:val="14"/>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一期</w:t>
                  </w:r>
                  <w:r>
                    <w:rPr>
                      <w:rFonts w:hint="default" w:ascii="Times New Roman" w:hAnsi="Times New Roman" w:cs="Times New Roman"/>
                      <w:color w:val="auto"/>
                      <w:szCs w:val="21"/>
                      <w:highlight w:val="none"/>
                      <w:lang w:val="en-US" w:eastAsia="zh-CN"/>
                    </w:rPr>
                    <w:t>中频炉熔化废气、抛丸废气分别经1</w:t>
                  </w:r>
                  <w:r>
                    <w:rPr>
                      <w:rFonts w:hint="default" w:ascii="Times New Roman" w:hAnsi="Times New Roman" w:cs="Times New Roman"/>
                      <w:color w:val="auto"/>
                      <w:szCs w:val="21"/>
                      <w:highlight w:val="none"/>
                    </w:rPr>
                    <w:t>套布袋除尘器</w:t>
                  </w:r>
                  <w:r>
                    <w:rPr>
                      <w:rFonts w:hint="default" w:ascii="Times New Roman" w:hAnsi="Times New Roman" w:cs="Times New Roman"/>
                      <w:color w:val="auto"/>
                      <w:szCs w:val="21"/>
                      <w:highlight w:val="none"/>
                      <w:lang w:val="en-US" w:eastAsia="zh-CN"/>
                    </w:rPr>
                    <w:t>处理后合并经15m排气筒DA001排放</w:t>
                  </w:r>
                  <w:r>
                    <w:rPr>
                      <w:rFonts w:hint="default" w:ascii="Times New Roman" w:hAnsi="Times New Roman" w:cs="Times New Roman"/>
                      <w:color w:val="auto"/>
                      <w:szCs w:val="21"/>
                      <w:highlight w:val="none"/>
                    </w:rPr>
                    <w:t>；二期</w:t>
                  </w:r>
                  <w:r>
                    <w:rPr>
                      <w:rFonts w:hint="default" w:ascii="Times New Roman" w:hAnsi="Times New Roman" w:cs="Times New Roman"/>
                      <w:color w:val="auto"/>
                      <w:szCs w:val="21"/>
                      <w:highlight w:val="none"/>
                      <w:lang w:val="en-US" w:eastAsia="zh-CN"/>
                    </w:rPr>
                    <w:t>中频炉熔化废气经</w:t>
                  </w:r>
                  <w:r>
                    <w:rPr>
                      <w:rFonts w:hint="default" w:ascii="Times New Roman" w:hAnsi="Times New Roman" w:cs="Times New Roman"/>
                      <w:color w:val="auto"/>
                      <w:szCs w:val="21"/>
                      <w:highlight w:val="none"/>
                    </w:rPr>
                    <w:t>1套布袋除尘器</w:t>
                  </w:r>
                  <w:r>
                    <w:rPr>
                      <w:rFonts w:hint="default" w:ascii="Times New Roman" w:hAnsi="Times New Roman" w:cs="Times New Roman"/>
                      <w:color w:val="auto"/>
                      <w:szCs w:val="21"/>
                      <w:highlight w:val="none"/>
                      <w:lang w:val="en-US" w:eastAsia="zh-CN"/>
                    </w:rPr>
                    <w:t>处理后经15m排气筒DA002排放、二期工艺废气经2套双滤筒除尘器处理后经15m排气筒DA003排放</w:t>
                  </w:r>
                  <w:r>
                    <w:rPr>
                      <w:rFonts w:hint="default" w:ascii="Times New Roman" w:hAnsi="Times New Roman" w:cs="Times New Roman"/>
                      <w:color w:val="auto"/>
                      <w:szCs w:val="21"/>
                      <w:highlight w:val="none"/>
                    </w:rPr>
                    <w:t>；三期工程</w:t>
                  </w:r>
                  <w:r>
                    <w:rPr>
                      <w:rFonts w:hint="default" w:ascii="Times New Roman" w:hAnsi="Times New Roman" w:cs="Times New Roman"/>
                      <w:color w:val="auto"/>
                      <w:szCs w:val="21"/>
                      <w:highlight w:val="none"/>
                      <w:lang w:val="en-US" w:eastAsia="zh-CN"/>
                    </w:rPr>
                    <w:t>熔化废气、浇注废气、砂处理废气经</w:t>
                  </w:r>
                  <w:r>
                    <w:rPr>
                      <w:rFonts w:hint="default" w:ascii="Times New Roman" w:hAnsi="Times New Roman" w:cs="Times New Roman"/>
                      <w:color w:val="auto"/>
                      <w:szCs w:val="21"/>
                      <w:highlight w:val="none"/>
                    </w:rPr>
                    <w:t>1套UV光解+活性炭吸附塔+过滤筒装置、1套布袋除尘器</w:t>
                  </w:r>
                  <w:r>
                    <w:rPr>
                      <w:rFonts w:hint="default" w:ascii="Times New Roman" w:hAnsi="Times New Roman" w:cs="Times New Roman"/>
                      <w:color w:val="auto"/>
                      <w:szCs w:val="21"/>
                      <w:highlight w:val="none"/>
                      <w:lang w:val="en-US" w:eastAsia="zh-CN"/>
                    </w:rPr>
                    <w:t>处理后经15m排气筒DA004排放</w:t>
                  </w:r>
                  <w:r>
                    <w:rPr>
                      <w:rFonts w:hint="default" w:ascii="Times New Roman" w:hAnsi="Times New Roman" w:cs="Times New Roman"/>
                      <w:color w:val="auto"/>
                      <w:szCs w:val="21"/>
                      <w:highlight w:val="none"/>
                    </w:rPr>
                    <w:t>。</w:t>
                  </w:r>
                </w:p>
              </w:tc>
              <w:tc>
                <w:tcPr>
                  <w:tcW w:w="2144" w:type="dxa"/>
                  <w:shd w:val="clear" w:color="auto" w:fill="auto"/>
                  <w:vAlign w:val="center"/>
                </w:tcPr>
                <w:p w14:paraId="6AC896A2">
                  <w:pPr>
                    <w:pStyle w:val="14"/>
                    <w:adjustRightInd w:val="0"/>
                    <w:snapToGrid w:val="0"/>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rPr>
                    <w:t>喷漆、洗枪废气经水帘柜+除雾+二级活性炭处理后经15m排气筒（DA005）排放、风干废气和烘烤废气经管道收集后接入喷漆、洗枪废气处理设施二级活性炭处理后接排气筒（DA005）排放；喷粉废气经滤筒除尘器处理后接排气筒（DA005）排放</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以新带老”将三期的“</w:t>
                  </w:r>
                  <w:r>
                    <w:rPr>
                      <w:rFonts w:hint="default" w:ascii="Times New Roman" w:hAnsi="Times New Roman" w:cs="Times New Roman"/>
                      <w:color w:val="auto"/>
                      <w:szCs w:val="21"/>
                      <w:highlight w:val="none"/>
                    </w:rPr>
                    <w:t>UV光解+活性炭吸附塔</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改成“二级活性炭”</w:t>
                  </w:r>
                </w:p>
              </w:tc>
              <w:tc>
                <w:tcPr>
                  <w:tcW w:w="1995" w:type="dxa"/>
                  <w:vAlign w:val="center"/>
                </w:tcPr>
                <w:p w14:paraId="2C47C535">
                  <w:pPr>
                    <w:pStyle w:val="14"/>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共计</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套布袋除尘器，</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套双滤筒除尘器、1套</w:t>
                  </w:r>
                  <w:r>
                    <w:rPr>
                      <w:rFonts w:hint="default" w:ascii="Times New Roman" w:hAnsi="Times New Roman" w:cs="Times New Roman"/>
                      <w:color w:val="auto"/>
                      <w:szCs w:val="21"/>
                      <w:highlight w:val="none"/>
                      <w:lang w:val="en-US" w:eastAsia="zh-CN"/>
                    </w:rPr>
                    <w:t>二级</w:t>
                  </w:r>
                  <w:r>
                    <w:rPr>
                      <w:rFonts w:hint="default" w:ascii="Times New Roman" w:hAnsi="Times New Roman" w:cs="Times New Roman"/>
                      <w:color w:val="auto"/>
                      <w:szCs w:val="21"/>
                      <w:highlight w:val="none"/>
                    </w:rPr>
                    <w:t>活性炭吸附塔+过滤筒装置、1套滤筒除尘器、1套</w:t>
                  </w:r>
                  <w:r>
                    <w:rPr>
                      <w:rFonts w:hint="default" w:ascii="Times New Roman" w:hAnsi="Times New Roman" w:cs="Times New Roman"/>
                      <w:bCs/>
                      <w:color w:val="auto"/>
                      <w:szCs w:val="21"/>
                      <w:highlight w:val="none"/>
                    </w:rPr>
                    <w:t>水帘柜+除雾+二级活性炭</w:t>
                  </w:r>
                </w:p>
              </w:tc>
            </w:tr>
            <w:tr w14:paraId="77D6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54" w:hRule="atLeast"/>
                <w:jc w:val="center"/>
              </w:trPr>
              <w:tc>
                <w:tcPr>
                  <w:tcW w:w="600" w:type="dxa"/>
                  <w:vMerge w:val="continue"/>
                  <w:vAlign w:val="center"/>
                </w:tcPr>
                <w:p w14:paraId="3EAB4E85">
                  <w:pPr>
                    <w:adjustRightInd w:val="0"/>
                    <w:snapToGrid w:val="0"/>
                    <w:jc w:val="center"/>
                    <w:rPr>
                      <w:rFonts w:hint="default" w:ascii="Times New Roman" w:hAnsi="Times New Roman" w:cs="Times New Roman"/>
                      <w:color w:val="auto"/>
                      <w:szCs w:val="21"/>
                      <w:highlight w:val="none"/>
                    </w:rPr>
                  </w:pPr>
                </w:p>
              </w:tc>
              <w:tc>
                <w:tcPr>
                  <w:tcW w:w="630" w:type="dxa"/>
                  <w:vMerge w:val="restart"/>
                  <w:shd w:val="clear" w:color="auto" w:fill="auto"/>
                  <w:vAlign w:val="center"/>
                </w:tcPr>
                <w:p w14:paraId="4CF00F2B">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固废</w:t>
                  </w:r>
                </w:p>
              </w:tc>
              <w:tc>
                <w:tcPr>
                  <w:tcW w:w="3064" w:type="dxa"/>
                  <w:gridSpan w:val="2"/>
                  <w:shd w:val="clear" w:color="auto" w:fill="auto"/>
                  <w:vAlign w:val="center"/>
                </w:tcPr>
                <w:p w14:paraId="3082D012">
                  <w:pPr>
                    <w:pStyle w:val="14"/>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在车间一内已建1间危废暂存间，面积为2m</w:t>
                  </w:r>
                  <w:r>
                    <w:rPr>
                      <w:rFonts w:hint="default" w:ascii="Times New Roman" w:hAnsi="Times New Roman" w:cs="Times New Roman"/>
                      <w:color w:val="auto"/>
                      <w:szCs w:val="21"/>
                      <w:highlight w:val="none"/>
                      <w:vertAlign w:val="superscript"/>
                    </w:rPr>
                    <w:t>2</w:t>
                  </w:r>
                  <w:r>
                    <w:rPr>
                      <w:rFonts w:hint="default" w:ascii="Times New Roman" w:hAnsi="Times New Roman" w:cs="Times New Roman"/>
                      <w:color w:val="auto"/>
                      <w:szCs w:val="21"/>
                      <w:highlight w:val="none"/>
                    </w:rPr>
                    <w:t>，废活性炭收集后定期交由</w:t>
                  </w:r>
                  <w:r>
                    <w:rPr>
                      <w:rFonts w:hint="default" w:ascii="Times New Roman" w:hAnsi="Times New Roman" w:cs="Times New Roman"/>
                      <w:color w:val="auto"/>
                      <w:kern w:val="0"/>
                      <w:szCs w:val="21"/>
                      <w:highlight w:val="none"/>
                    </w:rPr>
                    <w:t>有资质单位（广东鑫龙盛环保科技有限公司）处置。</w:t>
                  </w:r>
                </w:p>
              </w:tc>
              <w:tc>
                <w:tcPr>
                  <w:tcW w:w="2144" w:type="dxa"/>
                  <w:vMerge w:val="restart"/>
                  <w:shd w:val="clear" w:color="auto" w:fill="auto"/>
                  <w:vAlign w:val="center"/>
                </w:tcPr>
                <w:p w14:paraId="2575082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在车间一内</w:t>
                  </w:r>
                  <w:r>
                    <w:rPr>
                      <w:rFonts w:hint="default" w:ascii="Times New Roman" w:hAnsi="Times New Roman" w:cs="Times New Roman"/>
                      <w:color w:val="auto"/>
                      <w:szCs w:val="21"/>
                      <w:highlight w:val="none"/>
                      <w:lang w:val="en-US" w:eastAsia="zh-CN"/>
                    </w:rPr>
                    <w:t>新</w:t>
                  </w:r>
                  <w:r>
                    <w:rPr>
                      <w:rFonts w:hint="default" w:ascii="Times New Roman" w:hAnsi="Times New Roman" w:cs="Times New Roman"/>
                      <w:color w:val="auto"/>
                      <w:szCs w:val="21"/>
                      <w:highlight w:val="none"/>
                    </w:rPr>
                    <w:t>建1间危废暂存间，面积为</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0m</w:t>
                  </w:r>
                  <w:r>
                    <w:rPr>
                      <w:rFonts w:hint="default" w:ascii="Times New Roman" w:hAnsi="Times New Roman" w:cs="Times New Roman"/>
                      <w:color w:val="auto"/>
                      <w:szCs w:val="21"/>
                      <w:highlight w:val="none"/>
                      <w:vertAlign w:val="superscript"/>
                    </w:rPr>
                    <w:t>2</w:t>
                  </w:r>
                  <w:r>
                    <w:rPr>
                      <w:rFonts w:hint="default" w:ascii="Times New Roman" w:hAnsi="Times New Roman" w:cs="Times New Roman"/>
                      <w:color w:val="auto"/>
                      <w:szCs w:val="21"/>
                      <w:highlight w:val="none"/>
                    </w:rPr>
                    <w:t>，水帘柜废水、</w:t>
                  </w:r>
                  <w:r>
                    <w:rPr>
                      <w:rFonts w:hint="default" w:ascii="Times New Roman" w:hAnsi="Times New Roman" w:cs="Times New Roman"/>
                      <w:color w:val="auto"/>
                      <w:kern w:val="0"/>
                      <w:szCs w:val="21"/>
                      <w:highlight w:val="none"/>
                    </w:rPr>
                    <w:t>粉末喷涂废滤芯、废喷粉、废原料桶、废活性炭及其吸附物、废漆渣</w:t>
                  </w:r>
                  <w:r>
                    <w:rPr>
                      <w:rFonts w:hint="default" w:ascii="Times New Roman" w:hAnsi="Times New Roman" w:cs="Times New Roman"/>
                      <w:color w:val="auto"/>
                      <w:szCs w:val="21"/>
                      <w:highlight w:val="none"/>
                    </w:rPr>
                    <w:t>收集后定期交由</w:t>
                  </w:r>
                  <w:r>
                    <w:rPr>
                      <w:rFonts w:hint="default" w:ascii="Times New Roman" w:hAnsi="Times New Roman" w:cs="Times New Roman"/>
                      <w:color w:val="auto"/>
                      <w:kern w:val="0"/>
                      <w:szCs w:val="21"/>
                      <w:highlight w:val="none"/>
                    </w:rPr>
                    <w:t>有资质单位处置。</w:t>
                  </w:r>
                </w:p>
              </w:tc>
              <w:tc>
                <w:tcPr>
                  <w:tcW w:w="1995" w:type="dxa"/>
                  <w:vMerge w:val="restart"/>
                  <w:shd w:val="clear" w:color="auto" w:fill="auto"/>
                  <w:vAlign w:val="center"/>
                </w:tcPr>
                <w:p w14:paraId="15C669D5">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共计2间危废间，按要求处置固废</w:t>
                  </w:r>
                </w:p>
              </w:tc>
            </w:tr>
            <w:tr w14:paraId="44A3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54" w:hRule="atLeast"/>
                <w:jc w:val="center"/>
              </w:trPr>
              <w:tc>
                <w:tcPr>
                  <w:tcW w:w="600" w:type="dxa"/>
                  <w:vMerge w:val="continue"/>
                  <w:vAlign w:val="center"/>
                </w:tcPr>
                <w:p w14:paraId="0518FAC0">
                  <w:pPr>
                    <w:adjustRightInd w:val="0"/>
                    <w:snapToGrid w:val="0"/>
                    <w:jc w:val="center"/>
                    <w:rPr>
                      <w:rFonts w:hint="default" w:ascii="Times New Roman" w:hAnsi="Times New Roman" w:cs="Times New Roman"/>
                      <w:color w:val="auto"/>
                      <w:szCs w:val="21"/>
                      <w:highlight w:val="none"/>
                    </w:rPr>
                  </w:pPr>
                </w:p>
              </w:tc>
              <w:tc>
                <w:tcPr>
                  <w:tcW w:w="630" w:type="dxa"/>
                  <w:vMerge w:val="continue"/>
                  <w:vAlign w:val="center"/>
                </w:tcPr>
                <w:p w14:paraId="2A585B69">
                  <w:pPr>
                    <w:adjustRightInd w:val="0"/>
                    <w:snapToGrid w:val="0"/>
                    <w:jc w:val="center"/>
                    <w:rPr>
                      <w:rFonts w:hint="default" w:ascii="Times New Roman" w:hAnsi="Times New Roman" w:cs="Times New Roman"/>
                      <w:color w:val="auto"/>
                      <w:szCs w:val="21"/>
                      <w:highlight w:val="none"/>
                    </w:rPr>
                  </w:pPr>
                </w:p>
              </w:tc>
              <w:tc>
                <w:tcPr>
                  <w:tcW w:w="3064" w:type="dxa"/>
                  <w:gridSpan w:val="2"/>
                  <w:shd w:val="clear" w:color="auto" w:fill="auto"/>
                  <w:vAlign w:val="center"/>
                </w:tcPr>
                <w:p w14:paraId="1AB7A5CF">
                  <w:pPr>
                    <w:pStyle w:val="14"/>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废炉渣、废砂、布袋收集的颗粒物收集后外售韶关市富强环保科技有限公司回收利用；残次品、金属屑、边角料回用生产；废泡沫由供应商回收利用</w:t>
                  </w:r>
                </w:p>
              </w:tc>
              <w:tc>
                <w:tcPr>
                  <w:tcW w:w="2144" w:type="dxa"/>
                  <w:vMerge w:val="continue"/>
                  <w:shd w:val="clear" w:color="auto" w:fill="auto"/>
                  <w:vAlign w:val="center"/>
                </w:tcPr>
                <w:p w14:paraId="1260C7CD">
                  <w:pPr>
                    <w:pStyle w:val="14"/>
                    <w:adjustRightInd w:val="0"/>
                    <w:snapToGrid w:val="0"/>
                    <w:jc w:val="center"/>
                    <w:rPr>
                      <w:rFonts w:hint="default" w:ascii="Times New Roman" w:hAnsi="Times New Roman" w:cs="Times New Roman"/>
                      <w:color w:val="auto"/>
                      <w:szCs w:val="21"/>
                      <w:highlight w:val="none"/>
                    </w:rPr>
                  </w:pPr>
                </w:p>
              </w:tc>
              <w:tc>
                <w:tcPr>
                  <w:tcW w:w="1995" w:type="dxa"/>
                  <w:vMerge w:val="continue"/>
                  <w:shd w:val="clear" w:color="auto" w:fill="auto"/>
                  <w:vAlign w:val="center"/>
                </w:tcPr>
                <w:p w14:paraId="25DDAF88">
                  <w:pPr>
                    <w:pStyle w:val="14"/>
                    <w:adjustRightInd w:val="0"/>
                    <w:snapToGrid w:val="0"/>
                    <w:jc w:val="center"/>
                    <w:rPr>
                      <w:rFonts w:hint="default" w:ascii="Times New Roman" w:hAnsi="Times New Roman" w:cs="Times New Roman"/>
                      <w:color w:val="auto"/>
                      <w:szCs w:val="21"/>
                      <w:highlight w:val="none"/>
                    </w:rPr>
                  </w:pPr>
                </w:p>
              </w:tc>
            </w:tr>
            <w:tr w14:paraId="3E05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54" w:hRule="atLeast"/>
                <w:jc w:val="center"/>
              </w:trPr>
              <w:tc>
                <w:tcPr>
                  <w:tcW w:w="600" w:type="dxa"/>
                  <w:vMerge w:val="continue"/>
                  <w:vAlign w:val="center"/>
                </w:tcPr>
                <w:p w14:paraId="5A0CA57D">
                  <w:pPr>
                    <w:adjustRightInd w:val="0"/>
                    <w:snapToGrid w:val="0"/>
                    <w:jc w:val="center"/>
                    <w:rPr>
                      <w:rFonts w:hint="default" w:ascii="Times New Roman" w:hAnsi="Times New Roman" w:cs="Times New Roman"/>
                      <w:color w:val="auto"/>
                      <w:szCs w:val="21"/>
                      <w:highlight w:val="none"/>
                    </w:rPr>
                  </w:pPr>
                </w:p>
              </w:tc>
              <w:tc>
                <w:tcPr>
                  <w:tcW w:w="630" w:type="dxa"/>
                  <w:vMerge w:val="continue"/>
                  <w:vAlign w:val="center"/>
                </w:tcPr>
                <w:p w14:paraId="3235A246">
                  <w:pPr>
                    <w:adjustRightInd w:val="0"/>
                    <w:snapToGrid w:val="0"/>
                    <w:jc w:val="center"/>
                    <w:rPr>
                      <w:rFonts w:hint="default" w:ascii="Times New Roman" w:hAnsi="Times New Roman" w:cs="Times New Roman"/>
                      <w:color w:val="auto"/>
                      <w:szCs w:val="21"/>
                      <w:highlight w:val="none"/>
                    </w:rPr>
                  </w:pPr>
                </w:p>
              </w:tc>
              <w:tc>
                <w:tcPr>
                  <w:tcW w:w="3064" w:type="dxa"/>
                  <w:gridSpan w:val="2"/>
                  <w:shd w:val="clear" w:color="auto" w:fill="auto"/>
                  <w:vAlign w:val="center"/>
                </w:tcPr>
                <w:p w14:paraId="4E9F268E">
                  <w:pPr>
                    <w:pStyle w:val="14"/>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生活垃圾经收集后交由环卫部门统一处置</w:t>
                  </w:r>
                </w:p>
              </w:tc>
              <w:tc>
                <w:tcPr>
                  <w:tcW w:w="2144" w:type="dxa"/>
                  <w:shd w:val="clear" w:color="auto" w:fill="auto"/>
                  <w:vAlign w:val="center"/>
                </w:tcPr>
                <w:p w14:paraId="4A96E83B">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本项目从原项目调配人员，不新增员工，不新增生活垃圾。</w:t>
                  </w:r>
                </w:p>
              </w:tc>
              <w:tc>
                <w:tcPr>
                  <w:tcW w:w="1995" w:type="dxa"/>
                  <w:vMerge w:val="continue"/>
                  <w:shd w:val="clear" w:color="auto" w:fill="auto"/>
                  <w:vAlign w:val="center"/>
                </w:tcPr>
                <w:p w14:paraId="1A5806B0">
                  <w:pPr>
                    <w:adjustRightInd w:val="0"/>
                    <w:snapToGrid w:val="0"/>
                    <w:jc w:val="center"/>
                    <w:rPr>
                      <w:rFonts w:hint="default" w:ascii="Times New Roman" w:hAnsi="Times New Roman" w:cs="Times New Roman"/>
                      <w:color w:val="auto"/>
                      <w:szCs w:val="21"/>
                      <w:highlight w:val="none"/>
                    </w:rPr>
                  </w:pPr>
                </w:p>
              </w:tc>
            </w:tr>
            <w:tr w14:paraId="0156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600" w:type="dxa"/>
                  <w:vMerge w:val="continue"/>
                  <w:vAlign w:val="center"/>
                </w:tcPr>
                <w:p w14:paraId="6C65FD43">
                  <w:pPr>
                    <w:adjustRightInd w:val="0"/>
                    <w:snapToGrid w:val="0"/>
                    <w:jc w:val="center"/>
                    <w:rPr>
                      <w:rFonts w:hint="default" w:ascii="Times New Roman" w:hAnsi="Times New Roman" w:cs="Times New Roman"/>
                      <w:color w:val="auto"/>
                      <w:szCs w:val="21"/>
                      <w:highlight w:val="none"/>
                    </w:rPr>
                  </w:pPr>
                </w:p>
              </w:tc>
              <w:tc>
                <w:tcPr>
                  <w:tcW w:w="630" w:type="dxa"/>
                  <w:vAlign w:val="center"/>
                </w:tcPr>
                <w:p w14:paraId="1FB1DE4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3064" w:type="dxa"/>
                  <w:gridSpan w:val="2"/>
                  <w:vAlign w:val="center"/>
                </w:tcPr>
                <w:p w14:paraId="05A891F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安装防振、减振装置，厂房隔声。</w:t>
                  </w:r>
                </w:p>
              </w:tc>
              <w:tc>
                <w:tcPr>
                  <w:tcW w:w="2144" w:type="dxa"/>
                  <w:shd w:val="clear" w:color="auto" w:fill="auto"/>
                  <w:vAlign w:val="center"/>
                </w:tcPr>
                <w:p w14:paraId="2EF4CAEF">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安装防振、减振装置，厂房隔声。</w:t>
                  </w:r>
                </w:p>
              </w:tc>
              <w:tc>
                <w:tcPr>
                  <w:tcW w:w="1995" w:type="dxa"/>
                  <w:vAlign w:val="center"/>
                </w:tcPr>
                <w:p w14:paraId="001A05A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安装防振、减振装置，厂房隔声。</w:t>
                  </w:r>
                </w:p>
              </w:tc>
            </w:tr>
          </w:tbl>
          <w:p w14:paraId="4D56CEA1">
            <w:pPr>
              <w:jc w:val="center"/>
              <w:rPr>
                <w:rFonts w:hint="default" w:ascii="Times New Roman" w:hAnsi="Times New Roman" w:cs="Times New Roman"/>
                <w:b/>
                <w:bCs/>
                <w:color w:val="auto"/>
                <w:sz w:val="24"/>
                <w:highlight w:val="none"/>
              </w:rPr>
            </w:pPr>
          </w:p>
          <w:p w14:paraId="62ACE63B">
            <w:pPr>
              <w:numPr>
                <w:ilvl w:val="0"/>
                <w:numId w:val="3"/>
              </w:numPr>
              <w:adjustRightInd w:val="0"/>
              <w:snapToGrid w:val="0"/>
              <w:spacing w:before="120" w:beforeLines="50" w:line="360" w:lineRule="auto"/>
              <w:ind w:firstLine="482" w:firstLineChars="200"/>
              <w:rPr>
                <w:rFonts w:hint="default" w:ascii="Times New Roman" w:hAnsi="Times New Roman" w:cs="Times New Roman"/>
                <w:b/>
                <w:color w:val="auto"/>
                <w:highlight w:val="none"/>
              </w:rPr>
            </w:pPr>
            <w:r>
              <w:rPr>
                <w:rFonts w:hint="default" w:ascii="Times New Roman" w:hAnsi="Times New Roman" w:cs="Times New Roman"/>
                <w:b/>
                <w:color w:val="auto"/>
                <w:sz w:val="24"/>
                <w:highlight w:val="none"/>
              </w:rPr>
              <w:t>主要产品及产能</w:t>
            </w:r>
          </w:p>
          <w:p w14:paraId="290AEDD3">
            <w:pPr>
              <w:adjustRightInd w:val="0"/>
              <w:snapToGrid w:val="0"/>
              <w:jc w:val="center"/>
              <w:rPr>
                <w:rFonts w:hint="default" w:ascii="Times New Roman" w:hAnsi="Times New Roman" w:cs="Times New Roman"/>
                <w:b/>
                <w:color w:val="auto"/>
                <w:sz w:val="24"/>
                <w:highlight w:val="none"/>
                <w:lang w:val="en-US" w:eastAsia="zh-CN"/>
              </w:rPr>
            </w:pPr>
            <w:r>
              <w:rPr>
                <w:rFonts w:hint="default" w:ascii="Times New Roman" w:hAnsi="Times New Roman" w:cs="Times New Roman"/>
                <w:b/>
                <w:color w:val="auto"/>
                <w:sz w:val="24"/>
                <w:highlight w:val="none"/>
              </w:rPr>
              <w:t>表2-2</w:t>
            </w:r>
            <w:r>
              <w:rPr>
                <w:rFonts w:hint="default" w:ascii="Times New Roman" w:hAnsi="Times New Roman" w:cs="Times New Roman"/>
                <w:b/>
                <w:color w:val="auto"/>
                <w:sz w:val="24"/>
                <w:highlight w:val="none"/>
                <w:lang w:val="en-US" w:eastAsia="zh-CN"/>
              </w:rPr>
              <w:t xml:space="preserve"> 原项目产品及产能情况一览表</w:t>
            </w:r>
          </w:p>
          <w:tbl>
            <w:tblPr>
              <w:tblStyle w:val="26"/>
              <w:tblW w:w="8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060"/>
              <w:gridCol w:w="1091"/>
              <w:gridCol w:w="1118"/>
              <w:gridCol w:w="804"/>
              <w:gridCol w:w="1187"/>
              <w:gridCol w:w="1187"/>
              <w:gridCol w:w="1543"/>
            </w:tblGrid>
            <w:tr w14:paraId="56BE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444" w:type="dxa"/>
                  <w:vAlign w:val="center"/>
                </w:tcPr>
                <w:p w14:paraId="29074D76">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1060" w:type="dxa"/>
                  <w:vAlign w:val="center"/>
                </w:tcPr>
                <w:p w14:paraId="30E7EB9D">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生产车间</w:t>
                  </w:r>
                </w:p>
              </w:tc>
              <w:tc>
                <w:tcPr>
                  <w:tcW w:w="1091" w:type="dxa"/>
                  <w:vAlign w:val="center"/>
                </w:tcPr>
                <w:p w14:paraId="22287A15">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产品名称</w:t>
                  </w:r>
                </w:p>
              </w:tc>
              <w:tc>
                <w:tcPr>
                  <w:tcW w:w="1118" w:type="dxa"/>
                  <w:vAlign w:val="center"/>
                </w:tcPr>
                <w:p w14:paraId="74783B91">
                  <w:pPr>
                    <w:adjustRightInd w:val="0"/>
                    <w:snapToGrid w:val="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产能</w:t>
                  </w:r>
                </w:p>
              </w:tc>
              <w:tc>
                <w:tcPr>
                  <w:tcW w:w="804" w:type="dxa"/>
                  <w:vAlign w:val="center"/>
                </w:tcPr>
                <w:p w14:paraId="0AE39567">
                  <w:pPr>
                    <w:adjustRightInd w:val="0"/>
                    <w:snapToGrid w:val="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期数</w:t>
                  </w:r>
                </w:p>
              </w:tc>
              <w:tc>
                <w:tcPr>
                  <w:tcW w:w="1187" w:type="dxa"/>
                  <w:vAlign w:val="center"/>
                </w:tcPr>
                <w:p w14:paraId="26320910">
                  <w:pPr>
                    <w:adjustRightInd w:val="0"/>
                    <w:snapToGrid w:val="0"/>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批复情况</w:t>
                  </w:r>
                </w:p>
              </w:tc>
              <w:tc>
                <w:tcPr>
                  <w:tcW w:w="1187" w:type="dxa"/>
                  <w:vAlign w:val="center"/>
                </w:tcPr>
                <w:p w14:paraId="47A1A6E5">
                  <w:pPr>
                    <w:adjustRightInd w:val="0"/>
                    <w:snapToGrid w:val="0"/>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验收情况</w:t>
                  </w:r>
                </w:p>
              </w:tc>
              <w:tc>
                <w:tcPr>
                  <w:tcW w:w="1543" w:type="dxa"/>
                  <w:vAlign w:val="center"/>
                </w:tcPr>
                <w:p w14:paraId="23E2AC14">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备注</w:t>
                  </w:r>
                </w:p>
              </w:tc>
            </w:tr>
            <w:tr w14:paraId="142E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44" w:type="dxa"/>
                  <w:vAlign w:val="center"/>
                </w:tcPr>
                <w:p w14:paraId="4F167D9B">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060" w:type="dxa"/>
                  <w:vAlign w:val="center"/>
                </w:tcPr>
                <w:p w14:paraId="563FE2BA">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车间二车间三</w:t>
                  </w:r>
                </w:p>
              </w:tc>
              <w:tc>
                <w:tcPr>
                  <w:tcW w:w="1091" w:type="dxa"/>
                  <w:vAlign w:val="center"/>
                </w:tcPr>
                <w:p w14:paraId="295B7486">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阀门</w:t>
                  </w:r>
                </w:p>
              </w:tc>
              <w:tc>
                <w:tcPr>
                  <w:tcW w:w="1118" w:type="dxa"/>
                  <w:vAlign w:val="center"/>
                </w:tcPr>
                <w:p w14:paraId="198F046E">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5000件/a</w:t>
                  </w:r>
                </w:p>
              </w:tc>
              <w:tc>
                <w:tcPr>
                  <w:tcW w:w="804" w:type="dxa"/>
                  <w:vAlign w:val="center"/>
                </w:tcPr>
                <w:p w14:paraId="280042E2">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一期</w:t>
                  </w:r>
                </w:p>
              </w:tc>
              <w:tc>
                <w:tcPr>
                  <w:tcW w:w="1187" w:type="dxa"/>
                  <w:vAlign w:val="center"/>
                </w:tcPr>
                <w:p w14:paraId="5AE659F9">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bCs/>
                      <w:color w:val="auto"/>
                      <w:szCs w:val="21"/>
                      <w:highlight w:val="none"/>
                    </w:rPr>
                    <w:t>2009年11月26日</w:t>
                  </w:r>
                  <w:r>
                    <w:rPr>
                      <w:rFonts w:hint="default" w:ascii="Times New Roman" w:hAnsi="Times New Roman" w:cs="Times New Roman"/>
                      <w:bCs/>
                      <w:color w:val="auto"/>
                      <w:szCs w:val="21"/>
                      <w:highlight w:val="none"/>
                      <w:lang w:val="en-US" w:eastAsia="zh-CN"/>
                    </w:rPr>
                    <w:t>取得批复，批复文号</w:t>
                  </w:r>
                  <w:r>
                    <w:rPr>
                      <w:rFonts w:hint="default" w:ascii="Times New Roman" w:hAnsi="Times New Roman" w:cs="Times New Roman"/>
                      <w:color w:val="auto"/>
                      <w:szCs w:val="21"/>
                      <w:highlight w:val="none"/>
                    </w:rPr>
                    <w:t>乐环函[2009]94号</w:t>
                  </w:r>
                </w:p>
              </w:tc>
              <w:tc>
                <w:tcPr>
                  <w:tcW w:w="1187" w:type="dxa"/>
                  <w:vAlign w:val="center"/>
                </w:tcPr>
                <w:p w14:paraId="1ACB376A">
                  <w:pPr>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已建，</w:t>
                  </w:r>
                  <w:r>
                    <w:rPr>
                      <w:rFonts w:hint="default" w:ascii="Times New Roman" w:hAnsi="Times New Roman" w:cs="Times New Roman"/>
                      <w:bCs/>
                      <w:color w:val="auto"/>
                      <w:sz w:val="21"/>
                      <w:szCs w:val="21"/>
                      <w:highlight w:val="none"/>
                    </w:rPr>
                    <w:t>2017年1月4日</w:t>
                  </w:r>
                  <w:r>
                    <w:rPr>
                      <w:rFonts w:hint="default" w:ascii="Times New Roman" w:hAnsi="Times New Roman" w:cs="Times New Roman"/>
                      <w:bCs/>
                      <w:color w:val="auto"/>
                      <w:sz w:val="21"/>
                      <w:szCs w:val="21"/>
                      <w:highlight w:val="none"/>
                      <w:lang w:val="en-US" w:eastAsia="zh-CN"/>
                    </w:rPr>
                    <w:t>完成验收</w:t>
                  </w:r>
                </w:p>
              </w:tc>
              <w:tc>
                <w:tcPr>
                  <w:tcW w:w="1543" w:type="dxa"/>
                  <w:vMerge w:val="restart"/>
                  <w:vAlign w:val="center"/>
                </w:tcPr>
                <w:p w14:paraId="5002156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2023年11月30开始，本企业铸造工序停产，外购铸铁件、铸钢件、阀门零件回厂机加工后组装出货</w:t>
                  </w:r>
                </w:p>
              </w:tc>
            </w:tr>
            <w:tr w14:paraId="5898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44" w:type="dxa"/>
                  <w:vAlign w:val="center"/>
                </w:tcPr>
                <w:p w14:paraId="08D458B2">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1060" w:type="dxa"/>
                  <w:vAlign w:val="center"/>
                </w:tcPr>
                <w:p w14:paraId="1C8C1309">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车间四、车间</w:t>
                  </w:r>
                  <w:r>
                    <w:rPr>
                      <w:rFonts w:hint="default" w:ascii="Times New Roman" w:hAnsi="Times New Roman" w:cs="Times New Roman"/>
                      <w:bCs/>
                      <w:color w:val="auto"/>
                      <w:sz w:val="21"/>
                      <w:szCs w:val="21"/>
                      <w:highlight w:val="none"/>
                      <w:lang w:val="en-US" w:eastAsia="zh-CN"/>
                    </w:rPr>
                    <w:t>五</w:t>
                  </w:r>
                </w:p>
              </w:tc>
              <w:tc>
                <w:tcPr>
                  <w:tcW w:w="1091" w:type="dxa"/>
                  <w:vAlign w:val="center"/>
                </w:tcPr>
                <w:p w14:paraId="2669A793">
                  <w:pPr>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铸铁件</w:t>
                  </w:r>
                </w:p>
              </w:tc>
              <w:tc>
                <w:tcPr>
                  <w:tcW w:w="1118" w:type="dxa"/>
                  <w:vAlign w:val="center"/>
                </w:tcPr>
                <w:p w14:paraId="188E52F3">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000t/a</w:t>
                  </w:r>
                </w:p>
              </w:tc>
              <w:tc>
                <w:tcPr>
                  <w:tcW w:w="804" w:type="dxa"/>
                  <w:vAlign w:val="center"/>
                </w:tcPr>
                <w:p w14:paraId="3DE20740">
                  <w:pPr>
                    <w:widowControl/>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二期</w:t>
                  </w:r>
                </w:p>
              </w:tc>
              <w:tc>
                <w:tcPr>
                  <w:tcW w:w="1187" w:type="dxa"/>
                  <w:vMerge w:val="restart"/>
                  <w:vAlign w:val="center"/>
                </w:tcPr>
                <w:p w14:paraId="3E0DAA6E">
                  <w:pPr>
                    <w:widowControl/>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Cs w:val="21"/>
                      <w:highlight w:val="none"/>
                    </w:rPr>
                    <w:t>2018年12月26日</w:t>
                  </w:r>
                  <w:r>
                    <w:rPr>
                      <w:rFonts w:hint="default" w:ascii="Times New Roman" w:hAnsi="Times New Roman" w:cs="Times New Roman"/>
                      <w:bCs/>
                      <w:color w:val="auto"/>
                      <w:szCs w:val="21"/>
                      <w:highlight w:val="none"/>
                      <w:lang w:val="en-US" w:eastAsia="zh-CN"/>
                    </w:rPr>
                    <w:t>取得批复，批复文号</w:t>
                  </w:r>
                  <w:r>
                    <w:rPr>
                      <w:rFonts w:hint="default" w:ascii="Times New Roman" w:hAnsi="Times New Roman" w:cs="Times New Roman"/>
                      <w:color w:val="auto"/>
                      <w:szCs w:val="21"/>
                      <w:highlight w:val="none"/>
                    </w:rPr>
                    <w:t>乐环审[2018]65号</w:t>
                  </w:r>
                </w:p>
              </w:tc>
              <w:tc>
                <w:tcPr>
                  <w:tcW w:w="1187" w:type="dxa"/>
                  <w:vMerge w:val="restart"/>
                  <w:vAlign w:val="center"/>
                </w:tcPr>
                <w:p w14:paraId="320A9D09">
                  <w:pPr>
                    <w:widowControl/>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已建，</w:t>
                  </w:r>
                  <w:r>
                    <w:rPr>
                      <w:rFonts w:hint="default" w:ascii="Times New Roman" w:hAnsi="Times New Roman" w:cs="Times New Roman"/>
                      <w:bCs/>
                      <w:color w:val="auto"/>
                      <w:sz w:val="21"/>
                      <w:szCs w:val="21"/>
                      <w:highlight w:val="none"/>
                    </w:rPr>
                    <w:t>20</w:t>
                  </w:r>
                  <w:r>
                    <w:rPr>
                      <w:rFonts w:hint="default" w:ascii="Times New Roman" w:hAnsi="Times New Roman" w:cs="Times New Roman"/>
                      <w:bCs/>
                      <w:color w:val="auto"/>
                      <w:sz w:val="21"/>
                      <w:szCs w:val="21"/>
                      <w:highlight w:val="none"/>
                      <w:lang w:val="en-US" w:eastAsia="zh-CN"/>
                    </w:rPr>
                    <w:t>20</w:t>
                  </w:r>
                  <w:r>
                    <w:rPr>
                      <w:rFonts w:hint="default" w:ascii="Times New Roman" w:hAnsi="Times New Roman" w:cs="Times New Roman"/>
                      <w:bCs/>
                      <w:color w:val="auto"/>
                      <w:sz w:val="21"/>
                      <w:szCs w:val="21"/>
                      <w:highlight w:val="none"/>
                    </w:rPr>
                    <w:t>年</w:t>
                  </w:r>
                  <w:r>
                    <w:rPr>
                      <w:rFonts w:hint="default" w:ascii="Times New Roman" w:hAnsi="Times New Roman" w:cs="Times New Roman"/>
                      <w:bCs/>
                      <w:color w:val="auto"/>
                      <w:sz w:val="21"/>
                      <w:szCs w:val="21"/>
                      <w:highlight w:val="none"/>
                      <w:lang w:val="en-US" w:eastAsia="zh-CN"/>
                    </w:rPr>
                    <w:t>8</w:t>
                  </w:r>
                  <w:r>
                    <w:rPr>
                      <w:rFonts w:hint="default" w:ascii="Times New Roman" w:hAnsi="Times New Roman" w:cs="Times New Roman"/>
                      <w:bCs/>
                      <w:color w:val="auto"/>
                      <w:sz w:val="21"/>
                      <w:szCs w:val="21"/>
                      <w:highlight w:val="none"/>
                    </w:rPr>
                    <w:t>月</w:t>
                  </w:r>
                  <w:r>
                    <w:rPr>
                      <w:rFonts w:hint="default" w:ascii="Times New Roman" w:hAnsi="Times New Roman" w:cs="Times New Roman"/>
                      <w:bCs/>
                      <w:color w:val="auto"/>
                      <w:sz w:val="21"/>
                      <w:szCs w:val="21"/>
                      <w:highlight w:val="none"/>
                      <w:lang w:val="en-US" w:eastAsia="zh-CN"/>
                    </w:rPr>
                    <w:t>28</w:t>
                  </w:r>
                  <w:r>
                    <w:rPr>
                      <w:rFonts w:hint="default" w:ascii="Times New Roman" w:hAnsi="Times New Roman" w:cs="Times New Roman"/>
                      <w:bCs/>
                      <w:color w:val="auto"/>
                      <w:sz w:val="21"/>
                      <w:szCs w:val="21"/>
                      <w:highlight w:val="none"/>
                    </w:rPr>
                    <w:t>日</w:t>
                  </w:r>
                  <w:r>
                    <w:rPr>
                      <w:rFonts w:hint="default" w:ascii="Times New Roman" w:hAnsi="Times New Roman" w:cs="Times New Roman"/>
                      <w:bCs/>
                      <w:color w:val="auto"/>
                      <w:sz w:val="21"/>
                      <w:szCs w:val="21"/>
                      <w:highlight w:val="none"/>
                      <w:lang w:val="en-US" w:eastAsia="zh-CN"/>
                    </w:rPr>
                    <w:t>完成验收</w:t>
                  </w:r>
                </w:p>
              </w:tc>
              <w:tc>
                <w:tcPr>
                  <w:tcW w:w="1543" w:type="dxa"/>
                  <w:vMerge w:val="continue"/>
                  <w:vAlign w:val="center"/>
                </w:tcPr>
                <w:p w14:paraId="0D6D06E8">
                  <w:pPr>
                    <w:jc w:val="center"/>
                    <w:rPr>
                      <w:rFonts w:hint="default" w:ascii="Times New Roman" w:hAnsi="Times New Roman" w:cs="Times New Roman"/>
                      <w:color w:val="auto"/>
                      <w:sz w:val="21"/>
                      <w:szCs w:val="21"/>
                      <w:highlight w:val="none"/>
                    </w:rPr>
                  </w:pPr>
                </w:p>
              </w:tc>
            </w:tr>
            <w:tr w14:paraId="5ADD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4" w:type="dxa"/>
                  <w:vAlign w:val="center"/>
                </w:tcPr>
                <w:p w14:paraId="0CF99C6B">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3</w:t>
                  </w:r>
                </w:p>
              </w:tc>
              <w:tc>
                <w:tcPr>
                  <w:tcW w:w="1060" w:type="dxa"/>
                  <w:vMerge w:val="restart"/>
                  <w:vAlign w:val="center"/>
                </w:tcPr>
                <w:p w14:paraId="72077A60">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lang w:val="en-US" w:eastAsia="zh-CN"/>
                    </w:rPr>
                    <w:t>车间一</w:t>
                  </w:r>
                </w:p>
              </w:tc>
              <w:tc>
                <w:tcPr>
                  <w:tcW w:w="1091" w:type="dxa"/>
                  <w:vAlign w:val="center"/>
                </w:tcPr>
                <w:p w14:paraId="5FE446A6">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铸铁件</w:t>
                  </w:r>
                </w:p>
              </w:tc>
              <w:tc>
                <w:tcPr>
                  <w:tcW w:w="1118" w:type="dxa"/>
                  <w:vAlign w:val="center"/>
                </w:tcPr>
                <w:p w14:paraId="638F7CAF">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000t/a</w:t>
                  </w:r>
                </w:p>
              </w:tc>
              <w:tc>
                <w:tcPr>
                  <w:tcW w:w="804" w:type="dxa"/>
                  <w:vMerge w:val="restart"/>
                  <w:vAlign w:val="center"/>
                </w:tcPr>
                <w:p w14:paraId="0CE5D18D">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三期</w:t>
                  </w:r>
                </w:p>
              </w:tc>
              <w:tc>
                <w:tcPr>
                  <w:tcW w:w="1187" w:type="dxa"/>
                  <w:vMerge w:val="continue"/>
                  <w:vAlign w:val="center"/>
                </w:tcPr>
                <w:p w14:paraId="7688A784">
                  <w:pPr>
                    <w:adjustRightInd w:val="0"/>
                    <w:snapToGrid w:val="0"/>
                    <w:jc w:val="center"/>
                    <w:rPr>
                      <w:rFonts w:hint="default" w:ascii="Times New Roman" w:hAnsi="Times New Roman" w:cs="Times New Roman"/>
                      <w:color w:val="auto"/>
                      <w:sz w:val="21"/>
                      <w:szCs w:val="21"/>
                      <w:highlight w:val="none"/>
                      <w:lang w:val="en-US" w:eastAsia="zh-CN"/>
                    </w:rPr>
                  </w:pPr>
                </w:p>
              </w:tc>
              <w:tc>
                <w:tcPr>
                  <w:tcW w:w="1187" w:type="dxa"/>
                  <w:vMerge w:val="continue"/>
                  <w:vAlign w:val="center"/>
                </w:tcPr>
                <w:p w14:paraId="687C4B47">
                  <w:pPr>
                    <w:adjustRightInd w:val="0"/>
                    <w:snapToGrid w:val="0"/>
                    <w:jc w:val="center"/>
                    <w:rPr>
                      <w:rFonts w:hint="default" w:ascii="Times New Roman" w:hAnsi="Times New Roman" w:cs="Times New Roman"/>
                      <w:color w:val="auto"/>
                      <w:sz w:val="21"/>
                      <w:szCs w:val="21"/>
                      <w:highlight w:val="none"/>
                      <w:lang w:val="en-US" w:eastAsia="zh-CN"/>
                    </w:rPr>
                  </w:pPr>
                </w:p>
              </w:tc>
              <w:tc>
                <w:tcPr>
                  <w:tcW w:w="1543" w:type="dxa"/>
                  <w:vMerge w:val="continue"/>
                  <w:vAlign w:val="center"/>
                </w:tcPr>
                <w:p w14:paraId="357DBBC6">
                  <w:pPr>
                    <w:jc w:val="center"/>
                    <w:rPr>
                      <w:rFonts w:hint="default" w:ascii="Times New Roman" w:hAnsi="Times New Roman" w:cs="Times New Roman"/>
                      <w:color w:val="auto"/>
                      <w:sz w:val="21"/>
                      <w:szCs w:val="21"/>
                      <w:highlight w:val="none"/>
                    </w:rPr>
                  </w:pPr>
                </w:p>
              </w:tc>
            </w:tr>
            <w:tr w14:paraId="5DEA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44" w:type="dxa"/>
                  <w:vAlign w:val="center"/>
                </w:tcPr>
                <w:p w14:paraId="083366B0">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lang w:val="en-US" w:eastAsia="zh-CN"/>
                    </w:rPr>
                    <w:t>4</w:t>
                  </w:r>
                </w:p>
              </w:tc>
              <w:tc>
                <w:tcPr>
                  <w:tcW w:w="1060" w:type="dxa"/>
                  <w:vMerge w:val="continue"/>
                  <w:vAlign w:val="center"/>
                </w:tcPr>
                <w:p w14:paraId="6FDFB696">
                  <w:pPr>
                    <w:jc w:val="center"/>
                    <w:rPr>
                      <w:rFonts w:hint="default" w:ascii="Times New Roman" w:hAnsi="Times New Roman" w:cs="Times New Roman"/>
                      <w:bCs/>
                      <w:color w:val="auto"/>
                      <w:sz w:val="21"/>
                      <w:szCs w:val="21"/>
                      <w:highlight w:val="none"/>
                    </w:rPr>
                  </w:pPr>
                </w:p>
              </w:tc>
              <w:tc>
                <w:tcPr>
                  <w:tcW w:w="1091" w:type="dxa"/>
                  <w:vAlign w:val="center"/>
                </w:tcPr>
                <w:p w14:paraId="3470C011">
                  <w:pPr>
                    <w:widowControl/>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铸钢件</w:t>
                  </w:r>
                  <w:r>
                    <w:rPr>
                      <w:rFonts w:hint="default" w:ascii="Times New Roman" w:hAnsi="Times New Roman" w:cs="Times New Roman"/>
                      <w:color w:val="auto"/>
                      <w:sz w:val="21"/>
                      <w:szCs w:val="21"/>
                      <w:highlight w:val="none"/>
                      <w:vertAlign w:val="superscript"/>
                    </w:rPr>
                    <w:t>①</w:t>
                  </w:r>
                </w:p>
              </w:tc>
              <w:tc>
                <w:tcPr>
                  <w:tcW w:w="1118" w:type="dxa"/>
                  <w:vAlign w:val="center"/>
                </w:tcPr>
                <w:p w14:paraId="2622DFB1">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4000t/a</w:t>
                  </w:r>
                </w:p>
              </w:tc>
              <w:tc>
                <w:tcPr>
                  <w:tcW w:w="804" w:type="dxa"/>
                  <w:vMerge w:val="continue"/>
                  <w:vAlign w:val="center"/>
                </w:tcPr>
                <w:p w14:paraId="0F158413">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1187" w:type="dxa"/>
                  <w:vMerge w:val="continue"/>
                  <w:vAlign w:val="center"/>
                </w:tcPr>
                <w:p w14:paraId="63867206">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1187" w:type="dxa"/>
                  <w:vMerge w:val="continue"/>
                  <w:vAlign w:val="center"/>
                </w:tcPr>
                <w:p w14:paraId="35D610B8">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1543" w:type="dxa"/>
                  <w:vMerge w:val="continue"/>
                  <w:vAlign w:val="center"/>
                </w:tcPr>
                <w:p w14:paraId="49D37C68">
                  <w:pPr>
                    <w:jc w:val="center"/>
                    <w:rPr>
                      <w:rFonts w:hint="default" w:ascii="Times New Roman" w:hAnsi="Times New Roman" w:cs="Times New Roman"/>
                      <w:color w:val="auto"/>
                      <w:sz w:val="21"/>
                      <w:szCs w:val="21"/>
                      <w:highlight w:val="none"/>
                    </w:rPr>
                  </w:pPr>
                </w:p>
              </w:tc>
            </w:tr>
            <w:tr w14:paraId="5892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44" w:type="dxa"/>
                  <w:vAlign w:val="center"/>
                </w:tcPr>
                <w:p w14:paraId="103FAEB4">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5</w:t>
                  </w:r>
                </w:p>
              </w:tc>
              <w:tc>
                <w:tcPr>
                  <w:tcW w:w="1060" w:type="dxa"/>
                  <w:vMerge w:val="restart"/>
                  <w:vAlign w:val="center"/>
                </w:tcPr>
                <w:p w14:paraId="7F138F60">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color w:val="auto"/>
                      <w:sz w:val="21"/>
                      <w:szCs w:val="21"/>
                    </w:rPr>
                    <w:t>车间</w:t>
                  </w:r>
                  <w:r>
                    <w:rPr>
                      <w:rFonts w:hint="default" w:ascii="Times New Roman" w:hAnsi="Times New Roman" w:cs="Times New Roman"/>
                      <w:color w:val="auto"/>
                      <w:sz w:val="21"/>
                      <w:szCs w:val="21"/>
                      <w:lang w:val="en-US" w:eastAsia="zh-CN"/>
                    </w:rPr>
                    <w:t>八</w:t>
                  </w:r>
                </w:p>
              </w:tc>
              <w:tc>
                <w:tcPr>
                  <w:tcW w:w="1091" w:type="dxa"/>
                  <w:vAlign w:val="center"/>
                </w:tcPr>
                <w:p w14:paraId="0D039865">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铸钢件</w:t>
                  </w:r>
                </w:p>
              </w:tc>
              <w:tc>
                <w:tcPr>
                  <w:tcW w:w="1118" w:type="dxa"/>
                  <w:vAlign w:val="center"/>
                </w:tcPr>
                <w:p w14:paraId="61F62544">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4000t/a</w:t>
                  </w:r>
                </w:p>
              </w:tc>
              <w:tc>
                <w:tcPr>
                  <w:tcW w:w="804" w:type="dxa"/>
                  <w:vMerge w:val="restart"/>
                  <w:vAlign w:val="center"/>
                </w:tcPr>
                <w:p w14:paraId="05C2828D">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四期</w:t>
                  </w:r>
                </w:p>
              </w:tc>
              <w:tc>
                <w:tcPr>
                  <w:tcW w:w="1187" w:type="dxa"/>
                  <w:vMerge w:val="continue"/>
                  <w:vAlign w:val="center"/>
                </w:tcPr>
                <w:p w14:paraId="54297AD5">
                  <w:pPr>
                    <w:adjustRightInd w:val="0"/>
                    <w:snapToGrid w:val="0"/>
                    <w:jc w:val="center"/>
                    <w:rPr>
                      <w:rFonts w:hint="default" w:ascii="Times New Roman" w:hAnsi="Times New Roman" w:cs="Times New Roman"/>
                      <w:color w:val="auto"/>
                      <w:sz w:val="21"/>
                      <w:szCs w:val="21"/>
                      <w:lang w:val="en-US" w:eastAsia="zh-CN"/>
                    </w:rPr>
                  </w:pPr>
                </w:p>
              </w:tc>
              <w:tc>
                <w:tcPr>
                  <w:tcW w:w="1187" w:type="dxa"/>
                  <w:vMerge w:val="restart"/>
                  <w:vAlign w:val="center"/>
                </w:tcPr>
                <w:p w14:paraId="77E233E6">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未建</w:t>
                  </w:r>
                </w:p>
              </w:tc>
              <w:tc>
                <w:tcPr>
                  <w:tcW w:w="1543" w:type="dxa"/>
                  <w:vMerge w:val="restart"/>
                  <w:vAlign w:val="center"/>
                </w:tcPr>
                <w:p w14:paraId="175E5DBB">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lang w:val="en-US" w:eastAsia="zh-CN"/>
                    </w:rPr>
                    <w:t>/</w:t>
                  </w:r>
                </w:p>
              </w:tc>
            </w:tr>
            <w:tr w14:paraId="56DC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444" w:type="dxa"/>
                  <w:vAlign w:val="center"/>
                </w:tcPr>
                <w:p w14:paraId="1733CAB8">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6</w:t>
                  </w:r>
                </w:p>
              </w:tc>
              <w:tc>
                <w:tcPr>
                  <w:tcW w:w="1060" w:type="dxa"/>
                  <w:vMerge w:val="continue"/>
                  <w:vAlign w:val="center"/>
                </w:tcPr>
                <w:p w14:paraId="08CFAD9F">
                  <w:pPr>
                    <w:jc w:val="center"/>
                    <w:rPr>
                      <w:rFonts w:hint="default" w:ascii="Times New Roman" w:hAnsi="Times New Roman" w:cs="Times New Roman"/>
                      <w:bCs/>
                      <w:color w:val="auto"/>
                      <w:sz w:val="21"/>
                      <w:szCs w:val="21"/>
                      <w:highlight w:val="none"/>
                    </w:rPr>
                  </w:pPr>
                </w:p>
              </w:tc>
              <w:tc>
                <w:tcPr>
                  <w:tcW w:w="1091" w:type="dxa"/>
                  <w:vAlign w:val="center"/>
                </w:tcPr>
                <w:p w14:paraId="02D059A5">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铸铁件</w:t>
                  </w:r>
                </w:p>
              </w:tc>
              <w:tc>
                <w:tcPr>
                  <w:tcW w:w="1118" w:type="dxa"/>
                  <w:vAlign w:val="center"/>
                </w:tcPr>
                <w:p w14:paraId="2DFFC9FD">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6000t/a</w:t>
                  </w:r>
                </w:p>
              </w:tc>
              <w:tc>
                <w:tcPr>
                  <w:tcW w:w="804" w:type="dxa"/>
                  <w:vMerge w:val="continue"/>
                  <w:vAlign w:val="center"/>
                </w:tcPr>
                <w:p w14:paraId="486BB76B">
                  <w:pPr>
                    <w:widowControl/>
                    <w:jc w:val="center"/>
                    <w:rPr>
                      <w:rFonts w:hint="default" w:ascii="Times New Roman" w:hAnsi="Times New Roman" w:cs="Times New Roman"/>
                      <w:color w:val="auto"/>
                      <w:sz w:val="21"/>
                      <w:szCs w:val="21"/>
                    </w:rPr>
                  </w:pPr>
                </w:p>
              </w:tc>
              <w:tc>
                <w:tcPr>
                  <w:tcW w:w="1187" w:type="dxa"/>
                  <w:vMerge w:val="continue"/>
                  <w:vAlign w:val="center"/>
                </w:tcPr>
                <w:p w14:paraId="142C7496">
                  <w:pPr>
                    <w:widowControl/>
                    <w:jc w:val="center"/>
                    <w:rPr>
                      <w:rFonts w:hint="default" w:ascii="Times New Roman" w:hAnsi="Times New Roman" w:cs="Times New Roman"/>
                      <w:color w:val="auto"/>
                      <w:sz w:val="21"/>
                      <w:szCs w:val="21"/>
                    </w:rPr>
                  </w:pPr>
                </w:p>
              </w:tc>
              <w:tc>
                <w:tcPr>
                  <w:tcW w:w="1187" w:type="dxa"/>
                  <w:vMerge w:val="continue"/>
                  <w:vAlign w:val="center"/>
                </w:tcPr>
                <w:p w14:paraId="691DB7B7">
                  <w:pPr>
                    <w:widowControl/>
                    <w:jc w:val="center"/>
                    <w:rPr>
                      <w:rFonts w:hint="default" w:ascii="Times New Roman" w:hAnsi="Times New Roman" w:cs="Times New Roman"/>
                      <w:color w:val="auto"/>
                      <w:sz w:val="21"/>
                      <w:szCs w:val="21"/>
                    </w:rPr>
                  </w:pPr>
                </w:p>
              </w:tc>
              <w:tc>
                <w:tcPr>
                  <w:tcW w:w="1543" w:type="dxa"/>
                  <w:vMerge w:val="continue"/>
                  <w:vAlign w:val="center"/>
                </w:tcPr>
                <w:p w14:paraId="6776B4D4">
                  <w:pPr>
                    <w:jc w:val="center"/>
                    <w:rPr>
                      <w:rFonts w:hint="default" w:ascii="Times New Roman" w:hAnsi="Times New Roman" w:cs="Times New Roman"/>
                      <w:color w:val="auto"/>
                      <w:sz w:val="21"/>
                      <w:szCs w:val="21"/>
                      <w:highlight w:val="none"/>
                    </w:rPr>
                  </w:pPr>
                </w:p>
              </w:tc>
            </w:tr>
            <w:tr w14:paraId="6583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44" w:type="dxa"/>
                  <w:vAlign w:val="center"/>
                </w:tcPr>
                <w:p w14:paraId="2256D096">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7</w:t>
                  </w:r>
                </w:p>
              </w:tc>
              <w:tc>
                <w:tcPr>
                  <w:tcW w:w="1060" w:type="dxa"/>
                  <w:vMerge w:val="restart"/>
                  <w:vAlign w:val="center"/>
                </w:tcPr>
                <w:p w14:paraId="4A9BF590">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color w:val="auto"/>
                      <w:sz w:val="21"/>
                      <w:szCs w:val="21"/>
                    </w:rPr>
                    <w:t>车间</w:t>
                  </w:r>
                  <w:r>
                    <w:rPr>
                      <w:rFonts w:hint="default" w:ascii="Times New Roman" w:hAnsi="Times New Roman" w:cs="Times New Roman"/>
                      <w:color w:val="auto"/>
                      <w:sz w:val="21"/>
                      <w:szCs w:val="21"/>
                      <w:lang w:val="en-US" w:eastAsia="zh-CN"/>
                    </w:rPr>
                    <w:t>九</w:t>
                  </w:r>
                </w:p>
              </w:tc>
              <w:tc>
                <w:tcPr>
                  <w:tcW w:w="1091" w:type="dxa"/>
                  <w:vAlign w:val="center"/>
                </w:tcPr>
                <w:p w14:paraId="7980978D">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铸钢件</w:t>
                  </w:r>
                </w:p>
              </w:tc>
              <w:tc>
                <w:tcPr>
                  <w:tcW w:w="1118" w:type="dxa"/>
                  <w:vAlign w:val="center"/>
                </w:tcPr>
                <w:p w14:paraId="6576DAF5">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4000t/a</w:t>
                  </w:r>
                </w:p>
              </w:tc>
              <w:tc>
                <w:tcPr>
                  <w:tcW w:w="804" w:type="dxa"/>
                  <w:vMerge w:val="restart"/>
                  <w:vAlign w:val="center"/>
                </w:tcPr>
                <w:p w14:paraId="21EE5886">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五期</w:t>
                  </w:r>
                </w:p>
              </w:tc>
              <w:tc>
                <w:tcPr>
                  <w:tcW w:w="1187" w:type="dxa"/>
                  <w:vMerge w:val="continue"/>
                  <w:vAlign w:val="center"/>
                </w:tcPr>
                <w:p w14:paraId="171EEA54">
                  <w:pPr>
                    <w:adjustRightInd w:val="0"/>
                    <w:snapToGrid w:val="0"/>
                    <w:jc w:val="center"/>
                    <w:rPr>
                      <w:rFonts w:hint="default" w:ascii="Times New Roman" w:hAnsi="Times New Roman" w:cs="Times New Roman"/>
                      <w:color w:val="auto"/>
                      <w:sz w:val="21"/>
                      <w:szCs w:val="21"/>
                      <w:lang w:val="en-US" w:eastAsia="zh-CN"/>
                    </w:rPr>
                  </w:pPr>
                </w:p>
              </w:tc>
              <w:tc>
                <w:tcPr>
                  <w:tcW w:w="1187" w:type="dxa"/>
                  <w:vMerge w:val="restart"/>
                  <w:vAlign w:val="center"/>
                </w:tcPr>
                <w:p w14:paraId="1354945F">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未建</w:t>
                  </w:r>
                </w:p>
              </w:tc>
              <w:tc>
                <w:tcPr>
                  <w:tcW w:w="1543" w:type="dxa"/>
                  <w:vMerge w:val="restart"/>
                  <w:vAlign w:val="center"/>
                </w:tcPr>
                <w:p w14:paraId="511D01C3">
                  <w:pPr>
                    <w:widowControl/>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lang w:val="en-US" w:eastAsia="zh-CN"/>
                    </w:rPr>
                    <w:t>/</w:t>
                  </w:r>
                </w:p>
              </w:tc>
            </w:tr>
            <w:tr w14:paraId="7779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44" w:type="dxa"/>
                  <w:vAlign w:val="center"/>
                </w:tcPr>
                <w:p w14:paraId="7F3DA23A">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8</w:t>
                  </w:r>
                </w:p>
              </w:tc>
              <w:tc>
                <w:tcPr>
                  <w:tcW w:w="1060" w:type="dxa"/>
                  <w:vMerge w:val="continue"/>
                  <w:vAlign w:val="center"/>
                </w:tcPr>
                <w:p w14:paraId="2C090324">
                  <w:pPr>
                    <w:jc w:val="center"/>
                    <w:rPr>
                      <w:rFonts w:hint="default" w:ascii="Times New Roman" w:hAnsi="Times New Roman" w:cs="Times New Roman"/>
                      <w:bCs/>
                      <w:color w:val="auto"/>
                      <w:sz w:val="21"/>
                      <w:szCs w:val="21"/>
                      <w:highlight w:val="none"/>
                    </w:rPr>
                  </w:pPr>
                </w:p>
              </w:tc>
              <w:tc>
                <w:tcPr>
                  <w:tcW w:w="1091" w:type="dxa"/>
                  <w:vAlign w:val="center"/>
                </w:tcPr>
                <w:p w14:paraId="54B77A90">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铸铁件</w:t>
                  </w:r>
                </w:p>
              </w:tc>
              <w:tc>
                <w:tcPr>
                  <w:tcW w:w="1118" w:type="dxa"/>
                  <w:vAlign w:val="center"/>
                </w:tcPr>
                <w:p w14:paraId="52129491">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6000t/a</w:t>
                  </w:r>
                </w:p>
              </w:tc>
              <w:tc>
                <w:tcPr>
                  <w:tcW w:w="804" w:type="dxa"/>
                  <w:vMerge w:val="continue"/>
                  <w:vAlign w:val="center"/>
                </w:tcPr>
                <w:p w14:paraId="71E87D1E">
                  <w:pPr>
                    <w:widowControl/>
                    <w:jc w:val="center"/>
                    <w:rPr>
                      <w:rFonts w:hint="default" w:ascii="Times New Roman" w:hAnsi="Times New Roman" w:cs="Times New Roman"/>
                      <w:color w:val="auto"/>
                      <w:sz w:val="21"/>
                      <w:szCs w:val="21"/>
                    </w:rPr>
                  </w:pPr>
                </w:p>
              </w:tc>
              <w:tc>
                <w:tcPr>
                  <w:tcW w:w="1187" w:type="dxa"/>
                  <w:vMerge w:val="continue"/>
                  <w:vAlign w:val="center"/>
                </w:tcPr>
                <w:p w14:paraId="567F540F">
                  <w:pPr>
                    <w:widowControl/>
                    <w:jc w:val="center"/>
                    <w:rPr>
                      <w:rFonts w:hint="default" w:ascii="Times New Roman" w:hAnsi="Times New Roman" w:cs="Times New Roman"/>
                      <w:color w:val="auto"/>
                      <w:sz w:val="21"/>
                      <w:szCs w:val="21"/>
                    </w:rPr>
                  </w:pPr>
                </w:p>
              </w:tc>
              <w:tc>
                <w:tcPr>
                  <w:tcW w:w="1187" w:type="dxa"/>
                  <w:vMerge w:val="continue"/>
                  <w:vAlign w:val="center"/>
                </w:tcPr>
                <w:p w14:paraId="130CB6ED">
                  <w:pPr>
                    <w:widowControl/>
                    <w:jc w:val="center"/>
                    <w:rPr>
                      <w:rFonts w:hint="default" w:ascii="Times New Roman" w:hAnsi="Times New Roman" w:cs="Times New Roman"/>
                      <w:color w:val="auto"/>
                      <w:sz w:val="21"/>
                      <w:szCs w:val="21"/>
                    </w:rPr>
                  </w:pPr>
                </w:p>
              </w:tc>
              <w:tc>
                <w:tcPr>
                  <w:tcW w:w="1543" w:type="dxa"/>
                  <w:vMerge w:val="continue"/>
                  <w:vAlign w:val="center"/>
                </w:tcPr>
                <w:p w14:paraId="617D050E">
                  <w:pPr>
                    <w:jc w:val="center"/>
                    <w:rPr>
                      <w:rFonts w:hint="default" w:ascii="Times New Roman" w:hAnsi="Times New Roman" w:cs="Times New Roman"/>
                      <w:color w:val="auto"/>
                      <w:sz w:val="21"/>
                      <w:szCs w:val="21"/>
                      <w:highlight w:val="none"/>
                    </w:rPr>
                  </w:pPr>
                </w:p>
              </w:tc>
            </w:tr>
          </w:tbl>
          <w:p w14:paraId="7E1B1E6E">
            <w:pPr>
              <w:pStyle w:val="2"/>
              <w:rPr>
                <w:rFonts w:hint="default" w:ascii="Times New Roman" w:hAnsi="Times New Roman" w:cs="Times New Roman"/>
                <w:lang w:val="en-US" w:eastAsia="zh-CN"/>
              </w:rPr>
            </w:pPr>
          </w:p>
          <w:p w14:paraId="3938363D">
            <w:pPr>
              <w:pStyle w:val="8"/>
              <w:spacing w:line="360" w:lineRule="auto"/>
              <w:ind w:firstLine="480" w:firstLineChars="200"/>
              <w:rPr>
                <w:rFonts w:hint="default" w:ascii="Times New Roman" w:hAnsi="Times New Roman" w:eastAsia="宋体" w:cs="Times New Roman"/>
                <w:b/>
                <w:color w:val="auto"/>
                <w:sz w:val="24"/>
                <w:highlight w:val="none"/>
                <w:lang w:val="en-US" w:eastAsia="zh-CN"/>
              </w:rPr>
            </w:pPr>
            <w:r>
              <w:rPr>
                <w:rFonts w:hint="default" w:ascii="Times New Roman" w:hAnsi="Times New Roman" w:eastAsia="宋体" w:cs="Times New Roman"/>
                <w:bCs/>
                <w:color w:val="auto"/>
                <w:highlight w:val="none"/>
              </w:rPr>
              <w:t>本项目仅对原项目</w:t>
            </w:r>
            <w:r>
              <w:rPr>
                <w:rFonts w:hint="default" w:ascii="Times New Roman" w:hAnsi="Times New Roman" w:eastAsia="宋体" w:cs="Times New Roman"/>
                <w:bCs/>
                <w:color w:val="auto"/>
                <w:highlight w:val="none"/>
                <w:lang w:val="en-US" w:eastAsia="zh-CN"/>
              </w:rPr>
              <w:t>二期、三期</w:t>
            </w:r>
            <w:r>
              <w:rPr>
                <w:rFonts w:hint="default" w:ascii="Times New Roman" w:hAnsi="Times New Roman" w:eastAsia="宋体" w:cs="Times New Roman"/>
                <w:bCs/>
                <w:color w:val="auto"/>
                <w:highlight w:val="none"/>
              </w:rPr>
              <w:t>的铸铁件、铸</w:t>
            </w:r>
            <w:r>
              <w:rPr>
                <w:rFonts w:hint="default" w:ascii="Times New Roman" w:hAnsi="Times New Roman" w:eastAsia="宋体" w:cs="Times New Roman"/>
                <w:bCs/>
                <w:color w:val="auto"/>
                <w:highlight w:val="none"/>
                <w:lang w:val="en-US" w:eastAsia="zh-CN"/>
              </w:rPr>
              <w:t>碳</w:t>
            </w:r>
            <w:r>
              <w:rPr>
                <w:rFonts w:hint="default" w:ascii="Times New Roman" w:hAnsi="Times New Roman" w:eastAsia="宋体" w:cs="Times New Roman"/>
                <w:bCs/>
                <w:color w:val="auto"/>
                <w:highlight w:val="none"/>
              </w:rPr>
              <w:t>钢件进行喷漆、喷粉，不新增产能。</w:t>
            </w:r>
          </w:p>
          <w:p w14:paraId="68A6FA3B">
            <w:pPr>
              <w:adjustRightInd w:val="0"/>
              <w:snapToGrid w:val="0"/>
              <w:jc w:val="center"/>
              <w:rPr>
                <w:rFonts w:hint="default" w:ascii="Times New Roman" w:hAnsi="Times New Roman" w:eastAsia="宋体" w:cs="Times New Roman"/>
                <w:b/>
                <w:color w:val="auto"/>
                <w:sz w:val="24"/>
                <w:highlight w:val="none"/>
                <w:lang w:val="en-US" w:eastAsia="zh-CN"/>
              </w:rPr>
            </w:pPr>
            <w:r>
              <w:rPr>
                <w:rFonts w:hint="default" w:ascii="Times New Roman" w:hAnsi="Times New Roman" w:cs="Times New Roman"/>
                <w:b/>
                <w:color w:val="auto"/>
                <w:sz w:val="24"/>
                <w:highlight w:val="none"/>
                <w:lang w:val="en-US" w:eastAsia="zh-CN"/>
              </w:rPr>
              <w:t>表2-3 全厂</w:t>
            </w:r>
            <w:r>
              <w:rPr>
                <w:rFonts w:hint="default" w:ascii="Times New Roman" w:hAnsi="Times New Roman" w:cs="Times New Roman"/>
                <w:b/>
                <w:color w:val="auto"/>
                <w:sz w:val="24"/>
                <w:highlight w:val="none"/>
              </w:rPr>
              <w:t>产品及产能</w:t>
            </w:r>
            <w:r>
              <w:rPr>
                <w:rFonts w:hint="default" w:ascii="Times New Roman" w:hAnsi="Times New Roman" w:cs="Times New Roman"/>
                <w:b/>
                <w:color w:val="auto"/>
                <w:sz w:val="24"/>
                <w:highlight w:val="none"/>
                <w:lang w:val="en-US" w:eastAsia="zh-CN"/>
              </w:rPr>
              <w:t>变化情况一览表</w:t>
            </w:r>
          </w:p>
          <w:tbl>
            <w:tblPr>
              <w:tblStyle w:val="26"/>
              <w:tblW w:w="8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816"/>
              <w:gridCol w:w="819"/>
              <w:gridCol w:w="960"/>
              <w:gridCol w:w="645"/>
              <w:gridCol w:w="1665"/>
              <w:gridCol w:w="1020"/>
              <w:gridCol w:w="690"/>
              <w:gridCol w:w="1266"/>
            </w:tblGrid>
            <w:tr w14:paraId="37B3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44" w:type="dxa"/>
                  <w:vMerge w:val="restart"/>
                  <w:vAlign w:val="center"/>
                </w:tcPr>
                <w:p w14:paraId="68DA9999">
                  <w:pPr>
                    <w:adjustRightInd w:val="0"/>
                    <w:snapToGrid w:val="0"/>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序号</w:t>
                  </w:r>
                </w:p>
              </w:tc>
              <w:tc>
                <w:tcPr>
                  <w:tcW w:w="816" w:type="dxa"/>
                  <w:vMerge w:val="restart"/>
                  <w:vAlign w:val="center"/>
                </w:tcPr>
                <w:p w14:paraId="25437F90">
                  <w:pPr>
                    <w:adjustRightInd w:val="0"/>
                    <w:snapToGrid w:val="0"/>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生产车间</w:t>
                  </w:r>
                </w:p>
              </w:tc>
              <w:tc>
                <w:tcPr>
                  <w:tcW w:w="819" w:type="dxa"/>
                  <w:vMerge w:val="restart"/>
                  <w:vAlign w:val="center"/>
                </w:tcPr>
                <w:p w14:paraId="29819041">
                  <w:pPr>
                    <w:adjustRightInd w:val="0"/>
                    <w:snapToGrid w:val="0"/>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产品名称</w:t>
                  </w:r>
                </w:p>
              </w:tc>
              <w:tc>
                <w:tcPr>
                  <w:tcW w:w="1605" w:type="dxa"/>
                  <w:gridSpan w:val="2"/>
                  <w:vAlign w:val="center"/>
                </w:tcPr>
                <w:p w14:paraId="6A87D864">
                  <w:pPr>
                    <w:adjustRightInd w:val="0"/>
                    <w:snapToGrid w:val="0"/>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原项目</w:t>
                  </w:r>
                </w:p>
              </w:tc>
              <w:tc>
                <w:tcPr>
                  <w:tcW w:w="1665" w:type="dxa"/>
                  <w:vMerge w:val="restart"/>
                  <w:vAlign w:val="center"/>
                </w:tcPr>
                <w:p w14:paraId="788558CE">
                  <w:pPr>
                    <w:adjustRightInd w:val="0"/>
                    <w:snapToGrid w:val="0"/>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本项目</w:t>
                  </w:r>
                </w:p>
              </w:tc>
              <w:tc>
                <w:tcPr>
                  <w:tcW w:w="1020" w:type="dxa"/>
                  <w:vMerge w:val="restart"/>
                  <w:vAlign w:val="center"/>
                </w:tcPr>
                <w:p w14:paraId="2EACC6EE">
                  <w:pPr>
                    <w:adjustRightInd w:val="0"/>
                    <w:snapToGrid w:val="0"/>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全厂</w:t>
                  </w:r>
                </w:p>
              </w:tc>
              <w:tc>
                <w:tcPr>
                  <w:tcW w:w="690" w:type="dxa"/>
                  <w:vMerge w:val="restart"/>
                  <w:vAlign w:val="center"/>
                </w:tcPr>
                <w:p w14:paraId="3558681C">
                  <w:pPr>
                    <w:adjustRightInd w:val="0"/>
                    <w:snapToGrid w:val="0"/>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变动情况</w:t>
                  </w:r>
                </w:p>
              </w:tc>
              <w:tc>
                <w:tcPr>
                  <w:tcW w:w="1266" w:type="dxa"/>
                  <w:vMerge w:val="restart"/>
                  <w:vAlign w:val="center"/>
                </w:tcPr>
                <w:p w14:paraId="1B9ED73C">
                  <w:pPr>
                    <w:adjustRightInd w:val="0"/>
                    <w:snapToGrid w:val="0"/>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备注</w:t>
                  </w:r>
                </w:p>
              </w:tc>
            </w:tr>
            <w:tr w14:paraId="5888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444" w:type="dxa"/>
                  <w:vMerge w:val="continue"/>
                  <w:vAlign w:val="center"/>
                </w:tcPr>
                <w:p w14:paraId="16B4B4F5">
                  <w:pPr>
                    <w:adjustRightInd w:val="0"/>
                    <w:snapToGrid w:val="0"/>
                    <w:jc w:val="center"/>
                    <w:rPr>
                      <w:rFonts w:hint="default" w:ascii="Times New Roman" w:hAnsi="Times New Roman" w:cs="Times New Roman"/>
                      <w:b/>
                      <w:color w:val="auto"/>
                      <w:sz w:val="18"/>
                      <w:szCs w:val="18"/>
                      <w:highlight w:val="none"/>
                    </w:rPr>
                  </w:pPr>
                </w:p>
              </w:tc>
              <w:tc>
                <w:tcPr>
                  <w:tcW w:w="816" w:type="dxa"/>
                  <w:vMerge w:val="continue"/>
                  <w:vAlign w:val="center"/>
                </w:tcPr>
                <w:p w14:paraId="164E833D">
                  <w:pPr>
                    <w:adjustRightInd w:val="0"/>
                    <w:snapToGrid w:val="0"/>
                    <w:jc w:val="center"/>
                    <w:rPr>
                      <w:rFonts w:hint="default" w:ascii="Times New Roman" w:hAnsi="Times New Roman" w:cs="Times New Roman"/>
                      <w:b/>
                      <w:color w:val="auto"/>
                      <w:sz w:val="18"/>
                      <w:szCs w:val="18"/>
                      <w:highlight w:val="none"/>
                    </w:rPr>
                  </w:pPr>
                </w:p>
              </w:tc>
              <w:tc>
                <w:tcPr>
                  <w:tcW w:w="819" w:type="dxa"/>
                  <w:vMerge w:val="continue"/>
                  <w:vAlign w:val="center"/>
                </w:tcPr>
                <w:p w14:paraId="1FA92B0C">
                  <w:pPr>
                    <w:adjustRightInd w:val="0"/>
                    <w:snapToGrid w:val="0"/>
                    <w:jc w:val="center"/>
                    <w:rPr>
                      <w:rFonts w:hint="default" w:ascii="Times New Roman" w:hAnsi="Times New Roman" w:cs="Times New Roman"/>
                      <w:b/>
                      <w:color w:val="auto"/>
                      <w:sz w:val="18"/>
                      <w:szCs w:val="18"/>
                      <w:highlight w:val="none"/>
                    </w:rPr>
                  </w:pPr>
                </w:p>
              </w:tc>
              <w:tc>
                <w:tcPr>
                  <w:tcW w:w="960" w:type="dxa"/>
                  <w:vAlign w:val="center"/>
                </w:tcPr>
                <w:p w14:paraId="612893AF">
                  <w:pPr>
                    <w:adjustRightInd w:val="0"/>
                    <w:snapToGrid w:val="0"/>
                    <w:jc w:val="center"/>
                    <w:rPr>
                      <w:rFonts w:hint="default" w:ascii="Times New Roman" w:hAnsi="Times New Roman" w:eastAsia="宋体" w:cs="Times New Roman"/>
                      <w:b/>
                      <w:color w:val="auto"/>
                      <w:sz w:val="18"/>
                      <w:szCs w:val="18"/>
                      <w:highlight w:val="none"/>
                      <w:lang w:val="en-US" w:eastAsia="zh-CN"/>
                    </w:rPr>
                  </w:pPr>
                  <w:r>
                    <w:rPr>
                      <w:rFonts w:hint="default" w:ascii="Times New Roman" w:hAnsi="Times New Roman" w:cs="Times New Roman"/>
                      <w:b/>
                      <w:color w:val="auto"/>
                      <w:sz w:val="18"/>
                      <w:szCs w:val="18"/>
                      <w:highlight w:val="none"/>
                      <w:lang w:val="en-US" w:eastAsia="zh-CN"/>
                    </w:rPr>
                    <w:t>产能</w:t>
                  </w:r>
                </w:p>
              </w:tc>
              <w:tc>
                <w:tcPr>
                  <w:tcW w:w="645" w:type="dxa"/>
                  <w:vAlign w:val="center"/>
                </w:tcPr>
                <w:p w14:paraId="57338E9A">
                  <w:pPr>
                    <w:adjustRightInd w:val="0"/>
                    <w:snapToGrid w:val="0"/>
                    <w:jc w:val="center"/>
                    <w:rPr>
                      <w:rFonts w:hint="default" w:ascii="Times New Roman" w:hAnsi="Times New Roman" w:eastAsia="宋体" w:cs="Times New Roman"/>
                      <w:b/>
                      <w:color w:val="auto"/>
                      <w:sz w:val="18"/>
                      <w:szCs w:val="18"/>
                      <w:highlight w:val="none"/>
                      <w:lang w:val="en-US" w:eastAsia="zh-CN"/>
                    </w:rPr>
                  </w:pPr>
                  <w:r>
                    <w:rPr>
                      <w:rFonts w:hint="default" w:ascii="Times New Roman" w:hAnsi="Times New Roman" w:cs="Times New Roman"/>
                      <w:b/>
                      <w:color w:val="auto"/>
                      <w:sz w:val="18"/>
                      <w:szCs w:val="18"/>
                      <w:highlight w:val="none"/>
                      <w:lang w:val="en-US" w:eastAsia="zh-CN"/>
                    </w:rPr>
                    <w:t>期数</w:t>
                  </w:r>
                </w:p>
              </w:tc>
              <w:tc>
                <w:tcPr>
                  <w:tcW w:w="1665" w:type="dxa"/>
                  <w:vMerge w:val="continue"/>
                  <w:vAlign w:val="center"/>
                </w:tcPr>
                <w:p w14:paraId="32AB8A24">
                  <w:pPr>
                    <w:adjustRightInd w:val="0"/>
                    <w:snapToGrid w:val="0"/>
                    <w:jc w:val="center"/>
                    <w:rPr>
                      <w:rFonts w:hint="default" w:ascii="Times New Roman" w:hAnsi="Times New Roman" w:cs="Times New Roman"/>
                      <w:b/>
                      <w:color w:val="auto"/>
                      <w:sz w:val="18"/>
                      <w:szCs w:val="18"/>
                      <w:highlight w:val="none"/>
                    </w:rPr>
                  </w:pPr>
                </w:p>
              </w:tc>
              <w:tc>
                <w:tcPr>
                  <w:tcW w:w="1020" w:type="dxa"/>
                  <w:vMerge w:val="continue"/>
                  <w:vAlign w:val="center"/>
                </w:tcPr>
                <w:p w14:paraId="585416A6">
                  <w:pPr>
                    <w:adjustRightInd w:val="0"/>
                    <w:snapToGrid w:val="0"/>
                    <w:jc w:val="center"/>
                    <w:rPr>
                      <w:rFonts w:hint="default" w:ascii="Times New Roman" w:hAnsi="Times New Roman" w:cs="Times New Roman"/>
                      <w:b/>
                      <w:color w:val="auto"/>
                      <w:sz w:val="18"/>
                      <w:szCs w:val="18"/>
                      <w:highlight w:val="none"/>
                    </w:rPr>
                  </w:pPr>
                </w:p>
              </w:tc>
              <w:tc>
                <w:tcPr>
                  <w:tcW w:w="690" w:type="dxa"/>
                  <w:vMerge w:val="continue"/>
                  <w:vAlign w:val="center"/>
                </w:tcPr>
                <w:p w14:paraId="678A6FB0">
                  <w:pPr>
                    <w:adjustRightInd w:val="0"/>
                    <w:snapToGrid w:val="0"/>
                    <w:jc w:val="center"/>
                    <w:rPr>
                      <w:rFonts w:hint="default" w:ascii="Times New Roman" w:hAnsi="Times New Roman" w:cs="Times New Roman"/>
                      <w:b/>
                      <w:color w:val="auto"/>
                      <w:sz w:val="18"/>
                      <w:szCs w:val="18"/>
                      <w:highlight w:val="none"/>
                    </w:rPr>
                  </w:pPr>
                </w:p>
              </w:tc>
              <w:tc>
                <w:tcPr>
                  <w:tcW w:w="1266" w:type="dxa"/>
                  <w:vMerge w:val="continue"/>
                  <w:vAlign w:val="center"/>
                </w:tcPr>
                <w:p w14:paraId="2F295352">
                  <w:pPr>
                    <w:adjustRightInd w:val="0"/>
                    <w:snapToGrid w:val="0"/>
                    <w:jc w:val="center"/>
                    <w:rPr>
                      <w:rFonts w:hint="default" w:ascii="Times New Roman" w:hAnsi="Times New Roman" w:cs="Times New Roman"/>
                      <w:b/>
                      <w:color w:val="auto"/>
                      <w:sz w:val="18"/>
                      <w:szCs w:val="18"/>
                      <w:highlight w:val="none"/>
                    </w:rPr>
                  </w:pPr>
                </w:p>
              </w:tc>
            </w:tr>
            <w:tr w14:paraId="170F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44" w:type="dxa"/>
                  <w:vAlign w:val="center"/>
                </w:tcPr>
                <w:p w14:paraId="0B200388">
                  <w:pPr>
                    <w:jc w:val="center"/>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1</w:t>
                  </w:r>
                </w:p>
              </w:tc>
              <w:tc>
                <w:tcPr>
                  <w:tcW w:w="816" w:type="dxa"/>
                  <w:vAlign w:val="center"/>
                </w:tcPr>
                <w:p w14:paraId="66343060">
                  <w:pPr>
                    <w:jc w:val="center"/>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车间二车间三</w:t>
                  </w:r>
                </w:p>
              </w:tc>
              <w:tc>
                <w:tcPr>
                  <w:tcW w:w="819" w:type="dxa"/>
                  <w:vAlign w:val="center"/>
                </w:tcPr>
                <w:p w14:paraId="7B30C703">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阀门</w:t>
                  </w:r>
                </w:p>
              </w:tc>
              <w:tc>
                <w:tcPr>
                  <w:tcW w:w="960" w:type="dxa"/>
                  <w:vAlign w:val="center"/>
                </w:tcPr>
                <w:p w14:paraId="194FACC3">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5000件/a</w:t>
                  </w:r>
                </w:p>
              </w:tc>
              <w:tc>
                <w:tcPr>
                  <w:tcW w:w="645" w:type="dxa"/>
                  <w:vAlign w:val="center"/>
                </w:tcPr>
                <w:p w14:paraId="49B802D9">
                  <w:pPr>
                    <w:adjustRightInd w:val="0"/>
                    <w:snapToGri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一期</w:t>
                  </w:r>
                </w:p>
              </w:tc>
              <w:tc>
                <w:tcPr>
                  <w:tcW w:w="1665" w:type="dxa"/>
                  <w:vAlign w:val="center"/>
                </w:tcPr>
                <w:p w14:paraId="20A37342">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1020" w:type="dxa"/>
                  <w:vAlign w:val="center"/>
                </w:tcPr>
                <w:p w14:paraId="39896A37">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5000件/a</w:t>
                  </w:r>
                </w:p>
              </w:tc>
              <w:tc>
                <w:tcPr>
                  <w:tcW w:w="690" w:type="dxa"/>
                  <w:vAlign w:val="center"/>
                </w:tcPr>
                <w:p w14:paraId="67BCA582">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66" w:type="dxa"/>
                  <w:vMerge w:val="restart"/>
                  <w:vAlign w:val="center"/>
                </w:tcPr>
                <w:p w14:paraId="4B264AC9">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2023年11月30开始，本企业铸造工序停产，外购铸铁件、铸钢件、阀门零件回厂机加工后组装出货</w:t>
                  </w:r>
                </w:p>
              </w:tc>
            </w:tr>
            <w:tr w14:paraId="6A93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44" w:type="dxa"/>
                  <w:vAlign w:val="center"/>
                </w:tcPr>
                <w:p w14:paraId="579F2C55">
                  <w:pPr>
                    <w:jc w:val="center"/>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2</w:t>
                  </w:r>
                </w:p>
              </w:tc>
              <w:tc>
                <w:tcPr>
                  <w:tcW w:w="816" w:type="dxa"/>
                  <w:vAlign w:val="center"/>
                </w:tcPr>
                <w:p w14:paraId="10749EB6">
                  <w:pPr>
                    <w:jc w:val="center"/>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rPr>
                    <w:t>车间四、车间</w:t>
                  </w:r>
                  <w:r>
                    <w:rPr>
                      <w:rFonts w:hint="default" w:ascii="Times New Roman" w:hAnsi="Times New Roman" w:cs="Times New Roman"/>
                      <w:bCs/>
                      <w:color w:val="auto"/>
                      <w:sz w:val="18"/>
                      <w:szCs w:val="18"/>
                      <w:highlight w:val="none"/>
                      <w:lang w:val="en-US" w:eastAsia="zh-CN"/>
                    </w:rPr>
                    <w:t>五</w:t>
                  </w:r>
                </w:p>
              </w:tc>
              <w:tc>
                <w:tcPr>
                  <w:tcW w:w="819" w:type="dxa"/>
                  <w:vAlign w:val="center"/>
                </w:tcPr>
                <w:p w14:paraId="64F959D2">
                  <w:pPr>
                    <w:adjustRightInd w:val="0"/>
                    <w:snapToGrid w:val="0"/>
                    <w:jc w:val="center"/>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rPr>
                    <w:t>铸铁件</w:t>
                  </w:r>
                </w:p>
              </w:tc>
              <w:tc>
                <w:tcPr>
                  <w:tcW w:w="960" w:type="dxa"/>
                  <w:vAlign w:val="center"/>
                </w:tcPr>
                <w:p w14:paraId="4CF7C5D9">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8</w:t>
                  </w:r>
                  <w:r>
                    <w:rPr>
                      <w:rFonts w:hint="default" w:ascii="Times New Roman" w:hAnsi="Times New Roman" w:cs="Times New Roman"/>
                      <w:color w:val="auto"/>
                      <w:sz w:val="18"/>
                      <w:szCs w:val="18"/>
                      <w:highlight w:val="none"/>
                    </w:rPr>
                    <w:t>000t/a</w:t>
                  </w:r>
                </w:p>
              </w:tc>
              <w:tc>
                <w:tcPr>
                  <w:tcW w:w="645" w:type="dxa"/>
                  <w:vAlign w:val="center"/>
                </w:tcPr>
                <w:p w14:paraId="5BCFD25D">
                  <w:pPr>
                    <w:widowControl/>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二期</w:t>
                  </w:r>
                </w:p>
              </w:tc>
              <w:tc>
                <w:tcPr>
                  <w:tcW w:w="1665" w:type="dxa"/>
                  <w:vMerge w:val="restart"/>
                  <w:vAlign w:val="center"/>
                </w:tcPr>
                <w:p w14:paraId="586DF9A3">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对3300t/a的铸铁件喷粉，对7700t/a的铸铁件喷漆</w:t>
                  </w:r>
                </w:p>
              </w:tc>
              <w:tc>
                <w:tcPr>
                  <w:tcW w:w="1020" w:type="dxa"/>
                  <w:vMerge w:val="restart"/>
                  <w:vAlign w:val="center"/>
                </w:tcPr>
                <w:p w14:paraId="0E0EB9F6">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11000t/a</w:t>
                  </w:r>
                </w:p>
              </w:tc>
              <w:tc>
                <w:tcPr>
                  <w:tcW w:w="690" w:type="dxa"/>
                  <w:vMerge w:val="restart"/>
                  <w:vAlign w:val="center"/>
                </w:tcPr>
                <w:p w14:paraId="6600BA60">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66" w:type="dxa"/>
                  <w:vMerge w:val="continue"/>
                  <w:vAlign w:val="center"/>
                </w:tcPr>
                <w:p w14:paraId="44FAF4ED">
                  <w:pPr>
                    <w:jc w:val="center"/>
                    <w:rPr>
                      <w:rFonts w:hint="default" w:ascii="Times New Roman" w:hAnsi="Times New Roman" w:cs="Times New Roman"/>
                      <w:color w:val="auto"/>
                      <w:sz w:val="18"/>
                      <w:szCs w:val="18"/>
                      <w:highlight w:val="none"/>
                    </w:rPr>
                  </w:pPr>
                </w:p>
              </w:tc>
            </w:tr>
            <w:tr w14:paraId="2AD6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44" w:type="dxa"/>
                  <w:vAlign w:val="center"/>
                </w:tcPr>
                <w:p w14:paraId="219D710F">
                  <w:pPr>
                    <w:jc w:val="center"/>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3</w:t>
                  </w:r>
                </w:p>
              </w:tc>
              <w:tc>
                <w:tcPr>
                  <w:tcW w:w="816" w:type="dxa"/>
                  <w:vMerge w:val="restart"/>
                  <w:vAlign w:val="center"/>
                </w:tcPr>
                <w:p w14:paraId="287EA8C8">
                  <w:pPr>
                    <w:jc w:val="center"/>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车间一</w:t>
                  </w:r>
                </w:p>
              </w:tc>
              <w:tc>
                <w:tcPr>
                  <w:tcW w:w="819" w:type="dxa"/>
                  <w:vAlign w:val="center"/>
                </w:tcPr>
                <w:p w14:paraId="544C214E">
                  <w:pPr>
                    <w:adjustRightInd w:val="0"/>
                    <w:snapToGri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铸铁件</w:t>
                  </w:r>
                </w:p>
              </w:tc>
              <w:tc>
                <w:tcPr>
                  <w:tcW w:w="960" w:type="dxa"/>
                  <w:vAlign w:val="center"/>
                </w:tcPr>
                <w:p w14:paraId="343A67EE">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3</w:t>
                  </w:r>
                  <w:r>
                    <w:rPr>
                      <w:rFonts w:hint="default" w:ascii="Times New Roman" w:hAnsi="Times New Roman" w:cs="Times New Roman"/>
                      <w:color w:val="auto"/>
                      <w:sz w:val="18"/>
                      <w:szCs w:val="18"/>
                      <w:highlight w:val="none"/>
                    </w:rPr>
                    <w:t>000t/a</w:t>
                  </w:r>
                </w:p>
              </w:tc>
              <w:tc>
                <w:tcPr>
                  <w:tcW w:w="645" w:type="dxa"/>
                  <w:vMerge w:val="restart"/>
                  <w:vAlign w:val="center"/>
                </w:tcPr>
                <w:p w14:paraId="550B8AB3">
                  <w:pPr>
                    <w:adjustRightInd w:val="0"/>
                    <w:snapToGri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三期</w:t>
                  </w:r>
                </w:p>
              </w:tc>
              <w:tc>
                <w:tcPr>
                  <w:tcW w:w="1665" w:type="dxa"/>
                  <w:vMerge w:val="continue"/>
                  <w:vAlign w:val="center"/>
                </w:tcPr>
                <w:p w14:paraId="63B841A0">
                  <w:pPr>
                    <w:jc w:val="center"/>
                    <w:rPr>
                      <w:rFonts w:hint="default" w:ascii="Times New Roman" w:hAnsi="Times New Roman" w:cs="Times New Roman"/>
                      <w:color w:val="auto"/>
                      <w:sz w:val="18"/>
                      <w:szCs w:val="18"/>
                      <w:highlight w:val="none"/>
                    </w:rPr>
                  </w:pPr>
                </w:p>
              </w:tc>
              <w:tc>
                <w:tcPr>
                  <w:tcW w:w="1020" w:type="dxa"/>
                  <w:vMerge w:val="continue"/>
                  <w:vAlign w:val="center"/>
                </w:tcPr>
                <w:p w14:paraId="7E6C4E41">
                  <w:pPr>
                    <w:widowControl/>
                    <w:jc w:val="center"/>
                    <w:rPr>
                      <w:rFonts w:hint="default" w:ascii="Times New Roman" w:hAnsi="Times New Roman" w:cs="Times New Roman"/>
                      <w:color w:val="auto"/>
                      <w:sz w:val="18"/>
                      <w:szCs w:val="18"/>
                      <w:highlight w:val="none"/>
                    </w:rPr>
                  </w:pPr>
                </w:p>
              </w:tc>
              <w:tc>
                <w:tcPr>
                  <w:tcW w:w="690" w:type="dxa"/>
                  <w:vMerge w:val="continue"/>
                  <w:vAlign w:val="center"/>
                </w:tcPr>
                <w:p w14:paraId="3F4CADC3">
                  <w:pPr>
                    <w:jc w:val="center"/>
                    <w:rPr>
                      <w:rFonts w:hint="default" w:ascii="Times New Roman" w:hAnsi="Times New Roman" w:cs="Times New Roman"/>
                      <w:color w:val="auto"/>
                      <w:sz w:val="18"/>
                      <w:szCs w:val="18"/>
                      <w:highlight w:val="none"/>
                    </w:rPr>
                  </w:pPr>
                </w:p>
              </w:tc>
              <w:tc>
                <w:tcPr>
                  <w:tcW w:w="1266" w:type="dxa"/>
                  <w:vMerge w:val="continue"/>
                  <w:vAlign w:val="center"/>
                </w:tcPr>
                <w:p w14:paraId="001B7FF3">
                  <w:pPr>
                    <w:jc w:val="center"/>
                    <w:rPr>
                      <w:rFonts w:hint="default" w:ascii="Times New Roman" w:hAnsi="Times New Roman" w:cs="Times New Roman"/>
                      <w:color w:val="auto"/>
                      <w:sz w:val="18"/>
                      <w:szCs w:val="18"/>
                      <w:highlight w:val="none"/>
                    </w:rPr>
                  </w:pPr>
                </w:p>
              </w:tc>
            </w:tr>
            <w:tr w14:paraId="5FAD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444" w:type="dxa"/>
                  <w:vAlign w:val="center"/>
                </w:tcPr>
                <w:p w14:paraId="272DE9CC">
                  <w:pPr>
                    <w:jc w:val="center"/>
                    <w:rPr>
                      <w:rFonts w:hint="default" w:ascii="Times New Roman" w:hAnsi="Times New Roman" w:eastAsia="宋体" w:cs="Times New Roman"/>
                      <w:bCs/>
                      <w:color w:val="auto"/>
                      <w:sz w:val="18"/>
                      <w:szCs w:val="18"/>
                      <w:highlight w:val="none"/>
                      <w:lang w:eastAsia="zh-CN"/>
                    </w:rPr>
                  </w:pPr>
                  <w:r>
                    <w:rPr>
                      <w:rFonts w:hint="default" w:ascii="Times New Roman" w:hAnsi="Times New Roman" w:cs="Times New Roman"/>
                      <w:bCs/>
                      <w:color w:val="auto"/>
                      <w:sz w:val="18"/>
                      <w:szCs w:val="18"/>
                      <w:highlight w:val="none"/>
                      <w:lang w:val="en-US" w:eastAsia="zh-CN"/>
                    </w:rPr>
                    <w:t>4</w:t>
                  </w:r>
                </w:p>
              </w:tc>
              <w:tc>
                <w:tcPr>
                  <w:tcW w:w="816" w:type="dxa"/>
                  <w:vMerge w:val="continue"/>
                  <w:vAlign w:val="center"/>
                </w:tcPr>
                <w:p w14:paraId="276F0496">
                  <w:pPr>
                    <w:jc w:val="center"/>
                    <w:rPr>
                      <w:rFonts w:hint="default" w:ascii="Times New Roman" w:hAnsi="Times New Roman" w:cs="Times New Roman"/>
                      <w:bCs/>
                      <w:color w:val="auto"/>
                      <w:sz w:val="18"/>
                      <w:szCs w:val="18"/>
                      <w:highlight w:val="none"/>
                    </w:rPr>
                  </w:pPr>
                </w:p>
              </w:tc>
              <w:tc>
                <w:tcPr>
                  <w:tcW w:w="819" w:type="dxa"/>
                  <w:vAlign w:val="center"/>
                </w:tcPr>
                <w:p w14:paraId="690FC149">
                  <w:pPr>
                    <w:widowControl/>
                    <w:jc w:val="center"/>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rPr>
                    <w:t>铸钢件</w:t>
                  </w:r>
                  <w:r>
                    <w:rPr>
                      <w:rFonts w:hint="default" w:ascii="Times New Roman" w:hAnsi="Times New Roman" w:cs="Times New Roman"/>
                      <w:color w:val="auto"/>
                      <w:sz w:val="18"/>
                      <w:szCs w:val="18"/>
                      <w:highlight w:val="none"/>
                      <w:vertAlign w:val="superscript"/>
                    </w:rPr>
                    <w:t>①</w:t>
                  </w:r>
                </w:p>
              </w:tc>
              <w:tc>
                <w:tcPr>
                  <w:tcW w:w="960" w:type="dxa"/>
                  <w:vAlign w:val="center"/>
                </w:tcPr>
                <w:p w14:paraId="1C7702B6">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4000t/a</w:t>
                  </w:r>
                </w:p>
              </w:tc>
              <w:tc>
                <w:tcPr>
                  <w:tcW w:w="645" w:type="dxa"/>
                  <w:vMerge w:val="continue"/>
                  <w:vAlign w:val="center"/>
                </w:tcPr>
                <w:p w14:paraId="7254EFF0">
                  <w:pPr>
                    <w:adjustRightInd w:val="0"/>
                    <w:snapToGrid w:val="0"/>
                    <w:jc w:val="center"/>
                    <w:rPr>
                      <w:rFonts w:hint="default" w:ascii="Times New Roman" w:hAnsi="Times New Roman" w:eastAsia="宋体" w:cs="Times New Roman"/>
                      <w:color w:val="auto"/>
                      <w:sz w:val="18"/>
                      <w:szCs w:val="18"/>
                      <w:highlight w:val="none"/>
                      <w:lang w:val="en-US" w:eastAsia="zh-CN"/>
                    </w:rPr>
                  </w:pPr>
                </w:p>
              </w:tc>
              <w:tc>
                <w:tcPr>
                  <w:tcW w:w="1665" w:type="dxa"/>
                  <w:vAlign w:val="center"/>
                </w:tcPr>
                <w:p w14:paraId="1CAFB6E4">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对600t/a的铸碳钢件喷粉，对1400t/a的铸碳钢件喷</w:t>
                  </w:r>
                  <w:r>
                    <w:rPr>
                      <w:rFonts w:hint="default" w:ascii="Times New Roman" w:hAnsi="Times New Roman" w:cs="Times New Roman"/>
                      <w:color w:val="auto"/>
                      <w:sz w:val="18"/>
                      <w:szCs w:val="18"/>
                      <w:highlight w:val="none"/>
                      <w:lang w:val="en-US" w:eastAsia="zh-CN"/>
                    </w:rPr>
                    <w:t>漆</w:t>
                  </w:r>
                  <w:r>
                    <w:rPr>
                      <w:rFonts w:hint="default" w:ascii="Times New Roman" w:hAnsi="Times New Roman" w:cs="Times New Roman"/>
                      <w:color w:val="auto"/>
                      <w:sz w:val="18"/>
                      <w:szCs w:val="18"/>
                      <w:highlight w:val="none"/>
                      <w:vertAlign w:val="superscript"/>
                    </w:rPr>
                    <w:t>②</w:t>
                  </w:r>
                </w:p>
              </w:tc>
              <w:tc>
                <w:tcPr>
                  <w:tcW w:w="1020" w:type="dxa"/>
                  <w:vAlign w:val="center"/>
                </w:tcPr>
                <w:p w14:paraId="1C081A34">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4000t/a</w:t>
                  </w:r>
                </w:p>
              </w:tc>
              <w:tc>
                <w:tcPr>
                  <w:tcW w:w="690" w:type="dxa"/>
                  <w:vAlign w:val="center"/>
                </w:tcPr>
                <w:p w14:paraId="7DE1FA67">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66" w:type="dxa"/>
                  <w:vMerge w:val="continue"/>
                  <w:vAlign w:val="center"/>
                </w:tcPr>
                <w:p w14:paraId="6150467D">
                  <w:pPr>
                    <w:jc w:val="center"/>
                    <w:rPr>
                      <w:rFonts w:hint="default" w:ascii="Times New Roman" w:hAnsi="Times New Roman" w:cs="Times New Roman"/>
                      <w:color w:val="auto"/>
                      <w:sz w:val="18"/>
                      <w:szCs w:val="18"/>
                      <w:highlight w:val="none"/>
                    </w:rPr>
                  </w:pPr>
                </w:p>
              </w:tc>
            </w:tr>
            <w:tr w14:paraId="11DE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44" w:type="dxa"/>
                  <w:vAlign w:val="center"/>
                </w:tcPr>
                <w:p w14:paraId="78B364AD">
                  <w:pPr>
                    <w:jc w:val="center"/>
                    <w:rPr>
                      <w:rFonts w:hint="default" w:ascii="Times New Roman" w:hAnsi="Times New Roman" w:eastAsia="宋体" w:cs="Times New Roman"/>
                      <w:bCs/>
                      <w:color w:val="auto"/>
                      <w:sz w:val="18"/>
                      <w:szCs w:val="18"/>
                      <w:highlight w:val="none"/>
                      <w:lang w:eastAsia="zh-CN"/>
                    </w:rPr>
                  </w:pPr>
                  <w:r>
                    <w:rPr>
                      <w:rFonts w:hint="default" w:ascii="Times New Roman" w:hAnsi="Times New Roman" w:cs="Times New Roman"/>
                      <w:bCs/>
                      <w:color w:val="auto"/>
                      <w:sz w:val="18"/>
                      <w:szCs w:val="18"/>
                      <w:lang w:val="en-US" w:eastAsia="zh-CN"/>
                    </w:rPr>
                    <w:t>5</w:t>
                  </w:r>
                </w:p>
              </w:tc>
              <w:tc>
                <w:tcPr>
                  <w:tcW w:w="816" w:type="dxa"/>
                  <w:vMerge w:val="restart"/>
                  <w:vAlign w:val="center"/>
                </w:tcPr>
                <w:p w14:paraId="1326A7E2">
                  <w:pPr>
                    <w:jc w:val="center"/>
                    <w:rPr>
                      <w:rFonts w:hint="default" w:ascii="Times New Roman" w:hAnsi="Times New Roman" w:eastAsia="宋体" w:cs="Times New Roman"/>
                      <w:bCs/>
                      <w:color w:val="auto"/>
                      <w:sz w:val="18"/>
                      <w:szCs w:val="18"/>
                      <w:highlight w:val="none"/>
                      <w:lang w:eastAsia="zh-CN"/>
                    </w:rPr>
                  </w:pPr>
                  <w:r>
                    <w:rPr>
                      <w:rFonts w:hint="default" w:ascii="Times New Roman" w:hAnsi="Times New Roman" w:cs="Times New Roman"/>
                      <w:color w:val="auto"/>
                      <w:sz w:val="18"/>
                      <w:szCs w:val="18"/>
                    </w:rPr>
                    <w:t>车间</w:t>
                  </w:r>
                  <w:r>
                    <w:rPr>
                      <w:rFonts w:hint="default" w:ascii="Times New Roman" w:hAnsi="Times New Roman" w:cs="Times New Roman"/>
                      <w:color w:val="auto"/>
                      <w:sz w:val="18"/>
                      <w:szCs w:val="18"/>
                      <w:lang w:val="en-US" w:eastAsia="zh-CN"/>
                    </w:rPr>
                    <w:t>八</w:t>
                  </w:r>
                </w:p>
              </w:tc>
              <w:tc>
                <w:tcPr>
                  <w:tcW w:w="819" w:type="dxa"/>
                  <w:vAlign w:val="center"/>
                </w:tcPr>
                <w:p w14:paraId="5652E609">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铸钢件</w:t>
                  </w:r>
                </w:p>
              </w:tc>
              <w:tc>
                <w:tcPr>
                  <w:tcW w:w="960" w:type="dxa"/>
                  <w:vAlign w:val="center"/>
                </w:tcPr>
                <w:p w14:paraId="05A6124F">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4000t/a</w:t>
                  </w:r>
                </w:p>
              </w:tc>
              <w:tc>
                <w:tcPr>
                  <w:tcW w:w="645" w:type="dxa"/>
                  <w:vMerge w:val="restart"/>
                  <w:vAlign w:val="center"/>
                </w:tcPr>
                <w:p w14:paraId="3C94FF01">
                  <w:pPr>
                    <w:adjustRightInd w:val="0"/>
                    <w:snapToGrid w:val="0"/>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四期</w:t>
                  </w:r>
                </w:p>
              </w:tc>
              <w:tc>
                <w:tcPr>
                  <w:tcW w:w="1665" w:type="dxa"/>
                  <w:vAlign w:val="center"/>
                </w:tcPr>
                <w:p w14:paraId="622BA164">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w:t>
                  </w:r>
                </w:p>
              </w:tc>
              <w:tc>
                <w:tcPr>
                  <w:tcW w:w="1020" w:type="dxa"/>
                  <w:vAlign w:val="center"/>
                </w:tcPr>
                <w:p w14:paraId="1250871F">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4000t/a</w:t>
                  </w:r>
                </w:p>
              </w:tc>
              <w:tc>
                <w:tcPr>
                  <w:tcW w:w="690" w:type="dxa"/>
                  <w:vAlign w:val="center"/>
                </w:tcPr>
                <w:p w14:paraId="7C26CFC7">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66" w:type="dxa"/>
                  <w:vMerge w:val="restart"/>
                  <w:vAlign w:val="center"/>
                </w:tcPr>
                <w:p w14:paraId="03AB74BD">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未建，四期产品</w:t>
                  </w:r>
                </w:p>
              </w:tc>
            </w:tr>
            <w:tr w14:paraId="652E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44" w:type="dxa"/>
                  <w:vAlign w:val="center"/>
                </w:tcPr>
                <w:p w14:paraId="0295C324">
                  <w:pPr>
                    <w:jc w:val="center"/>
                    <w:rPr>
                      <w:rFonts w:hint="default" w:ascii="Times New Roman" w:hAnsi="Times New Roman" w:eastAsia="宋体" w:cs="Times New Roman"/>
                      <w:bCs/>
                      <w:color w:val="auto"/>
                      <w:sz w:val="18"/>
                      <w:szCs w:val="18"/>
                      <w:highlight w:val="none"/>
                      <w:lang w:eastAsia="zh-CN"/>
                    </w:rPr>
                  </w:pPr>
                  <w:r>
                    <w:rPr>
                      <w:rFonts w:hint="default" w:ascii="Times New Roman" w:hAnsi="Times New Roman" w:cs="Times New Roman"/>
                      <w:bCs/>
                      <w:color w:val="auto"/>
                      <w:sz w:val="18"/>
                      <w:szCs w:val="18"/>
                      <w:lang w:val="en-US" w:eastAsia="zh-CN"/>
                    </w:rPr>
                    <w:t>6</w:t>
                  </w:r>
                </w:p>
              </w:tc>
              <w:tc>
                <w:tcPr>
                  <w:tcW w:w="816" w:type="dxa"/>
                  <w:vMerge w:val="continue"/>
                  <w:vAlign w:val="center"/>
                </w:tcPr>
                <w:p w14:paraId="6567B108">
                  <w:pPr>
                    <w:jc w:val="center"/>
                    <w:rPr>
                      <w:rFonts w:hint="default" w:ascii="Times New Roman" w:hAnsi="Times New Roman" w:cs="Times New Roman"/>
                      <w:bCs/>
                      <w:color w:val="auto"/>
                      <w:sz w:val="18"/>
                      <w:szCs w:val="18"/>
                      <w:highlight w:val="none"/>
                    </w:rPr>
                  </w:pPr>
                </w:p>
              </w:tc>
              <w:tc>
                <w:tcPr>
                  <w:tcW w:w="819" w:type="dxa"/>
                  <w:vAlign w:val="center"/>
                </w:tcPr>
                <w:p w14:paraId="427A40E8">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铸铁件</w:t>
                  </w:r>
                </w:p>
              </w:tc>
              <w:tc>
                <w:tcPr>
                  <w:tcW w:w="960" w:type="dxa"/>
                  <w:vAlign w:val="center"/>
                </w:tcPr>
                <w:p w14:paraId="59021370">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6000t/a</w:t>
                  </w:r>
                </w:p>
              </w:tc>
              <w:tc>
                <w:tcPr>
                  <w:tcW w:w="645" w:type="dxa"/>
                  <w:vMerge w:val="continue"/>
                  <w:vAlign w:val="center"/>
                </w:tcPr>
                <w:p w14:paraId="5A88A2B9">
                  <w:pPr>
                    <w:widowControl/>
                    <w:jc w:val="center"/>
                    <w:rPr>
                      <w:rFonts w:hint="default" w:ascii="Times New Roman" w:hAnsi="Times New Roman" w:cs="Times New Roman"/>
                      <w:color w:val="auto"/>
                      <w:sz w:val="18"/>
                      <w:szCs w:val="18"/>
                    </w:rPr>
                  </w:pPr>
                </w:p>
              </w:tc>
              <w:tc>
                <w:tcPr>
                  <w:tcW w:w="1665" w:type="dxa"/>
                  <w:vAlign w:val="center"/>
                </w:tcPr>
                <w:p w14:paraId="2A7C0A7E">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w:t>
                  </w:r>
                </w:p>
              </w:tc>
              <w:tc>
                <w:tcPr>
                  <w:tcW w:w="1020" w:type="dxa"/>
                  <w:vAlign w:val="center"/>
                </w:tcPr>
                <w:p w14:paraId="3EC5773E">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lang w:val="en-US" w:eastAsia="zh-CN"/>
                    </w:rPr>
                    <w:t>6</w:t>
                  </w:r>
                  <w:r>
                    <w:rPr>
                      <w:rFonts w:hint="default" w:ascii="Times New Roman" w:hAnsi="Times New Roman" w:cs="Times New Roman"/>
                      <w:color w:val="auto"/>
                      <w:sz w:val="18"/>
                      <w:szCs w:val="18"/>
                    </w:rPr>
                    <w:t>000t/a</w:t>
                  </w:r>
                </w:p>
              </w:tc>
              <w:tc>
                <w:tcPr>
                  <w:tcW w:w="690" w:type="dxa"/>
                  <w:vAlign w:val="center"/>
                </w:tcPr>
                <w:p w14:paraId="7BEBC3CC">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66" w:type="dxa"/>
                  <w:vMerge w:val="continue"/>
                  <w:vAlign w:val="center"/>
                </w:tcPr>
                <w:p w14:paraId="14A1D950">
                  <w:pPr>
                    <w:jc w:val="center"/>
                    <w:rPr>
                      <w:rFonts w:hint="default" w:ascii="Times New Roman" w:hAnsi="Times New Roman" w:cs="Times New Roman"/>
                      <w:color w:val="auto"/>
                      <w:sz w:val="18"/>
                      <w:szCs w:val="18"/>
                      <w:highlight w:val="none"/>
                    </w:rPr>
                  </w:pPr>
                </w:p>
              </w:tc>
            </w:tr>
            <w:tr w14:paraId="678A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444" w:type="dxa"/>
                  <w:vAlign w:val="center"/>
                </w:tcPr>
                <w:p w14:paraId="600FEF97">
                  <w:pPr>
                    <w:jc w:val="center"/>
                    <w:rPr>
                      <w:rFonts w:hint="default" w:ascii="Times New Roman" w:hAnsi="Times New Roman" w:eastAsia="宋体" w:cs="Times New Roman"/>
                      <w:bCs/>
                      <w:color w:val="auto"/>
                      <w:sz w:val="18"/>
                      <w:szCs w:val="18"/>
                      <w:highlight w:val="none"/>
                      <w:lang w:eastAsia="zh-CN"/>
                    </w:rPr>
                  </w:pPr>
                  <w:r>
                    <w:rPr>
                      <w:rFonts w:hint="default" w:ascii="Times New Roman" w:hAnsi="Times New Roman" w:cs="Times New Roman"/>
                      <w:bCs/>
                      <w:color w:val="auto"/>
                      <w:sz w:val="18"/>
                      <w:szCs w:val="18"/>
                      <w:lang w:val="en-US" w:eastAsia="zh-CN"/>
                    </w:rPr>
                    <w:t>7</w:t>
                  </w:r>
                </w:p>
              </w:tc>
              <w:tc>
                <w:tcPr>
                  <w:tcW w:w="816" w:type="dxa"/>
                  <w:vMerge w:val="restart"/>
                  <w:vAlign w:val="center"/>
                </w:tcPr>
                <w:p w14:paraId="6485C52D">
                  <w:pPr>
                    <w:jc w:val="center"/>
                    <w:rPr>
                      <w:rFonts w:hint="default" w:ascii="Times New Roman" w:hAnsi="Times New Roman" w:eastAsia="宋体" w:cs="Times New Roman"/>
                      <w:bCs/>
                      <w:color w:val="auto"/>
                      <w:sz w:val="18"/>
                      <w:szCs w:val="18"/>
                      <w:highlight w:val="none"/>
                      <w:lang w:eastAsia="zh-CN"/>
                    </w:rPr>
                  </w:pPr>
                  <w:r>
                    <w:rPr>
                      <w:rFonts w:hint="default" w:ascii="Times New Roman" w:hAnsi="Times New Roman" w:cs="Times New Roman"/>
                      <w:color w:val="auto"/>
                      <w:sz w:val="18"/>
                      <w:szCs w:val="18"/>
                    </w:rPr>
                    <w:t>车间</w:t>
                  </w:r>
                  <w:r>
                    <w:rPr>
                      <w:rFonts w:hint="default" w:ascii="Times New Roman" w:hAnsi="Times New Roman" w:cs="Times New Roman"/>
                      <w:color w:val="auto"/>
                      <w:sz w:val="18"/>
                      <w:szCs w:val="18"/>
                      <w:lang w:val="en-US" w:eastAsia="zh-CN"/>
                    </w:rPr>
                    <w:t>九</w:t>
                  </w:r>
                </w:p>
              </w:tc>
              <w:tc>
                <w:tcPr>
                  <w:tcW w:w="819" w:type="dxa"/>
                  <w:vAlign w:val="center"/>
                </w:tcPr>
                <w:p w14:paraId="000D0D83">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铸钢件</w:t>
                  </w:r>
                </w:p>
              </w:tc>
              <w:tc>
                <w:tcPr>
                  <w:tcW w:w="960" w:type="dxa"/>
                  <w:vAlign w:val="center"/>
                </w:tcPr>
                <w:p w14:paraId="46C48ECA">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4000t/a</w:t>
                  </w:r>
                </w:p>
              </w:tc>
              <w:tc>
                <w:tcPr>
                  <w:tcW w:w="645" w:type="dxa"/>
                  <w:vMerge w:val="restart"/>
                  <w:vAlign w:val="center"/>
                </w:tcPr>
                <w:p w14:paraId="3F801E7F">
                  <w:pPr>
                    <w:adjustRightInd w:val="0"/>
                    <w:snapToGrid w:val="0"/>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五期</w:t>
                  </w:r>
                </w:p>
              </w:tc>
              <w:tc>
                <w:tcPr>
                  <w:tcW w:w="1665" w:type="dxa"/>
                  <w:vAlign w:val="center"/>
                </w:tcPr>
                <w:p w14:paraId="2E11AF4C">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w:t>
                  </w:r>
                </w:p>
              </w:tc>
              <w:tc>
                <w:tcPr>
                  <w:tcW w:w="1020" w:type="dxa"/>
                  <w:vAlign w:val="center"/>
                </w:tcPr>
                <w:p w14:paraId="5CB72D3F">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4000t/a</w:t>
                  </w:r>
                </w:p>
              </w:tc>
              <w:tc>
                <w:tcPr>
                  <w:tcW w:w="690" w:type="dxa"/>
                  <w:vAlign w:val="center"/>
                </w:tcPr>
                <w:p w14:paraId="4425714A">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66" w:type="dxa"/>
                  <w:vMerge w:val="restart"/>
                  <w:vAlign w:val="center"/>
                </w:tcPr>
                <w:p w14:paraId="5634C495">
                  <w:pPr>
                    <w:widowControl/>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rPr>
                    <w:t>未建，五期产品</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lang w:val="en-US" w:eastAsia="zh-CN"/>
                    </w:rPr>
                    <w:t>企业减少计划的</w:t>
                  </w:r>
                  <w:r>
                    <w:rPr>
                      <w:rFonts w:hint="default" w:ascii="Times New Roman" w:hAnsi="Times New Roman" w:cs="Times New Roman"/>
                      <w:b w:val="0"/>
                      <w:bCs w:val="0"/>
                      <w:color w:val="auto"/>
                      <w:sz w:val="18"/>
                      <w:szCs w:val="18"/>
                      <w:lang w:val="en-US" w:eastAsia="zh-CN"/>
                    </w:rPr>
                    <w:t>一条树脂砂铸造生产线（见附件14说明）</w:t>
                  </w:r>
                </w:p>
              </w:tc>
            </w:tr>
            <w:tr w14:paraId="25DC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44" w:type="dxa"/>
                  <w:vAlign w:val="center"/>
                </w:tcPr>
                <w:p w14:paraId="4FFF09D3">
                  <w:pPr>
                    <w:jc w:val="center"/>
                    <w:rPr>
                      <w:rFonts w:hint="default" w:ascii="Times New Roman" w:hAnsi="Times New Roman" w:eastAsia="宋体" w:cs="Times New Roman"/>
                      <w:bCs/>
                      <w:color w:val="auto"/>
                      <w:sz w:val="18"/>
                      <w:szCs w:val="18"/>
                      <w:highlight w:val="none"/>
                      <w:lang w:eastAsia="zh-CN"/>
                    </w:rPr>
                  </w:pPr>
                  <w:r>
                    <w:rPr>
                      <w:rFonts w:hint="default" w:ascii="Times New Roman" w:hAnsi="Times New Roman" w:cs="Times New Roman"/>
                      <w:bCs/>
                      <w:color w:val="auto"/>
                      <w:sz w:val="18"/>
                      <w:szCs w:val="18"/>
                      <w:lang w:val="en-US" w:eastAsia="zh-CN"/>
                    </w:rPr>
                    <w:t>8</w:t>
                  </w:r>
                </w:p>
              </w:tc>
              <w:tc>
                <w:tcPr>
                  <w:tcW w:w="816" w:type="dxa"/>
                  <w:vMerge w:val="continue"/>
                  <w:vAlign w:val="center"/>
                </w:tcPr>
                <w:p w14:paraId="6C3D3F71">
                  <w:pPr>
                    <w:jc w:val="center"/>
                    <w:rPr>
                      <w:rFonts w:hint="default" w:ascii="Times New Roman" w:hAnsi="Times New Roman" w:cs="Times New Roman"/>
                      <w:bCs/>
                      <w:color w:val="auto"/>
                      <w:sz w:val="18"/>
                      <w:szCs w:val="18"/>
                      <w:highlight w:val="none"/>
                    </w:rPr>
                  </w:pPr>
                </w:p>
              </w:tc>
              <w:tc>
                <w:tcPr>
                  <w:tcW w:w="819" w:type="dxa"/>
                  <w:vAlign w:val="center"/>
                </w:tcPr>
                <w:p w14:paraId="710587F5">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铸铁件</w:t>
                  </w:r>
                </w:p>
              </w:tc>
              <w:tc>
                <w:tcPr>
                  <w:tcW w:w="960" w:type="dxa"/>
                  <w:vAlign w:val="center"/>
                </w:tcPr>
                <w:p w14:paraId="4686B988">
                  <w:pPr>
                    <w:widowControl/>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rPr>
                    <w:t>6000t/a</w:t>
                  </w:r>
                </w:p>
              </w:tc>
              <w:tc>
                <w:tcPr>
                  <w:tcW w:w="645" w:type="dxa"/>
                  <w:vMerge w:val="continue"/>
                  <w:vAlign w:val="center"/>
                </w:tcPr>
                <w:p w14:paraId="40FC6150">
                  <w:pPr>
                    <w:widowControl/>
                    <w:jc w:val="center"/>
                    <w:rPr>
                      <w:rFonts w:hint="default" w:ascii="Times New Roman" w:hAnsi="Times New Roman" w:cs="Times New Roman"/>
                      <w:color w:val="auto"/>
                      <w:sz w:val="18"/>
                      <w:szCs w:val="18"/>
                    </w:rPr>
                  </w:pPr>
                </w:p>
              </w:tc>
              <w:tc>
                <w:tcPr>
                  <w:tcW w:w="1665" w:type="dxa"/>
                  <w:vAlign w:val="center"/>
                </w:tcPr>
                <w:p w14:paraId="5BB8BB07">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lang w:val="en-US" w:eastAsia="zh-CN"/>
                    </w:rPr>
                    <w:t>-4000t/a</w:t>
                  </w:r>
                  <w:r>
                    <w:rPr>
                      <w:rFonts w:hint="default" w:ascii="Times New Roman" w:hAnsi="Times New Roman" w:cs="Times New Roman"/>
                      <w:b w:val="0"/>
                      <w:bCs w:val="0"/>
                      <w:color w:val="auto"/>
                      <w:sz w:val="18"/>
                      <w:szCs w:val="18"/>
                      <w:vertAlign w:val="superscript"/>
                      <w:lang w:val="en-US" w:eastAsia="zh-CN"/>
                    </w:rPr>
                    <w:t>③</w:t>
                  </w:r>
                </w:p>
              </w:tc>
              <w:tc>
                <w:tcPr>
                  <w:tcW w:w="1020" w:type="dxa"/>
                  <w:vAlign w:val="center"/>
                </w:tcPr>
                <w:p w14:paraId="252DF0FE">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lang w:val="en-US" w:eastAsia="zh-CN"/>
                    </w:rPr>
                    <w:t>2000t/a</w:t>
                  </w:r>
                </w:p>
              </w:tc>
              <w:tc>
                <w:tcPr>
                  <w:tcW w:w="690" w:type="dxa"/>
                  <w:vAlign w:val="center"/>
                </w:tcPr>
                <w:p w14:paraId="53F80FD3">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lang w:val="en-US" w:eastAsia="zh-CN"/>
                    </w:rPr>
                    <w:t>-4000t/a</w:t>
                  </w:r>
                </w:p>
              </w:tc>
              <w:tc>
                <w:tcPr>
                  <w:tcW w:w="1266" w:type="dxa"/>
                  <w:vMerge w:val="continue"/>
                  <w:vAlign w:val="center"/>
                </w:tcPr>
                <w:p w14:paraId="7C089488">
                  <w:pPr>
                    <w:jc w:val="center"/>
                    <w:rPr>
                      <w:rFonts w:hint="default" w:ascii="Times New Roman" w:hAnsi="Times New Roman" w:cs="Times New Roman"/>
                      <w:color w:val="auto"/>
                      <w:sz w:val="18"/>
                      <w:szCs w:val="18"/>
                      <w:highlight w:val="none"/>
                    </w:rPr>
                  </w:pPr>
                </w:p>
              </w:tc>
            </w:tr>
            <w:tr w14:paraId="43D0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325" w:type="dxa"/>
                  <w:gridSpan w:val="9"/>
                  <w:vAlign w:val="center"/>
                </w:tcPr>
                <w:p w14:paraId="66FD6CEC">
                  <w:pPr>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备注：1、铸钢件4000t/a其中铸不锈钢件2000t/a、铸碳钢件2000t/a。2、本项目对铸钢件中的铸碳钢件进行喷漆/喷粉，对铸不锈钢件不做表面处理。</w:t>
                  </w:r>
                </w:p>
                <w:p w14:paraId="20F05158">
                  <w:pPr>
                    <w:pStyle w:val="126"/>
                    <w:autoSpaceDE w:val="0"/>
                    <w:spacing w:line="240" w:lineRule="auto"/>
                    <w:ind w:firstLineChars="200"/>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r>
                    <w:rPr>
                      <w:rFonts w:hint="default" w:ascii="Times New Roman" w:hAnsi="Times New Roman" w:cs="Times New Roman"/>
                      <w:b w:val="0"/>
                      <w:bCs w:val="0"/>
                      <w:color w:val="auto"/>
                      <w:sz w:val="18"/>
                      <w:szCs w:val="18"/>
                      <w:lang w:val="en-US" w:eastAsia="zh-CN"/>
                    </w:rPr>
                    <w:t>根据《韶关博尔兹阀门工业有限公司年产35000吨铸件改扩建项目环境影响报告表》（2018年12月）项目五期计划四条生产线，一条树脂砂铸造生产线（产能：铸铁件4000t/a）、一条粘土砂（湿型/芯工艺）铸造生产线（产能：铸铁件2000t/a）、一条消失模铸造工艺（泡沫法）生产线（产能：铸钢件2000t/a）和一条消失模铸造工艺（失蜡法）（产能：铸钢件2000t/a），鉴于当前宏观经济形势变化及企业内部发展战略调整，</w:t>
                  </w:r>
                  <w:r>
                    <w:rPr>
                      <w:rFonts w:hint="default" w:ascii="Times New Roman" w:hAnsi="Times New Roman" w:cs="Times New Roman"/>
                      <w:color w:val="auto"/>
                      <w:sz w:val="18"/>
                      <w:szCs w:val="18"/>
                      <w:highlight w:val="none"/>
                    </w:rPr>
                    <w:t>韶关博尔兹阀门工业有限公司</w:t>
                  </w:r>
                  <w:r>
                    <w:rPr>
                      <w:rFonts w:hint="default" w:ascii="Times New Roman" w:hAnsi="Times New Roman" w:cs="Times New Roman"/>
                      <w:color w:val="auto"/>
                      <w:sz w:val="18"/>
                      <w:szCs w:val="18"/>
                      <w:highlight w:val="none"/>
                      <w:lang w:val="en-US" w:eastAsia="zh-CN"/>
                    </w:rPr>
                    <w:t>将</w:t>
                  </w:r>
                  <w:r>
                    <w:rPr>
                      <w:rFonts w:hint="default" w:ascii="Times New Roman" w:hAnsi="Times New Roman" w:cs="Times New Roman"/>
                      <w:b w:val="0"/>
                      <w:bCs w:val="0"/>
                      <w:color w:val="auto"/>
                      <w:sz w:val="18"/>
                      <w:szCs w:val="18"/>
                      <w:lang w:val="en-US" w:eastAsia="zh-CN"/>
                    </w:rPr>
                    <w:t>取消原计划中的五期树脂砂铸造生产线（产能：铸铁件4000t/a）的工程建设内容，即减少产能铸铁件4000t/a，后续将不再进行相关项目的建设与投产，其余的一条粘土砂（湿型/芯工艺）铸造生产线（产能：铸铁件2000t/a）、一条消失模铸造工艺（泡沫法）生产线（产能：铸钢件2000t/a）和一条消失模铸造工艺（失蜡法）（产能：铸钢件2000t/a）将后续建设。</w:t>
                  </w:r>
                </w:p>
              </w:tc>
            </w:tr>
          </w:tbl>
          <w:p w14:paraId="15983826">
            <w:pPr>
              <w:adjustRightInd w:val="0"/>
              <w:snapToGrid w:val="0"/>
              <w:jc w:val="center"/>
              <w:rPr>
                <w:rFonts w:hint="default" w:ascii="Times New Roman" w:hAnsi="Times New Roman" w:cs="Times New Roman"/>
                <w:b/>
                <w:color w:val="auto"/>
                <w:sz w:val="24"/>
                <w:highlight w:val="none"/>
              </w:rPr>
            </w:pPr>
          </w:p>
          <w:p w14:paraId="492410ED">
            <w:pPr>
              <w:jc w:val="center"/>
              <w:rPr>
                <w:rFonts w:hint="default" w:ascii="Times New Roman" w:hAnsi="Times New Roman" w:cs="Times New Roman"/>
                <w:b/>
                <w:color w:val="auto"/>
                <w:sz w:val="24"/>
                <w:highlight w:val="none"/>
                <w:lang w:val="en-US" w:eastAsia="zh-CN"/>
              </w:rPr>
            </w:pPr>
            <w:r>
              <w:rPr>
                <w:rFonts w:hint="default" w:ascii="Times New Roman" w:hAnsi="Times New Roman" w:cs="Times New Roman"/>
                <w:b/>
                <w:color w:val="auto"/>
                <w:sz w:val="24"/>
                <w:highlight w:val="none"/>
                <w:lang w:val="en-US" w:eastAsia="zh-CN"/>
              </w:rPr>
              <w:t>表2-4 全厂</w:t>
            </w:r>
            <w:r>
              <w:rPr>
                <w:rFonts w:hint="default" w:ascii="Times New Roman" w:hAnsi="Times New Roman" w:cs="Times New Roman"/>
                <w:b/>
                <w:color w:val="auto"/>
                <w:sz w:val="24"/>
                <w:highlight w:val="none"/>
              </w:rPr>
              <w:t>产品及产能</w:t>
            </w:r>
            <w:r>
              <w:rPr>
                <w:rFonts w:hint="default" w:ascii="Times New Roman" w:hAnsi="Times New Roman" w:cs="Times New Roman"/>
                <w:b/>
                <w:color w:val="auto"/>
                <w:sz w:val="24"/>
                <w:highlight w:val="none"/>
                <w:lang w:val="en-US" w:eastAsia="zh-CN"/>
              </w:rPr>
              <w:t>情况一览表</w:t>
            </w:r>
          </w:p>
          <w:tbl>
            <w:tblPr>
              <w:tblStyle w:val="26"/>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166"/>
              <w:gridCol w:w="2400"/>
              <w:gridCol w:w="1635"/>
              <w:gridCol w:w="930"/>
              <w:gridCol w:w="1808"/>
            </w:tblGrid>
            <w:tr w14:paraId="33DA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444" w:type="dxa"/>
                  <w:vAlign w:val="center"/>
                </w:tcPr>
                <w:p w14:paraId="1615259D">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1166" w:type="dxa"/>
                  <w:vAlign w:val="center"/>
                </w:tcPr>
                <w:p w14:paraId="23E63494">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生产车间</w:t>
                  </w:r>
                </w:p>
              </w:tc>
              <w:tc>
                <w:tcPr>
                  <w:tcW w:w="2400" w:type="dxa"/>
                  <w:vAlign w:val="center"/>
                </w:tcPr>
                <w:p w14:paraId="6D68561E">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产品名称</w:t>
                  </w:r>
                </w:p>
              </w:tc>
              <w:tc>
                <w:tcPr>
                  <w:tcW w:w="1635" w:type="dxa"/>
                  <w:vAlign w:val="center"/>
                </w:tcPr>
                <w:p w14:paraId="170FBB0E">
                  <w:pPr>
                    <w:adjustRightInd w:val="0"/>
                    <w:snapToGrid w:val="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产能</w:t>
                  </w:r>
                </w:p>
              </w:tc>
              <w:tc>
                <w:tcPr>
                  <w:tcW w:w="930" w:type="dxa"/>
                  <w:vAlign w:val="center"/>
                </w:tcPr>
                <w:p w14:paraId="0CA3E86E">
                  <w:pPr>
                    <w:adjustRightInd w:val="0"/>
                    <w:snapToGrid w:val="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期数</w:t>
                  </w:r>
                </w:p>
              </w:tc>
              <w:tc>
                <w:tcPr>
                  <w:tcW w:w="1808" w:type="dxa"/>
                  <w:vAlign w:val="center"/>
                </w:tcPr>
                <w:p w14:paraId="3B30B058">
                  <w:pPr>
                    <w:adjustRightInd w:val="0"/>
                    <w:snapToGrid w:val="0"/>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备注</w:t>
                  </w:r>
                </w:p>
              </w:tc>
            </w:tr>
            <w:tr w14:paraId="5E49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44" w:type="dxa"/>
                  <w:vAlign w:val="center"/>
                </w:tcPr>
                <w:p w14:paraId="66383903">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166" w:type="dxa"/>
                  <w:vAlign w:val="center"/>
                </w:tcPr>
                <w:p w14:paraId="237844D1">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车间二</w:t>
                  </w:r>
                  <w:r>
                    <w:rPr>
                      <w:rFonts w:hint="default" w:ascii="Times New Roman" w:hAnsi="Times New Roman" w:cs="Times New Roman"/>
                      <w:bCs/>
                      <w:color w:val="auto"/>
                      <w:sz w:val="21"/>
                      <w:szCs w:val="21"/>
                      <w:highlight w:val="none"/>
                      <w:lang w:eastAsia="zh-CN"/>
                    </w:rPr>
                    <w:t>、</w:t>
                  </w:r>
                  <w:r>
                    <w:rPr>
                      <w:rFonts w:hint="default" w:ascii="Times New Roman" w:hAnsi="Times New Roman" w:cs="Times New Roman"/>
                      <w:bCs/>
                      <w:color w:val="auto"/>
                      <w:sz w:val="21"/>
                      <w:szCs w:val="21"/>
                      <w:highlight w:val="none"/>
                    </w:rPr>
                    <w:t>车间三</w:t>
                  </w:r>
                </w:p>
              </w:tc>
              <w:tc>
                <w:tcPr>
                  <w:tcW w:w="2400" w:type="dxa"/>
                  <w:vAlign w:val="center"/>
                </w:tcPr>
                <w:p w14:paraId="032D8D09">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阀门</w:t>
                  </w:r>
                </w:p>
              </w:tc>
              <w:tc>
                <w:tcPr>
                  <w:tcW w:w="1635" w:type="dxa"/>
                  <w:vAlign w:val="center"/>
                </w:tcPr>
                <w:p w14:paraId="5CD3156A">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5000件/a</w:t>
                  </w:r>
                </w:p>
              </w:tc>
              <w:tc>
                <w:tcPr>
                  <w:tcW w:w="930" w:type="dxa"/>
                  <w:vAlign w:val="center"/>
                </w:tcPr>
                <w:p w14:paraId="77D1F45F">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一期</w:t>
                  </w:r>
                </w:p>
              </w:tc>
              <w:tc>
                <w:tcPr>
                  <w:tcW w:w="1808" w:type="dxa"/>
                  <w:vAlign w:val="center"/>
                </w:tcPr>
                <w:p w14:paraId="6B9FC314">
                  <w:pPr>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已建</w:t>
                  </w:r>
                </w:p>
              </w:tc>
            </w:tr>
            <w:tr w14:paraId="6FA7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44" w:type="dxa"/>
                  <w:vAlign w:val="center"/>
                </w:tcPr>
                <w:p w14:paraId="7419BD76">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1166" w:type="dxa"/>
                  <w:vAlign w:val="center"/>
                </w:tcPr>
                <w:p w14:paraId="54AF246A">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车间四、车间</w:t>
                  </w:r>
                  <w:r>
                    <w:rPr>
                      <w:rFonts w:hint="default" w:ascii="Times New Roman" w:hAnsi="Times New Roman" w:cs="Times New Roman"/>
                      <w:bCs/>
                      <w:color w:val="auto"/>
                      <w:sz w:val="21"/>
                      <w:szCs w:val="21"/>
                      <w:highlight w:val="none"/>
                      <w:lang w:val="en-US" w:eastAsia="zh-CN"/>
                    </w:rPr>
                    <w:t>五</w:t>
                  </w:r>
                </w:p>
              </w:tc>
              <w:tc>
                <w:tcPr>
                  <w:tcW w:w="2400" w:type="dxa"/>
                  <w:vAlign w:val="center"/>
                </w:tcPr>
                <w:p w14:paraId="341A9B54">
                  <w:pPr>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铸铁件</w:t>
                  </w:r>
                </w:p>
              </w:tc>
              <w:tc>
                <w:tcPr>
                  <w:tcW w:w="1635" w:type="dxa"/>
                  <w:vAlign w:val="center"/>
                </w:tcPr>
                <w:p w14:paraId="45376278">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000t/a</w:t>
                  </w:r>
                </w:p>
              </w:tc>
              <w:tc>
                <w:tcPr>
                  <w:tcW w:w="930" w:type="dxa"/>
                  <w:vAlign w:val="center"/>
                </w:tcPr>
                <w:p w14:paraId="08143D77">
                  <w:pPr>
                    <w:widowControl/>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二期</w:t>
                  </w:r>
                </w:p>
              </w:tc>
              <w:tc>
                <w:tcPr>
                  <w:tcW w:w="1808" w:type="dxa"/>
                  <w:vMerge w:val="restart"/>
                  <w:vAlign w:val="center"/>
                </w:tcPr>
                <w:p w14:paraId="14E28AC7">
                  <w:pPr>
                    <w:widowControl/>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已建</w:t>
                  </w:r>
                </w:p>
              </w:tc>
            </w:tr>
            <w:tr w14:paraId="581B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44" w:type="dxa"/>
                  <w:vAlign w:val="center"/>
                </w:tcPr>
                <w:p w14:paraId="3F75461D">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3</w:t>
                  </w:r>
                </w:p>
              </w:tc>
              <w:tc>
                <w:tcPr>
                  <w:tcW w:w="1166" w:type="dxa"/>
                  <w:vMerge w:val="restart"/>
                  <w:vAlign w:val="center"/>
                </w:tcPr>
                <w:p w14:paraId="34B141C6">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lang w:val="en-US" w:eastAsia="zh-CN"/>
                    </w:rPr>
                    <w:t>车间一</w:t>
                  </w:r>
                </w:p>
              </w:tc>
              <w:tc>
                <w:tcPr>
                  <w:tcW w:w="2400" w:type="dxa"/>
                  <w:vAlign w:val="center"/>
                </w:tcPr>
                <w:p w14:paraId="2BA85437">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铸铁件</w:t>
                  </w:r>
                </w:p>
              </w:tc>
              <w:tc>
                <w:tcPr>
                  <w:tcW w:w="1635" w:type="dxa"/>
                  <w:vAlign w:val="center"/>
                </w:tcPr>
                <w:p w14:paraId="2AE7E029">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000t/a</w:t>
                  </w:r>
                </w:p>
              </w:tc>
              <w:tc>
                <w:tcPr>
                  <w:tcW w:w="930" w:type="dxa"/>
                  <w:vMerge w:val="restart"/>
                  <w:vAlign w:val="center"/>
                </w:tcPr>
                <w:p w14:paraId="793515FE">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三期</w:t>
                  </w:r>
                </w:p>
              </w:tc>
              <w:tc>
                <w:tcPr>
                  <w:tcW w:w="1808" w:type="dxa"/>
                  <w:vMerge w:val="continue"/>
                  <w:vAlign w:val="center"/>
                </w:tcPr>
                <w:p w14:paraId="62F70DA2">
                  <w:pPr>
                    <w:adjustRightInd w:val="0"/>
                    <w:snapToGrid w:val="0"/>
                    <w:jc w:val="center"/>
                    <w:rPr>
                      <w:rFonts w:hint="default" w:ascii="Times New Roman" w:hAnsi="Times New Roman" w:cs="Times New Roman"/>
                      <w:color w:val="auto"/>
                      <w:sz w:val="21"/>
                      <w:szCs w:val="21"/>
                      <w:highlight w:val="none"/>
                      <w:lang w:val="en-US" w:eastAsia="zh-CN"/>
                    </w:rPr>
                  </w:pPr>
                </w:p>
              </w:tc>
            </w:tr>
            <w:tr w14:paraId="0425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44" w:type="dxa"/>
                  <w:vAlign w:val="center"/>
                </w:tcPr>
                <w:p w14:paraId="4E481164">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lang w:val="en-US" w:eastAsia="zh-CN"/>
                    </w:rPr>
                    <w:t>4</w:t>
                  </w:r>
                </w:p>
              </w:tc>
              <w:tc>
                <w:tcPr>
                  <w:tcW w:w="1166" w:type="dxa"/>
                  <w:vMerge w:val="continue"/>
                  <w:vAlign w:val="center"/>
                </w:tcPr>
                <w:p w14:paraId="76B0CCC0">
                  <w:pPr>
                    <w:jc w:val="center"/>
                    <w:rPr>
                      <w:rFonts w:hint="default" w:ascii="Times New Roman" w:hAnsi="Times New Roman" w:cs="Times New Roman"/>
                      <w:bCs/>
                      <w:color w:val="auto"/>
                      <w:sz w:val="21"/>
                      <w:szCs w:val="21"/>
                      <w:highlight w:val="none"/>
                    </w:rPr>
                  </w:pPr>
                </w:p>
              </w:tc>
              <w:tc>
                <w:tcPr>
                  <w:tcW w:w="2400" w:type="dxa"/>
                  <w:vAlign w:val="center"/>
                </w:tcPr>
                <w:p w14:paraId="10B90237">
                  <w:pPr>
                    <w:widowControl/>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铸钢件</w:t>
                  </w:r>
                </w:p>
              </w:tc>
              <w:tc>
                <w:tcPr>
                  <w:tcW w:w="1635" w:type="dxa"/>
                  <w:vAlign w:val="center"/>
                </w:tcPr>
                <w:p w14:paraId="55B2293D">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4000t/a</w:t>
                  </w:r>
                </w:p>
              </w:tc>
              <w:tc>
                <w:tcPr>
                  <w:tcW w:w="930" w:type="dxa"/>
                  <w:vMerge w:val="continue"/>
                  <w:vAlign w:val="center"/>
                </w:tcPr>
                <w:p w14:paraId="21125D5A">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1808" w:type="dxa"/>
                  <w:vMerge w:val="continue"/>
                  <w:vAlign w:val="center"/>
                </w:tcPr>
                <w:p w14:paraId="02E35E67">
                  <w:pPr>
                    <w:adjustRightInd w:val="0"/>
                    <w:snapToGrid w:val="0"/>
                    <w:jc w:val="center"/>
                    <w:rPr>
                      <w:rFonts w:hint="default" w:ascii="Times New Roman" w:hAnsi="Times New Roman" w:eastAsia="宋体" w:cs="Times New Roman"/>
                      <w:color w:val="auto"/>
                      <w:sz w:val="21"/>
                      <w:szCs w:val="21"/>
                      <w:highlight w:val="none"/>
                      <w:lang w:val="en-US" w:eastAsia="zh-CN"/>
                    </w:rPr>
                  </w:pPr>
                </w:p>
              </w:tc>
            </w:tr>
            <w:tr w14:paraId="48EE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44" w:type="dxa"/>
                  <w:vAlign w:val="center"/>
                </w:tcPr>
                <w:p w14:paraId="38130A13">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5</w:t>
                  </w:r>
                </w:p>
              </w:tc>
              <w:tc>
                <w:tcPr>
                  <w:tcW w:w="1166" w:type="dxa"/>
                  <w:vMerge w:val="restart"/>
                  <w:vAlign w:val="center"/>
                </w:tcPr>
                <w:p w14:paraId="631AB4A9">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color w:val="auto"/>
                      <w:sz w:val="21"/>
                      <w:szCs w:val="21"/>
                    </w:rPr>
                    <w:t>车间</w:t>
                  </w:r>
                  <w:r>
                    <w:rPr>
                      <w:rFonts w:hint="default" w:ascii="Times New Roman" w:hAnsi="Times New Roman" w:cs="Times New Roman"/>
                      <w:color w:val="auto"/>
                      <w:sz w:val="21"/>
                      <w:szCs w:val="21"/>
                      <w:lang w:val="en-US" w:eastAsia="zh-CN"/>
                    </w:rPr>
                    <w:t>八</w:t>
                  </w:r>
                </w:p>
              </w:tc>
              <w:tc>
                <w:tcPr>
                  <w:tcW w:w="2400" w:type="dxa"/>
                  <w:vAlign w:val="center"/>
                </w:tcPr>
                <w:p w14:paraId="1B8003F5">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铸钢件</w:t>
                  </w:r>
                </w:p>
              </w:tc>
              <w:tc>
                <w:tcPr>
                  <w:tcW w:w="1635" w:type="dxa"/>
                  <w:vAlign w:val="center"/>
                </w:tcPr>
                <w:p w14:paraId="0A949A28">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4000t/a</w:t>
                  </w:r>
                </w:p>
              </w:tc>
              <w:tc>
                <w:tcPr>
                  <w:tcW w:w="930" w:type="dxa"/>
                  <w:vMerge w:val="restart"/>
                  <w:vAlign w:val="center"/>
                </w:tcPr>
                <w:p w14:paraId="4C22EAFB">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四期</w:t>
                  </w:r>
                </w:p>
              </w:tc>
              <w:tc>
                <w:tcPr>
                  <w:tcW w:w="1808" w:type="dxa"/>
                  <w:vMerge w:val="restart"/>
                  <w:vAlign w:val="center"/>
                </w:tcPr>
                <w:p w14:paraId="0053B1B9">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未建</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预计2028年开始建设</w:t>
                  </w:r>
                </w:p>
              </w:tc>
            </w:tr>
            <w:tr w14:paraId="34DD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444" w:type="dxa"/>
                  <w:vAlign w:val="center"/>
                </w:tcPr>
                <w:p w14:paraId="515ED9FD">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6</w:t>
                  </w:r>
                </w:p>
              </w:tc>
              <w:tc>
                <w:tcPr>
                  <w:tcW w:w="1166" w:type="dxa"/>
                  <w:vMerge w:val="continue"/>
                  <w:vAlign w:val="center"/>
                </w:tcPr>
                <w:p w14:paraId="3438AC76">
                  <w:pPr>
                    <w:jc w:val="center"/>
                    <w:rPr>
                      <w:rFonts w:hint="default" w:ascii="Times New Roman" w:hAnsi="Times New Roman" w:cs="Times New Roman"/>
                      <w:bCs/>
                      <w:color w:val="auto"/>
                      <w:sz w:val="21"/>
                      <w:szCs w:val="21"/>
                      <w:highlight w:val="none"/>
                    </w:rPr>
                  </w:pPr>
                </w:p>
              </w:tc>
              <w:tc>
                <w:tcPr>
                  <w:tcW w:w="2400" w:type="dxa"/>
                  <w:vAlign w:val="center"/>
                </w:tcPr>
                <w:p w14:paraId="741EAF90">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铸铁件</w:t>
                  </w:r>
                </w:p>
              </w:tc>
              <w:tc>
                <w:tcPr>
                  <w:tcW w:w="1635" w:type="dxa"/>
                  <w:vAlign w:val="center"/>
                </w:tcPr>
                <w:p w14:paraId="3939E789">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6000t/a</w:t>
                  </w:r>
                </w:p>
              </w:tc>
              <w:tc>
                <w:tcPr>
                  <w:tcW w:w="930" w:type="dxa"/>
                  <w:vMerge w:val="continue"/>
                  <w:vAlign w:val="center"/>
                </w:tcPr>
                <w:p w14:paraId="77718D4D">
                  <w:pPr>
                    <w:widowControl/>
                    <w:jc w:val="center"/>
                    <w:rPr>
                      <w:rFonts w:hint="default" w:ascii="Times New Roman" w:hAnsi="Times New Roman" w:cs="Times New Roman"/>
                      <w:color w:val="auto"/>
                      <w:sz w:val="21"/>
                      <w:szCs w:val="21"/>
                    </w:rPr>
                  </w:pPr>
                </w:p>
              </w:tc>
              <w:tc>
                <w:tcPr>
                  <w:tcW w:w="1808" w:type="dxa"/>
                  <w:vMerge w:val="continue"/>
                  <w:vAlign w:val="center"/>
                </w:tcPr>
                <w:p w14:paraId="31FCF7CD">
                  <w:pPr>
                    <w:widowControl/>
                    <w:jc w:val="center"/>
                    <w:rPr>
                      <w:rFonts w:hint="default" w:ascii="Times New Roman" w:hAnsi="Times New Roman" w:cs="Times New Roman"/>
                      <w:color w:val="auto"/>
                      <w:sz w:val="21"/>
                      <w:szCs w:val="21"/>
                    </w:rPr>
                  </w:pPr>
                </w:p>
              </w:tc>
            </w:tr>
            <w:tr w14:paraId="0A90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44" w:type="dxa"/>
                  <w:vAlign w:val="center"/>
                </w:tcPr>
                <w:p w14:paraId="2F34FF24">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7</w:t>
                  </w:r>
                </w:p>
              </w:tc>
              <w:tc>
                <w:tcPr>
                  <w:tcW w:w="1166" w:type="dxa"/>
                  <w:vMerge w:val="restart"/>
                  <w:vAlign w:val="center"/>
                </w:tcPr>
                <w:p w14:paraId="04589804">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color w:val="auto"/>
                      <w:sz w:val="21"/>
                      <w:szCs w:val="21"/>
                    </w:rPr>
                    <w:t>车间</w:t>
                  </w:r>
                  <w:r>
                    <w:rPr>
                      <w:rFonts w:hint="default" w:ascii="Times New Roman" w:hAnsi="Times New Roman" w:cs="Times New Roman"/>
                      <w:color w:val="auto"/>
                      <w:sz w:val="21"/>
                      <w:szCs w:val="21"/>
                      <w:lang w:val="en-US" w:eastAsia="zh-CN"/>
                    </w:rPr>
                    <w:t>九</w:t>
                  </w:r>
                </w:p>
              </w:tc>
              <w:tc>
                <w:tcPr>
                  <w:tcW w:w="2400" w:type="dxa"/>
                  <w:vAlign w:val="center"/>
                </w:tcPr>
                <w:p w14:paraId="7641F53A">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铸钢件</w:t>
                  </w:r>
                </w:p>
              </w:tc>
              <w:tc>
                <w:tcPr>
                  <w:tcW w:w="1635" w:type="dxa"/>
                  <w:vAlign w:val="center"/>
                </w:tcPr>
                <w:p w14:paraId="086C88C3">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4000t/a</w:t>
                  </w:r>
                </w:p>
              </w:tc>
              <w:tc>
                <w:tcPr>
                  <w:tcW w:w="930" w:type="dxa"/>
                  <w:vMerge w:val="restart"/>
                  <w:vAlign w:val="center"/>
                </w:tcPr>
                <w:p w14:paraId="19580715">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五期</w:t>
                  </w:r>
                </w:p>
              </w:tc>
              <w:tc>
                <w:tcPr>
                  <w:tcW w:w="1808" w:type="dxa"/>
                  <w:vMerge w:val="restart"/>
                  <w:vAlign w:val="center"/>
                </w:tcPr>
                <w:p w14:paraId="43A332AB">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未建</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预计2030年开始建设</w:t>
                  </w:r>
                </w:p>
              </w:tc>
            </w:tr>
            <w:tr w14:paraId="222D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44" w:type="dxa"/>
                  <w:vAlign w:val="center"/>
                </w:tcPr>
                <w:p w14:paraId="426F4C1D">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8</w:t>
                  </w:r>
                </w:p>
              </w:tc>
              <w:tc>
                <w:tcPr>
                  <w:tcW w:w="1166" w:type="dxa"/>
                  <w:vMerge w:val="continue"/>
                  <w:vAlign w:val="center"/>
                </w:tcPr>
                <w:p w14:paraId="183BA471">
                  <w:pPr>
                    <w:jc w:val="center"/>
                    <w:rPr>
                      <w:rFonts w:hint="default" w:ascii="Times New Roman" w:hAnsi="Times New Roman" w:cs="Times New Roman"/>
                      <w:bCs/>
                      <w:color w:val="auto"/>
                      <w:sz w:val="21"/>
                      <w:szCs w:val="21"/>
                      <w:highlight w:val="none"/>
                    </w:rPr>
                  </w:pPr>
                </w:p>
              </w:tc>
              <w:tc>
                <w:tcPr>
                  <w:tcW w:w="2400" w:type="dxa"/>
                  <w:vAlign w:val="center"/>
                </w:tcPr>
                <w:p w14:paraId="57172749">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铸铁件</w:t>
                  </w:r>
                </w:p>
              </w:tc>
              <w:tc>
                <w:tcPr>
                  <w:tcW w:w="1635" w:type="dxa"/>
                  <w:vAlign w:val="center"/>
                </w:tcPr>
                <w:p w14:paraId="42CAC8AE">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000t/a</w:t>
                  </w:r>
                </w:p>
              </w:tc>
              <w:tc>
                <w:tcPr>
                  <w:tcW w:w="930" w:type="dxa"/>
                  <w:vMerge w:val="continue"/>
                  <w:vAlign w:val="center"/>
                </w:tcPr>
                <w:p w14:paraId="1489496C">
                  <w:pPr>
                    <w:widowControl/>
                    <w:jc w:val="center"/>
                    <w:rPr>
                      <w:rFonts w:hint="default" w:ascii="Times New Roman" w:hAnsi="Times New Roman" w:cs="Times New Roman"/>
                      <w:color w:val="auto"/>
                      <w:sz w:val="21"/>
                      <w:szCs w:val="21"/>
                    </w:rPr>
                  </w:pPr>
                </w:p>
              </w:tc>
              <w:tc>
                <w:tcPr>
                  <w:tcW w:w="1808" w:type="dxa"/>
                  <w:vMerge w:val="continue"/>
                  <w:vAlign w:val="center"/>
                </w:tcPr>
                <w:p w14:paraId="00895698">
                  <w:pPr>
                    <w:widowControl/>
                    <w:jc w:val="center"/>
                    <w:rPr>
                      <w:rFonts w:hint="default" w:ascii="Times New Roman" w:hAnsi="Times New Roman" w:cs="Times New Roman"/>
                      <w:color w:val="auto"/>
                      <w:sz w:val="21"/>
                      <w:szCs w:val="21"/>
                    </w:rPr>
                  </w:pPr>
                </w:p>
              </w:tc>
            </w:tr>
            <w:tr w14:paraId="3DEA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44" w:type="dxa"/>
                  <w:vAlign w:val="center"/>
                </w:tcPr>
                <w:p w14:paraId="3B586D78">
                  <w:pPr>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9</w:t>
                  </w:r>
                </w:p>
              </w:tc>
              <w:tc>
                <w:tcPr>
                  <w:tcW w:w="1166" w:type="dxa"/>
                  <w:vAlign w:val="center"/>
                </w:tcPr>
                <w:p w14:paraId="1DF54568">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车间三</w:t>
                  </w:r>
                </w:p>
              </w:tc>
              <w:tc>
                <w:tcPr>
                  <w:tcW w:w="4035" w:type="dxa"/>
                  <w:gridSpan w:val="2"/>
                  <w:vAlign w:val="center"/>
                </w:tcPr>
                <w:p w14:paraId="609F1189">
                  <w:pPr>
                    <w:widowControl/>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对二期、三期的铸铁件、铸碳钢件进行喷粉/喷漆，其中</w:t>
                  </w:r>
                  <w:r>
                    <w:rPr>
                      <w:rFonts w:hint="default" w:ascii="Times New Roman" w:hAnsi="Times New Roman" w:cs="Times New Roman"/>
                      <w:color w:val="auto"/>
                      <w:sz w:val="21"/>
                      <w:szCs w:val="21"/>
                      <w:highlight w:val="none"/>
                    </w:rPr>
                    <w:t>3300t/a的铸铁件喷粉</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7700t/a的铸铁件喷漆</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600t/a的铸碳钢件喷粉</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1400t/a的铸碳钢件喷</w:t>
                  </w:r>
                  <w:r>
                    <w:rPr>
                      <w:rFonts w:hint="default" w:ascii="Times New Roman" w:hAnsi="Times New Roman" w:cs="Times New Roman"/>
                      <w:color w:val="auto"/>
                      <w:sz w:val="21"/>
                      <w:szCs w:val="21"/>
                      <w:highlight w:val="none"/>
                      <w:lang w:val="en-US" w:eastAsia="zh-CN"/>
                    </w:rPr>
                    <w:t>漆，不增加</w:t>
                  </w:r>
                  <w:r>
                    <w:rPr>
                      <w:rFonts w:hint="default" w:ascii="Times New Roman" w:hAnsi="Times New Roman" w:cs="Times New Roman"/>
                      <w:color w:val="auto"/>
                      <w:sz w:val="21"/>
                      <w:szCs w:val="21"/>
                      <w:lang w:val="en-US" w:eastAsia="zh-CN"/>
                    </w:rPr>
                    <w:t>二期、三期的</w:t>
                  </w:r>
                  <w:r>
                    <w:rPr>
                      <w:rFonts w:hint="default" w:ascii="Times New Roman" w:hAnsi="Times New Roman" w:cs="Times New Roman"/>
                      <w:color w:val="auto"/>
                      <w:sz w:val="21"/>
                      <w:szCs w:val="21"/>
                      <w:highlight w:val="none"/>
                      <w:lang w:val="en-US" w:eastAsia="zh-CN"/>
                    </w:rPr>
                    <w:t>产能</w:t>
                  </w:r>
                </w:p>
              </w:tc>
              <w:tc>
                <w:tcPr>
                  <w:tcW w:w="930" w:type="dxa"/>
                  <w:vAlign w:val="center"/>
                </w:tcPr>
                <w:p w14:paraId="5D26CB7A">
                  <w:pPr>
                    <w:widowControl/>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六期</w:t>
                  </w:r>
                </w:p>
              </w:tc>
              <w:tc>
                <w:tcPr>
                  <w:tcW w:w="1808" w:type="dxa"/>
                  <w:vAlign w:val="center"/>
                </w:tcPr>
                <w:p w14:paraId="3BC16E55">
                  <w:pPr>
                    <w:widowControl/>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未建，预计批复后开始建设</w:t>
                  </w:r>
                </w:p>
              </w:tc>
            </w:tr>
          </w:tbl>
          <w:p w14:paraId="66E37D5D">
            <w:pPr>
              <w:pStyle w:val="2"/>
              <w:rPr>
                <w:rFonts w:hint="default" w:ascii="Times New Roman" w:hAnsi="Times New Roman" w:cs="Times New Roman"/>
                <w:lang w:val="en-US" w:eastAsia="zh-CN"/>
              </w:rPr>
            </w:pPr>
          </w:p>
          <w:p w14:paraId="47987781">
            <w:pPr>
              <w:pStyle w:val="2"/>
              <w:rPr>
                <w:rFonts w:hint="default" w:ascii="Times New Roman" w:hAnsi="Times New Roman" w:cs="Times New Roman"/>
              </w:rPr>
            </w:pPr>
          </w:p>
          <w:p w14:paraId="6DE09B89">
            <w:pPr>
              <w:ind w:firstLine="482" w:firstLineChars="200"/>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5、主要设备清单</w:t>
            </w:r>
          </w:p>
          <w:p w14:paraId="5CBBD28D">
            <w:pPr>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表2-</w:t>
            </w:r>
            <w:r>
              <w:rPr>
                <w:rFonts w:hint="default" w:ascii="Times New Roman" w:hAnsi="Times New Roman" w:cs="Times New Roman"/>
                <w:b/>
                <w:color w:val="auto"/>
                <w:sz w:val="24"/>
                <w:highlight w:val="none"/>
                <w:lang w:val="en-US" w:eastAsia="zh-CN"/>
              </w:rPr>
              <w:t>5</w:t>
            </w:r>
            <w:r>
              <w:rPr>
                <w:rFonts w:hint="default" w:ascii="Times New Roman" w:hAnsi="Times New Roman" w:cs="Times New Roman"/>
                <w:b/>
                <w:color w:val="auto"/>
                <w:sz w:val="24"/>
                <w:highlight w:val="none"/>
              </w:rPr>
              <w:t xml:space="preserve"> 主要生产设备清单</w:t>
            </w:r>
          </w:p>
          <w:tbl>
            <w:tblPr>
              <w:tblStyle w:val="27"/>
              <w:tblW w:w="8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691"/>
              <w:gridCol w:w="2640"/>
              <w:gridCol w:w="888"/>
              <w:gridCol w:w="900"/>
              <w:gridCol w:w="917"/>
              <w:gridCol w:w="759"/>
            </w:tblGrid>
            <w:tr w14:paraId="03B7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488" w:type="dxa"/>
                  <w:vMerge w:val="restart"/>
                  <w:vAlign w:val="center"/>
                </w:tcPr>
                <w:p w14:paraId="2C8947C3">
                  <w:pPr>
                    <w:pStyle w:val="42"/>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1691" w:type="dxa"/>
                  <w:vMerge w:val="restart"/>
                  <w:vAlign w:val="center"/>
                </w:tcPr>
                <w:p w14:paraId="2992C3D5">
                  <w:pPr>
                    <w:pStyle w:val="42"/>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设备名称</w:t>
                  </w:r>
                </w:p>
              </w:tc>
              <w:tc>
                <w:tcPr>
                  <w:tcW w:w="2640" w:type="dxa"/>
                  <w:vMerge w:val="restart"/>
                  <w:vAlign w:val="center"/>
                </w:tcPr>
                <w:p w14:paraId="7E6F7A7F">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规格参数、材质</w:t>
                  </w:r>
                </w:p>
              </w:tc>
              <w:tc>
                <w:tcPr>
                  <w:tcW w:w="888" w:type="dxa"/>
                  <w:vAlign w:val="center"/>
                </w:tcPr>
                <w:p w14:paraId="15BB5C37">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原项目情况</w:t>
                  </w:r>
                </w:p>
              </w:tc>
              <w:tc>
                <w:tcPr>
                  <w:tcW w:w="900" w:type="dxa"/>
                  <w:vAlign w:val="center"/>
                </w:tcPr>
                <w:p w14:paraId="4FCD6A0B">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本项目情况</w:t>
                  </w:r>
                </w:p>
              </w:tc>
              <w:tc>
                <w:tcPr>
                  <w:tcW w:w="917" w:type="dxa"/>
                  <w:vAlign w:val="center"/>
                </w:tcPr>
                <w:p w14:paraId="166A0D74">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总体项目情况</w:t>
                  </w:r>
                </w:p>
              </w:tc>
              <w:tc>
                <w:tcPr>
                  <w:tcW w:w="759" w:type="dxa"/>
                  <w:vMerge w:val="restart"/>
                  <w:vAlign w:val="center"/>
                </w:tcPr>
                <w:p w14:paraId="7D92CC5D">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增减量</w:t>
                  </w:r>
                </w:p>
              </w:tc>
            </w:tr>
            <w:tr w14:paraId="6949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8" w:type="dxa"/>
                  <w:vMerge w:val="continue"/>
                  <w:vAlign w:val="center"/>
                </w:tcPr>
                <w:p w14:paraId="22450436">
                  <w:pPr>
                    <w:pStyle w:val="42"/>
                    <w:jc w:val="center"/>
                    <w:rPr>
                      <w:rFonts w:hint="default" w:ascii="Times New Roman" w:hAnsi="Times New Roman" w:cs="Times New Roman"/>
                      <w:b/>
                      <w:color w:val="auto"/>
                      <w:sz w:val="21"/>
                      <w:szCs w:val="21"/>
                      <w:highlight w:val="none"/>
                    </w:rPr>
                  </w:pPr>
                </w:p>
              </w:tc>
              <w:tc>
                <w:tcPr>
                  <w:tcW w:w="1691" w:type="dxa"/>
                  <w:vMerge w:val="continue"/>
                  <w:vAlign w:val="center"/>
                </w:tcPr>
                <w:p w14:paraId="4CBF4E9A">
                  <w:pPr>
                    <w:pStyle w:val="42"/>
                    <w:jc w:val="center"/>
                    <w:rPr>
                      <w:rFonts w:hint="default" w:ascii="Times New Roman" w:hAnsi="Times New Roman" w:cs="Times New Roman"/>
                      <w:b/>
                      <w:color w:val="auto"/>
                      <w:sz w:val="21"/>
                      <w:szCs w:val="21"/>
                      <w:highlight w:val="none"/>
                    </w:rPr>
                  </w:pPr>
                </w:p>
              </w:tc>
              <w:tc>
                <w:tcPr>
                  <w:tcW w:w="2640" w:type="dxa"/>
                  <w:vMerge w:val="continue"/>
                  <w:vAlign w:val="center"/>
                </w:tcPr>
                <w:p w14:paraId="6237529E">
                  <w:pPr>
                    <w:adjustRightInd w:val="0"/>
                    <w:snapToGrid w:val="0"/>
                    <w:jc w:val="center"/>
                    <w:rPr>
                      <w:rFonts w:hint="default" w:ascii="Times New Roman" w:hAnsi="Times New Roman" w:cs="Times New Roman"/>
                      <w:b/>
                      <w:color w:val="auto"/>
                      <w:szCs w:val="21"/>
                      <w:highlight w:val="none"/>
                    </w:rPr>
                  </w:pPr>
                </w:p>
              </w:tc>
              <w:tc>
                <w:tcPr>
                  <w:tcW w:w="888" w:type="dxa"/>
                  <w:vAlign w:val="center"/>
                </w:tcPr>
                <w:p w14:paraId="7F696E15">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数量</w:t>
                  </w:r>
                </w:p>
              </w:tc>
              <w:tc>
                <w:tcPr>
                  <w:tcW w:w="900" w:type="dxa"/>
                  <w:vAlign w:val="center"/>
                </w:tcPr>
                <w:p w14:paraId="0AB1110C">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数量</w:t>
                  </w:r>
                </w:p>
              </w:tc>
              <w:tc>
                <w:tcPr>
                  <w:tcW w:w="917" w:type="dxa"/>
                  <w:vAlign w:val="center"/>
                </w:tcPr>
                <w:p w14:paraId="45E79EC0">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数量</w:t>
                  </w:r>
                </w:p>
              </w:tc>
              <w:tc>
                <w:tcPr>
                  <w:tcW w:w="759" w:type="dxa"/>
                  <w:vMerge w:val="continue"/>
                  <w:vAlign w:val="center"/>
                </w:tcPr>
                <w:p w14:paraId="61C1F7BA">
                  <w:pPr>
                    <w:adjustRightInd w:val="0"/>
                    <w:snapToGrid w:val="0"/>
                    <w:jc w:val="center"/>
                    <w:rPr>
                      <w:rFonts w:hint="default" w:ascii="Times New Roman" w:hAnsi="Times New Roman" w:cs="Times New Roman"/>
                      <w:b/>
                      <w:color w:val="auto"/>
                      <w:szCs w:val="21"/>
                      <w:highlight w:val="none"/>
                    </w:rPr>
                  </w:pPr>
                </w:p>
              </w:tc>
            </w:tr>
            <w:tr w14:paraId="67CD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8283" w:type="dxa"/>
                  <w:gridSpan w:val="7"/>
                  <w:vAlign w:val="center"/>
                </w:tcPr>
                <w:p w14:paraId="79FFF4B9">
                  <w:pPr>
                    <w:adjustRightInd w:val="0"/>
                    <w:snapToGrid w:val="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b/>
                      <w:bCs/>
                      <w:color w:val="auto"/>
                      <w:kern w:val="0"/>
                      <w:szCs w:val="21"/>
                      <w:highlight w:val="none"/>
                      <w:lang w:val="en-US" w:eastAsia="zh-CN"/>
                    </w:rPr>
                    <w:t>一期设备情况</w:t>
                  </w:r>
                </w:p>
              </w:tc>
            </w:tr>
            <w:tr w14:paraId="0F63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88" w:type="dxa"/>
                  <w:vAlign w:val="center"/>
                </w:tcPr>
                <w:p w14:paraId="3AA820BD">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w:t>
                  </w:r>
                </w:p>
              </w:tc>
              <w:tc>
                <w:tcPr>
                  <w:tcW w:w="1691" w:type="dxa"/>
                  <w:vAlign w:val="center"/>
                </w:tcPr>
                <w:p w14:paraId="50A44791">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中频炉</w:t>
                  </w:r>
                </w:p>
              </w:tc>
              <w:tc>
                <w:tcPr>
                  <w:tcW w:w="2640" w:type="dxa"/>
                  <w:vAlign w:val="center"/>
                </w:tcPr>
                <w:p w14:paraId="09BD1074">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0.2</w:t>
                  </w:r>
                  <w:r>
                    <w:rPr>
                      <w:rFonts w:hint="default" w:ascii="Times New Roman" w:hAnsi="Times New Roman" w:cs="Times New Roman"/>
                      <w:color w:val="auto"/>
                      <w:highlight w:val="none"/>
                    </w:rPr>
                    <w:t>t/h</w:t>
                  </w:r>
                </w:p>
              </w:tc>
              <w:tc>
                <w:tcPr>
                  <w:tcW w:w="888" w:type="dxa"/>
                  <w:vAlign w:val="center"/>
                </w:tcPr>
                <w:p w14:paraId="5849CAAB">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1台</w:t>
                  </w:r>
                </w:p>
              </w:tc>
              <w:tc>
                <w:tcPr>
                  <w:tcW w:w="900" w:type="dxa"/>
                  <w:vAlign w:val="center"/>
                </w:tcPr>
                <w:p w14:paraId="675B90C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429116A1">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c>
                <w:tcPr>
                  <w:tcW w:w="759" w:type="dxa"/>
                  <w:vAlign w:val="center"/>
                </w:tcPr>
                <w:p w14:paraId="5B091D9C">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3FB3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88" w:type="dxa"/>
                  <w:vAlign w:val="center"/>
                </w:tcPr>
                <w:p w14:paraId="65FF311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w:t>
                  </w:r>
                </w:p>
              </w:tc>
              <w:tc>
                <w:tcPr>
                  <w:tcW w:w="1691" w:type="dxa"/>
                  <w:vAlign w:val="center"/>
                </w:tcPr>
                <w:p w14:paraId="74FBF3EB">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中频炉</w:t>
                  </w:r>
                </w:p>
              </w:tc>
              <w:tc>
                <w:tcPr>
                  <w:tcW w:w="2640" w:type="dxa"/>
                  <w:vAlign w:val="center"/>
                </w:tcPr>
                <w:p w14:paraId="51AFDCD7">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0.15</w:t>
                  </w:r>
                  <w:r>
                    <w:rPr>
                      <w:rFonts w:hint="default" w:ascii="Times New Roman" w:hAnsi="Times New Roman" w:cs="Times New Roman"/>
                      <w:color w:val="auto"/>
                      <w:highlight w:val="none"/>
                    </w:rPr>
                    <w:t>t/h</w:t>
                  </w:r>
                </w:p>
              </w:tc>
              <w:tc>
                <w:tcPr>
                  <w:tcW w:w="888" w:type="dxa"/>
                  <w:vAlign w:val="center"/>
                </w:tcPr>
                <w:p w14:paraId="45F31A5D">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1台</w:t>
                  </w:r>
                </w:p>
              </w:tc>
              <w:tc>
                <w:tcPr>
                  <w:tcW w:w="900" w:type="dxa"/>
                  <w:vAlign w:val="center"/>
                </w:tcPr>
                <w:p w14:paraId="47C0E158">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6D3D3C5F">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c>
                <w:tcPr>
                  <w:tcW w:w="759" w:type="dxa"/>
                  <w:vAlign w:val="center"/>
                </w:tcPr>
                <w:p w14:paraId="07162DC6">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2391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88" w:type="dxa"/>
                  <w:vAlign w:val="center"/>
                </w:tcPr>
                <w:p w14:paraId="47D798C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w:t>
                  </w:r>
                </w:p>
              </w:tc>
              <w:tc>
                <w:tcPr>
                  <w:tcW w:w="1691" w:type="dxa"/>
                  <w:vAlign w:val="center"/>
                </w:tcPr>
                <w:p w14:paraId="23568291">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混砂机</w:t>
                  </w:r>
                </w:p>
              </w:tc>
              <w:tc>
                <w:tcPr>
                  <w:tcW w:w="2640" w:type="dxa"/>
                  <w:vAlign w:val="center"/>
                </w:tcPr>
                <w:p w14:paraId="53E255CE">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功率55kw</w:t>
                  </w:r>
                </w:p>
              </w:tc>
              <w:tc>
                <w:tcPr>
                  <w:tcW w:w="888" w:type="dxa"/>
                  <w:vAlign w:val="center"/>
                </w:tcPr>
                <w:p w14:paraId="29063809">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1台</w:t>
                  </w:r>
                </w:p>
              </w:tc>
              <w:tc>
                <w:tcPr>
                  <w:tcW w:w="900" w:type="dxa"/>
                  <w:vAlign w:val="center"/>
                </w:tcPr>
                <w:p w14:paraId="3FE6273B">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7586D180">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c>
                <w:tcPr>
                  <w:tcW w:w="759" w:type="dxa"/>
                  <w:vAlign w:val="center"/>
                </w:tcPr>
                <w:p w14:paraId="5A076D54">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3A7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88" w:type="dxa"/>
                  <w:vAlign w:val="center"/>
                </w:tcPr>
                <w:p w14:paraId="596A5BF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w:t>
                  </w:r>
                </w:p>
              </w:tc>
              <w:tc>
                <w:tcPr>
                  <w:tcW w:w="1691" w:type="dxa"/>
                  <w:vAlign w:val="center"/>
                </w:tcPr>
                <w:p w14:paraId="36F5152E">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抛丸机</w:t>
                  </w:r>
                </w:p>
              </w:tc>
              <w:tc>
                <w:tcPr>
                  <w:tcW w:w="2640" w:type="dxa"/>
                  <w:vAlign w:val="center"/>
                </w:tcPr>
                <w:p w14:paraId="68C5AD1A">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功率35kw</w:t>
                  </w:r>
                </w:p>
              </w:tc>
              <w:tc>
                <w:tcPr>
                  <w:tcW w:w="888" w:type="dxa"/>
                  <w:vAlign w:val="center"/>
                </w:tcPr>
                <w:p w14:paraId="52CD9C01">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c>
                <w:tcPr>
                  <w:tcW w:w="900" w:type="dxa"/>
                  <w:vAlign w:val="center"/>
                </w:tcPr>
                <w:p w14:paraId="78935E7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582D1270">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c>
                <w:tcPr>
                  <w:tcW w:w="759" w:type="dxa"/>
                  <w:vAlign w:val="center"/>
                </w:tcPr>
                <w:p w14:paraId="4C5EC7B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40B9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88" w:type="dxa"/>
                  <w:vAlign w:val="center"/>
                </w:tcPr>
                <w:p w14:paraId="23091FE1">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5</w:t>
                  </w:r>
                </w:p>
              </w:tc>
              <w:tc>
                <w:tcPr>
                  <w:tcW w:w="1691" w:type="dxa"/>
                  <w:vAlign w:val="center"/>
                </w:tcPr>
                <w:p w14:paraId="7490CBAE">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车床</w:t>
                  </w:r>
                </w:p>
              </w:tc>
              <w:tc>
                <w:tcPr>
                  <w:tcW w:w="2640" w:type="dxa"/>
                  <w:vAlign w:val="center"/>
                </w:tcPr>
                <w:p w14:paraId="184CE379">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功率4.5kw</w:t>
                  </w:r>
                </w:p>
              </w:tc>
              <w:tc>
                <w:tcPr>
                  <w:tcW w:w="888" w:type="dxa"/>
                  <w:vAlign w:val="center"/>
                </w:tcPr>
                <w:p w14:paraId="584EF85F">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5台</w:t>
                  </w:r>
                </w:p>
              </w:tc>
              <w:tc>
                <w:tcPr>
                  <w:tcW w:w="900" w:type="dxa"/>
                  <w:vAlign w:val="center"/>
                </w:tcPr>
                <w:p w14:paraId="12B941E8">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2CA164F3">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5台</w:t>
                  </w:r>
                </w:p>
              </w:tc>
              <w:tc>
                <w:tcPr>
                  <w:tcW w:w="759" w:type="dxa"/>
                  <w:vAlign w:val="center"/>
                </w:tcPr>
                <w:p w14:paraId="56B9EB98">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282B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88" w:type="dxa"/>
                  <w:vAlign w:val="center"/>
                </w:tcPr>
                <w:p w14:paraId="226F0295">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6</w:t>
                  </w:r>
                </w:p>
              </w:tc>
              <w:tc>
                <w:tcPr>
                  <w:tcW w:w="1691" w:type="dxa"/>
                  <w:vAlign w:val="center"/>
                </w:tcPr>
                <w:p w14:paraId="0809A4B1">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带锯</w:t>
                  </w:r>
                </w:p>
              </w:tc>
              <w:tc>
                <w:tcPr>
                  <w:tcW w:w="2640" w:type="dxa"/>
                  <w:vAlign w:val="center"/>
                </w:tcPr>
                <w:p w14:paraId="38720D75">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功率7.5kw</w:t>
                  </w:r>
                </w:p>
              </w:tc>
              <w:tc>
                <w:tcPr>
                  <w:tcW w:w="888" w:type="dxa"/>
                  <w:vAlign w:val="center"/>
                </w:tcPr>
                <w:p w14:paraId="16F5F733">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2台</w:t>
                  </w:r>
                </w:p>
              </w:tc>
              <w:tc>
                <w:tcPr>
                  <w:tcW w:w="900" w:type="dxa"/>
                  <w:vAlign w:val="center"/>
                </w:tcPr>
                <w:p w14:paraId="5CDFBB4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15DB6894">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2台</w:t>
                  </w:r>
                </w:p>
              </w:tc>
              <w:tc>
                <w:tcPr>
                  <w:tcW w:w="759" w:type="dxa"/>
                  <w:vAlign w:val="center"/>
                </w:tcPr>
                <w:p w14:paraId="3E426AE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35B5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88" w:type="dxa"/>
                  <w:vAlign w:val="center"/>
                </w:tcPr>
                <w:p w14:paraId="3146E8B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7</w:t>
                  </w:r>
                </w:p>
              </w:tc>
              <w:tc>
                <w:tcPr>
                  <w:tcW w:w="1691" w:type="dxa"/>
                  <w:vAlign w:val="center"/>
                </w:tcPr>
                <w:p w14:paraId="494FB269">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数控机床</w:t>
                  </w:r>
                </w:p>
              </w:tc>
              <w:tc>
                <w:tcPr>
                  <w:tcW w:w="2640" w:type="dxa"/>
                  <w:vAlign w:val="center"/>
                </w:tcPr>
                <w:p w14:paraId="1801F5ED">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功率41.5kw</w:t>
                  </w:r>
                </w:p>
              </w:tc>
              <w:tc>
                <w:tcPr>
                  <w:tcW w:w="888" w:type="dxa"/>
                  <w:vAlign w:val="center"/>
                </w:tcPr>
                <w:p w14:paraId="094C0768">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3台</w:t>
                  </w:r>
                </w:p>
              </w:tc>
              <w:tc>
                <w:tcPr>
                  <w:tcW w:w="900" w:type="dxa"/>
                  <w:vAlign w:val="center"/>
                </w:tcPr>
                <w:p w14:paraId="0CE1832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15FEE6DF">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3台</w:t>
                  </w:r>
                </w:p>
              </w:tc>
              <w:tc>
                <w:tcPr>
                  <w:tcW w:w="759" w:type="dxa"/>
                  <w:vAlign w:val="center"/>
                </w:tcPr>
                <w:p w14:paraId="59A41F7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07E4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88" w:type="dxa"/>
                  <w:vAlign w:val="center"/>
                </w:tcPr>
                <w:p w14:paraId="6EB1196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8</w:t>
                  </w:r>
                </w:p>
              </w:tc>
              <w:tc>
                <w:tcPr>
                  <w:tcW w:w="1691" w:type="dxa"/>
                  <w:vAlign w:val="center"/>
                </w:tcPr>
                <w:p w14:paraId="7D56682D">
                  <w:pPr>
                    <w:adjustRightInd w:val="0"/>
                    <w:snapToGrid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铣床</w:t>
                  </w:r>
                </w:p>
              </w:tc>
              <w:tc>
                <w:tcPr>
                  <w:tcW w:w="2640" w:type="dxa"/>
                  <w:vAlign w:val="center"/>
                </w:tcPr>
                <w:p w14:paraId="110D28B1">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功率4kw</w:t>
                  </w:r>
                </w:p>
              </w:tc>
              <w:tc>
                <w:tcPr>
                  <w:tcW w:w="888" w:type="dxa"/>
                  <w:vAlign w:val="center"/>
                </w:tcPr>
                <w:p w14:paraId="4C8546B8">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5台</w:t>
                  </w:r>
                </w:p>
              </w:tc>
              <w:tc>
                <w:tcPr>
                  <w:tcW w:w="900" w:type="dxa"/>
                  <w:vAlign w:val="center"/>
                </w:tcPr>
                <w:p w14:paraId="0FF1653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6D9AA242">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5台</w:t>
                  </w:r>
                </w:p>
              </w:tc>
              <w:tc>
                <w:tcPr>
                  <w:tcW w:w="759" w:type="dxa"/>
                  <w:vAlign w:val="center"/>
                </w:tcPr>
                <w:p w14:paraId="06C1586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0080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88" w:type="dxa"/>
                  <w:vAlign w:val="center"/>
                </w:tcPr>
                <w:p w14:paraId="4928E31C">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9</w:t>
                  </w:r>
                </w:p>
              </w:tc>
              <w:tc>
                <w:tcPr>
                  <w:tcW w:w="1691" w:type="dxa"/>
                  <w:vAlign w:val="center"/>
                </w:tcPr>
                <w:p w14:paraId="6E81A5A7">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摇臂钻床</w:t>
                  </w:r>
                </w:p>
              </w:tc>
              <w:tc>
                <w:tcPr>
                  <w:tcW w:w="2640" w:type="dxa"/>
                  <w:vAlign w:val="center"/>
                </w:tcPr>
                <w:p w14:paraId="44EE9D9C">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功率4.5kw</w:t>
                  </w:r>
                </w:p>
              </w:tc>
              <w:tc>
                <w:tcPr>
                  <w:tcW w:w="888" w:type="dxa"/>
                  <w:vAlign w:val="center"/>
                </w:tcPr>
                <w:p w14:paraId="110F245A">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5台</w:t>
                  </w:r>
                </w:p>
              </w:tc>
              <w:tc>
                <w:tcPr>
                  <w:tcW w:w="900" w:type="dxa"/>
                  <w:vAlign w:val="center"/>
                </w:tcPr>
                <w:p w14:paraId="5197A2FC">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15F34B10">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5台</w:t>
                  </w:r>
                </w:p>
              </w:tc>
              <w:tc>
                <w:tcPr>
                  <w:tcW w:w="759" w:type="dxa"/>
                  <w:vAlign w:val="center"/>
                </w:tcPr>
                <w:p w14:paraId="6C87729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5C20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8283" w:type="dxa"/>
                  <w:gridSpan w:val="7"/>
                  <w:vAlign w:val="center"/>
                </w:tcPr>
                <w:p w14:paraId="6A3C981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b/>
                      <w:bCs/>
                      <w:color w:val="auto"/>
                      <w:kern w:val="0"/>
                      <w:szCs w:val="21"/>
                      <w:highlight w:val="none"/>
                      <w:lang w:val="en-US" w:eastAsia="zh-CN"/>
                    </w:rPr>
                    <w:t>二期设备情况</w:t>
                  </w:r>
                </w:p>
              </w:tc>
            </w:tr>
            <w:tr w14:paraId="6E18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488" w:type="dxa"/>
                  <w:vAlign w:val="center"/>
                </w:tcPr>
                <w:p w14:paraId="0F185861">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10</w:t>
                  </w:r>
                </w:p>
              </w:tc>
              <w:tc>
                <w:tcPr>
                  <w:tcW w:w="1691" w:type="dxa"/>
                  <w:vAlign w:val="center"/>
                </w:tcPr>
                <w:p w14:paraId="34033743">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中频炉</w:t>
                  </w:r>
                </w:p>
              </w:tc>
              <w:tc>
                <w:tcPr>
                  <w:tcW w:w="2640" w:type="dxa"/>
                  <w:vAlign w:val="center"/>
                </w:tcPr>
                <w:p w14:paraId="7A6BDDC1">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0.75t/h</w:t>
                  </w:r>
                </w:p>
              </w:tc>
              <w:tc>
                <w:tcPr>
                  <w:tcW w:w="888" w:type="dxa"/>
                  <w:vAlign w:val="center"/>
                </w:tcPr>
                <w:p w14:paraId="17271BD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c>
                <w:tcPr>
                  <w:tcW w:w="900" w:type="dxa"/>
                  <w:vAlign w:val="center"/>
                </w:tcPr>
                <w:p w14:paraId="5263E224">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5CE77384">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c>
                <w:tcPr>
                  <w:tcW w:w="759" w:type="dxa"/>
                  <w:vAlign w:val="center"/>
                </w:tcPr>
                <w:p w14:paraId="3647732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30BF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8" w:type="dxa"/>
                  <w:vAlign w:val="center"/>
                </w:tcPr>
                <w:p w14:paraId="44ADC82C">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11</w:t>
                  </w:r>
                </w:p>
              </w:tc>
              <w:tc>
                <w:tcPr>
                  <w:tcW w:w="1691" w:type="dxa"/>
                  <w:vAlign w:val="center"/>
                </w:tcPr>
                <w:p w14:paraId="59E51B9F">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混砂机</w:t>
                  </w:r>
                </w:p>
              </w:tc>
              <w:tc>
                <w:tcPr>
                  <w:tcW w:w="2640" w:type="dxa"/>
                  <w:vAlign w:val="center"/>
                </w:tcPr>
                <w:p w14:paraId="4561823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888" w:type="dxa"/>
                  <w:vAlign w:val="center"/>
                </w:tcPr>
                <w:p w14:paraId="48CD87EB">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c>
                <w:tcPr>
                  <w:tcW w:w="900" w:type="dxa"/>
                  <w:vAlign w:val="center"/>
                </w:tcPr>
                <w:p w14:paraId="0FE41997">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3CB679D1">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c>
                <w:tcPr>
                  <w:tcW w:w="759" w:type="dxa"/>
                  <w:vAlign w:val="center"/>
                </w:tcPr>
                <w:p w14:paraId="3F6C171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6A54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488" w:type="dxa"/>
                  <w:shd w:val="clear" w:color="auto" w:fill="auto"/>
                  <w:vAlign w:val="center"/>
                </w:tcPr>
                <w:p w14:paraId="2AAB9EDF">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12</w:t>
                  </w:r>
                </w:p>
              </w:tc>
              <w:tc>
                <w:tcPr>
                  <w:tcW w:w="1691" w:type="dxa"/>
                  <w:vAlign w:val="center"/>
                </w:tcPr>
                <w:p w14:paraId="14FA9546">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提升机</w:t>
                  </w:r>
                </w:p>
              </w:tc>
              <w:tc>
                <w:tcPr>
                  <w:tcW w:w="2640" w:type="dxa"/>
                  <w:vAlign w:val="center"/>
                </w:tcPr>
                <w:p w14:paraId="6C3D641C">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888" w:type="dxa"/>
                  <w:vAlign w:val="center"/>
                </w:tcPr>
                <w:p w14:paraId="0A36838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c>
                <w:tcPr>
                  <w:tcW w:w="900" w:type="dxa"/>
                  <w:vAlign w:val="center"/>
                </w:tcPr>
                <w:p w14:paraId="6860A78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5F081646">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c>
                <w:tcPr>
                  <w:tcW w:w="759" w:type="dxa"/>
                  <w:vAlign w:val="center"/>
                </w:tcPr>
                <w:p w14:paraId="544B5DA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3C68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488" w:type="dxa"/>
                  <w:shd w:val="clear" w:color="auto" w:fill="auto"/>
                  <w:vAlign w:val="center"/>
                </w:tcPr>
                <w:p w14:paraId="5937C4CD">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13</w:t>
                  </w:r>
                </w:p>
              </w:tc>
              <w:tc>
                <w:tcPr>
                  <w:tcW w:w="1691" w:type="dxa"/>
                  <w:vAlign w:val="center"/>
                </w:tcPr>
                <w:p w14:paraId="4B85E4A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水平造型机</w:t>
                  </w:r>
                </w:p>
              </w:tc>
              <w:tc>
                <w:tcPr>
                  <w:tcW w:w="2640" w:type="dxa"/>
                  <w:vAlign w:val="center"/>
                </w:tcPr>
                <w:p w14:paraId="6AA1E85B">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Z426（铸星）</w:t>
                  </w:r>
                </w:p>
              </w:tc>
              <w:tc>
                <w:tcPr>
                  <w:tcW w:w="888" w:type="dxa"/>
                  <w:vAlign w:val="center"/>
                </w:tcPr>
                <w:p w14:paraId="605BD767">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1台</w:t>
                  </w:r>
                </w:p>
              </w:tc>
              <w:tc>
                <w:tcPr>
                  <w:tcW w:w="900" w:type="dxa"/>
                  <w:vAlign w:val="center"/>
                </w:tcPr>
                <w:p w14:paraId="3E637D4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09CA1E75">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1台</w:t>
                  </w:r>
                </w:p>
              </w:tc>
              <w:tc>
                <w:tcPr>
                  <w:tcW w:w="759" w:type="dxa"/>
                  <w:vAlign w:val="center"/>
                </w:tcPr>
                <w:p w14:paraId="29FF262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5F9D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488" w:type="dxa"/>
                  <w:shd w:val="clear" w:color="auto" w:fill="auto"/>
                  <w:vAlign w:val="center"/>
                </w:tcPr>
                <w:p w14:paraId="0BE8B3D4">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14</w:t>
                  </w:r>
                </w:p>
              </w:tc>
              <w:tc>
                <w:tcPr>
                  <w:tcW w:w="1691" w:type="dxa"/>
                  <w:vAlign w:val="center"/>
                </w:tcPr>
                <w:p w14:paraId="794788DB">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沸腾冷却床</w:t>
                  </w:r>
                </w:p>
              </w:tc>
              <w:tc>
                <w:tcPr>
                  <w:tcW w:w="2640" w:type="dxa"/>
                  <w:vAlign w:val="center"/>
                </w:tcPr>
                <w:p w14:paraId="485A264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888" w:type="dxa"/>
                  <w:vAlign w:val="center"/>
                </w:tcPr>
                <w:p w14:paraId="457B6136">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2台</w:t>
                  </w:r>
                </w:p>
              </w:tc>
              <w:tc>
                <w:tcPr>
                  <w:tcW w:w="900" w:type="dxa"/>
                  <w:vAlign w:val="center"/>
                </w:tcPr>
                <w:p w14:paraId="294D3247">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118EA99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2台</w:t>
                  </w:r>
                </w:p>
              </w:tc>
              <w:tc>
                <w:tcPr>
                  <w:tcW w:w="759" w:type="dxa"/>
                  <w:vAlign w:val="center"/>
                </w:tcPr>
                <w:p w14:paraId="290C802A">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2738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3933370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15</w:t>
                  </w:r>
                </w:p>
              </w:tc>
              <w:tc>
                <w:tcPr>
                  <w:tcW w:w="1691" w:type="dxa"/>
                  <w:vAlign w:val="center"/>
                </w:tcPr>
                <w:p w14:paraId="7CD3378C">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振动落砂机</w:t>
                  </w:r>
                </w:p>
              </w:tc>
              <w:tc>
                <w:tcPr>
                  <w:tcW w:w="2640" w:type="dxa"/>
                  <w:vAlign w:val="center"/>
                </w:tcPr>
                <w:p w14:paraId="4E06E98C">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888" w:type="dxa"/>
                  <w:vAlign w:val="center"/>
                </w:tcPr>
                <w:p w14:paraId="7A3A8B14">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1台</w:t>
                  </w:r>
                </w:p>
              </w:tc>
              <w:tc>
                <w:tcPr>
                  <w:tcW w:w="900" w:type="dxa"/>
                  <w:vAlign w:val="center"/>
                </w:tcPr>
                <w:p w14:paraId="32F67BB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34F43834">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1台</w:t>
                  </w:r>
                </w:p>
              </w:tc>
              <w:tc>
                <w:tcPr>
                  <w:tcW w:w="759" w:type="dxa"/>
                  <w:vAlign w:val="center"/>
                </w:tcPr>
                <w:p w14:paraId="181CE2E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6267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44CD566B">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16</w:t>
                  </w:r>
                </w:p>
              </w:tc>
              <w:tc>
                <w:tcPr>
                  <w:tcW w:w="1691" w:type="dxa"/>
                  <w:vAlign w:val="center"/>
                </w:tcPr>
                <w:p w14:paraId="14792D4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水平自动流水线</w:t>
                  </w:r>
                </w:p>
              </w:tc>
              <w:tc>
                <w:tcPr>
                  <w:tcW w:w="2640" w:type="dxa"/>
                  <w:vAlign w:val="center"/>
                </w:tcPr>
                <w:p w14:paraId="07CBA21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w:t>
                  </w:r>
                </w:p>
              </w:tc>
              <w:tc>
                <w:tcPr>
                  <w:tcW w:w="888" w:type="dxa"/>
                  <w:vAlign w:val="center"/>
                </w:tcPr>
                <w:p w14:paraId="2A151768">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2台</w:t>
                  </w:r>
                </w:p>
              </w:tc>
              <w:tc>
                <w:tcPr>
                  <w:tcW w:w="900" w:type="dxa"/>
                  <w:vAlign w:val="center"/>
                </w:tcPr>
                <w:p w14:paraId="062FB13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6EAE9346">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2台</w:t>
                  </w:r>
                </w:p>
              </w:tc>
              <w:tc>
                <w:tcPr>
                  <w:tcW w:w="759" w:type="dxa"/>
                  <w:vAlign w:val="center"/>
                </w:tcPr>
                <w:p w14:paraId="3A54CDC8">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67A3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2C47412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17</w:t>
                  </w:r>
                </w:p>
              </w:tc>
              <w:tc>
                <w:tcPr>
                  <w:tcW w:w="1691" w:type="dxa"/>
                  <w:vAlign w:val="center"/>
                </w:tcPr>
                <w:p w14:paraId="449B88B4">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松沙机</w:t>
                  </w:r>
                </w:p>
              </w:tc>
              <w:tc>
                <w:tcPr>
                  <w:tcW w:w="2640" w:type="dxa"/>
                  <w:vAlign w:val="center"/>
                </w:tcPr>
                <w:p w14:paraId="1DD82DD2">
                  <w:pPr>
                    <w:adjustRightInd w:val="0"/>
                    <w:snapToGrid w:val="0"/>
                    <w:jc w:val="center"/>
                    <w:rPr>
                      <w:rFonts w:hint="default" w:ascii="Times New Roman" w:hAnsi="Times New Roman" w:cs="Times New Roman"/>
                      <w:bCs/>
                      <w:color w:val="auto"/>
                      <w:kern w:val="0"/>
                      <w:szCs w:val="21"/>
                      <w:highlight w:val="none"/>
                    </w:rPr>
                  </w:pPr>
                </w:p>
              </w:tc>
              <w:tc>
                <w:tcPr>
                  <w:tcW w:w="888" w:type="dxa"/>
                  <w:vAlign w:val="center"/>
                </w:tcPr>
                <w:p w14:paraId="09628F42">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1台</w:t>
                  </w:r>
                </w:p>
              </w:tc>
              <w:tc>
                <w:tcPr>
                  <w:tcW w:w="900" w:type="dxa"/>
                  <w:vAlign w:val="center"/>
                </w:tcPr>
                <w:p w14:paraId="251E92C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20F16776">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1台</w:t>
                  </w:r>
                </w:p>
              </w:tc>
              <w:tc>
                <w:tcPr>
                  <w:tcW w:w="759" w:type="dxa"/>
                  <w:vAlign w:val="center"/>
                </w:tcPr>
                <w:p w14:paraId="681ACFD0">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6D5B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2F1CB32C">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18</w:t>
                  </w:r>
                </w:p>
              </w:tc>
              <w:tc>
                <w:tcPr>
                  <w:tcW w:w="1691" w:type="dxa"/>
                  <w:vAlign w:val="center"/>
                </w:tcPr>
                <w:p w14:paraId="7B12625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磁选皮带机</w:t>
                  </w:r>
                </w:p>
              </w:tc>
              <w:tc>
                <w:tcPr>
                  <w:tcW w:w="2640" w:type="dxa"/>
                  <w:vAlign w:val="center"/>
                </w:tcPr>
                <w:p w14:paraId="0B53AF2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w:t>
                  </w:r>
                </w:p>
              </w:tc>
              <w:tc>
                <w:tcPr>
                  <w:tcW w:w="888" w:type="dxa"/>
                  <w:vAlign w:val="center"/>
                </w:tcPr>
                <w:p w14:paraId="24721A7F">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1台</w:t>
                  </w:r>
                </w:p>
              </w:tc>
              <w:tc>
                <w:tcPr>
                  <w:tcW w:w="900" w:type="dxa"/>
                  <w:vAlign w:val="center"/>
                </w:tcPr>
                <w:p w14:paraId="486F32A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6CF6490A">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1台</w:t>
                  </w:r>
                </w:p>
              </w:tc>
              <w:tc>
                <w:tcPr>
                  <w:tcW w:w="759" w:type="dxa"/>
                  <w:vAlign w:val="center"/>
                </w:tcPr>
                <w:p w14:paraId="3F5CFCD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53AC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2078611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19</w:t>
                  </w:r>
                </w:p>
              </w:tc>
              <w:tc>
                <w:tcPr>
                  <w:tcW w:w="1691" w:type="dxa"/>
                  <w:vAlign w:val="center"/>
                </w:tcPr>
                <w:p w14:paraId="1672B68C">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斗式提升机</w:t>
                  </w:r>
                </w:p>
              </w:tc>
              <w:tc>
                <w:tcPr>
                  <w:tcW w:w="2640" w:type="dxa"/>
                  <w:vAlign w:val="center"/>
                </w:tcPr>
                <w:p w14:paraId="71AB5EF9">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888" w:type="dxa"/>
                  <w:vAlign w:val="center"/>
                </w:tcPr>
                <w:p w14:paraId="5D3AEDB8">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c>
                <w:tcPr>
                  <w:tcW w:w="900" w:type="dxa"/>
                  <w:vAlign w:val="center"/>
                </w:tcPr>
                <w:p w14:paraId="0791E66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6DCAB545">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c>
                <w:tcPr>
                  <w:tcW w:w="759" w:type="dxa"/>
                  <w:vAlign w:val="center"/>
                </w:tcPr>
                <w:p w14:paraId="2798717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C29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30407962">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20</w:t>
                  </w:r>
                </w:p>
              </w:tc>
              <w:tc>
                <w:tcPr>
                  <w:tcW w:w="1691" w:type="dxa"/>
                  <w:vAlign w:val="center"/>
                </w:tcPr>
                <w:p w14:paraId="01BA8622">
                  <w:pPr>
                    <w:adjustRightInd w:val="0"/>
                    <w:snapToGrid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闭式冷却塔</w:t>
                  </w:r>
                </w:p>
              </w:tc>
              <w:tc>
                <w:tcPr>
                  <w:tcW w:w="2640" w:type="dxa"/>
                  <w:vAlign w:val="center"/>
                </w:tcPr>
                <w:p w14:paraId="1F5AE836">
                  <w:pPr>
                    <w:adjustRightInd w:val="0"/>
                    <w:snapToGrid w:val="0"/>
                    <w:jc w:val="center"/>
                    <w:rPr>
                      <w:rFonts w:hint="default" w:ascii="Times New Roman" w:hAnsi="Times New Roman" w:cs="Times New Roman"/>
                      <w:color w:val="auto"/>
                      <w:highlight w:val="none"/>
                    </w:rPr>
                  </w:pPr>
                </w:p>
              </w:tc>
              <w:tc>
                <w:tcPr>
                  <w:tcW w:w="888" w:type="dxa"/>
                  <w:vAlign w:val="center"/>
                </w:tcPr>
                <w:p w14:paraId="3F61E9DF">
                  <w:pPr>
                    <w:adjustRightInd w:val="0"/>
                    <w:snapToGrid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1台</w:t>
                  </w:r>
                </w:p>
              </w:tc>
              <w:tc>
                <w:tcPr>
                  <w:tcW w:w="900" w:type="dxa"/>
                  <w:vAlign w:val="center"/>
                </w:tcPr>
                <w:p w14:paraId="3E11A484">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344B3B27">
                  <w:pPr>
                    <w:adjustRightInd w:val="0"/>
                    <w:snapToGrid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1台</w:t>
                  </w:r>
                </w:p>
              </w:tc>
              <w:tc>
                <w:tcPr>
                  <w:tcW w:w="759" w:type="dxa"/>
                  <w:vAlign w:val="center"/>
                </w:tcPr>
                <w:p w14:paraId="7146502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B4F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283" w:type="dxa"/>
                  <w:gridSpan w:val="7"/>
                  <w:shd w:val="clear" w:color="auto" w:fill="auto"/>
                  <w:vAlign w:val="center"/>
                </w:tcPr>
                <w:p w14:paraId="431CFFD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b/>
                      <w:bCs/>
                      <w:color w:val="auto"/>
                      <w:kern w:val="0"/>
                      <w:szCs w:val="21"/>
                      <w:highlight w:val="none"/>
                      <w:lang w:val="en-US" w:eastAsia="zh-CN"/>
                    </w:rPr>
                    <w:t>三期设备情况</w:t>
                  </w:r>
                </w:p>
              </w:tc>
            </w:tr>
            <w:tr w14:paraId="2730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0E518551">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21</w:t>
                  </w:r>
                </w:p>
              </w:tc>
              <w:tc>
                <w:tcPr>
                  <w:tcW w:w="1691" w:type="dxa"/>
                  <w:vAlign w:val="center"/>
                </w:tcPr>
                <w:p w14:paraId="5E5D4B88">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中频炉</w:t>
                  </w:r>
                </w:p>
              </w:tc>
              <w:tc>
                <w:tcPr>
                  <w:tcW w:w="2640" w:type="dxa"/>
                  <w:vAlign w:val="center"/>
                </w:tcPr>
                <w:p w14:paraId="4658C524">
                  <w:pPr>
                    <w:adjustRightInd w:val="0"/>
                    <w:snapToGrid w:val="0"/>
                    <w:jc w:val="center"/>
                    <w:rPr>
                      <w:rFonts w:hint="default" w:ascii="Times New Roman" w:hAnsi="Times New Roman" w:cs="Times New Roman"/>
                      <w:color w:val="auto"/>
                      <w:kern w:val="0"/>
                      <w:highlight w:val="none"/>
                    </w:rPr>
                  </w:pPr>
                  <w:r>
                    <w:rPr>
                      <w:rFonts w:hint="default" w:ascii="Times New Roman" w:hAnsi="Times New Roman" w:cs="Times New Roman"/>
                      <w:color w:val="auto"/>
                      <w:highlight w:val="none"/>
                      <w:lang w:val="en-US" w:eastAsia="zh-CN"/>
                    </w:rPr>
                    <w:t>1.0</w:t>
                  </w:r>
                  <w:r>
                    <w:rPr>
                      <w:rFonts w:hint="default" w:ascii="Times New Roman" w:hAnsi="Times New Roman" w:cs="Times New Roman"/>
                      <w:color w:val="auto"/>
                      <w:highlight w:val="none"/>
                    </w:rPr>
                    <w:t>t/h</w:t>
                  </w:r>
                </w:p>
              </w:tc>
              <w:tc>
                <w:tcPr>
                  <w:tcW w:w="888" w:type="dxa"/>
                  <w:vAlign w:val="center"/>
                </w:tcPr>
                <w:p w14:paraId="0F18F594">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c>
                <w:tcPr>
                  <w:tcW w:w="900" w:type="dxa"/>
                  <w:vAlign w:val="center"/>
                </w:tcPr>
                <w:p w14:paraId="597DE2B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31D7DC5F">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c>
                <w:tcPr>
                  <w:tcW w:w="759" w:type="dxa"/>
                  <w:vAlign w:val="center"/>
                </w:tcPr>
                <w:p w14:paraId="44067F6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472C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01000AD2">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22</w:t>
                  </w:r>
                </w:p>
              </w:tc>
              <w:tc>
                <w:tcPr>
                  <w:tcW w:w="1691" w:type="dxa"/>
                  <w:vAlign w:val="center"/>
                </w:tcPr>
                <w:p w14:paraId="3729CDE4">
                  <w:pPr>
                    <w:widowControl/>
                    <w:jc w:val="center"/>
                    <w:textAlignment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lang w:val="en-US" w:eastAsia="zh-CN"/>
                    </w:rPr>
                    <w:t>中频炉</w:t>
                  </w:r>
                </w:p>
              </w:tc>
              <w:tc>
                <w:tcPr>
                  <w:tcW w:w="2640" w:type="dxa"/>
                  <w:vAlign w:val="center"/>
                </w:tcPr>
                <w:p w14:paraId="5F3DD546">
                  <w:pPr>
                    <w:adjustRightInd w:val="0"/>
                    <w:snapToGrid w:val="0"/>
                    <w:jc w:val="center"/>
                    <w:rPr>
                      <w:rFonts w:hint="default" w:ascii="Times New Roman" w:hAnsi="Times New Roman" w:cs="Times New Roman"/>
                      <w:color w:val="auto"/>
                      <w:kern w:val="0"/>
                      <w:highlight w:val="none"/>
                    </w:rPr>
                  </w:pPr>
                  <w:r>
                    <w:rPr>
                      <w:rFonts w:hint="default" w:ascii="Times New Roman" w:hAnsi="Times New Roman" w:cs="Times New Roman"/>
                      <w:color w:val="auto"/>
                      <w:highlight w:val="none"/>
                      <w:lang w:val="en-US" w:eastAsia="zh-CN"/>
                    </w:rPr>
                    <w:t>0.75</w:t>
                  </w:r>
                  <w:r>
                    <w:rPr>
                      <w:rFonts w:hint="default" w:ascii="Times New Roman" w:hAnsi="Times New Roman" w:cs="Times New Roman"/>
                      <w:color w:val="auto"/>
                      <w:highlight w:val="none"/>
                    </w:rPr>
                    <w:t>t/h</w:t>
                  </w:r>
                </w:p>
              </w:tc>
              <w:tc>
                <w:tcPr>
                  <w:tcW w:w="888" w:type="dxa"/>
                  <w:vAlign w:val="center"/>
                </w:tcPr>
                <w:p w14:paraId="60D40962">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c>
                <w:tcPr>
                  <w:tcW w:w="900" w:type="dxa"/>
                  <w:vAlign w:val="center"/>
                </w:tcPr>
                <w:p w14:paraId="19E567A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3FC652A0">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c>
                <w:tcPr>
                  <w:tcW w:w="759" w:type="dxa"/>
                  <w:vAlign w:val="center"/>
                </w:tcPr>
                <w:p w14:paraId="4CE00DF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8D3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53763A5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23</w:t>
                  </w:r>
                </w:p>
              </w:tc>
              <w:tc>
                <w:tcPr>
                  <w:tcW w:w="1691" w:type="dxa"/>
                  <w:vAlign w:val="center"/>
                </w:tcPr>
                <w:p w14:paraId="5D485A40">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冷却塔</w:t>
                  </w:r>
                </w:p>
              </w:tc>
              <w:tc>
                <w:tcPr>
                  <w:tcW w:w="2640" w:type="dxa"/>
                  <w:vAlign w:val="center"/>
                </w:tcPr>
                <w:p w14:paraId="4B72AC56">
                  <w:pPr>
                    <w:widowControl/>
                    <w:jc w:val="center"/>
                    <w:textAlignment w:val="center"/>
                    <w:rPr>
                      <w:rFonts w:hint="default" w:ascii="Times New Roman" w:hAnsi="Times New Roman" w:cs="Times New Roman"/>
                      <w:color w:val="auto"/>
                      <w:kern w:val="0"/>
                      <w:highlight w:val="none"/>
                    </w:rPr>
                  </w:pPr>
                </w:p>
              </w:tc>
              <w:tc>
                <w:tcPr>
                  <w:tcW w:w="888" w:type="dxa"/>
                  <w:shd w:val="clear" w:color="auto" w:fill="auto"/>
                  <w:vAlign w:val="center"/>
                </w:tcPr>
                <w:p w14:paraId="49F2F89F">
                  <w:pPr>
                    <w:adjustRightInd w:val="0"/>
                    <w:snapToGrid w:val="0"/>
                    <w:jc w:val="center"/>
                    <w:rPr>
                      <w:rFonts w:hint="default" w:ascii="Times New Roman" w:hAnsi="Times New Roman" w:eastAsia="宋体" w:cs="Times New Roman"/>
                      <w:color w:val="auto"/>
                      <w:kern w:val="2"/>
                      <w:sz w:val="18"/>
                      <w:szCs w:val="18"/>
                      <w:highlight w:val="none"/>
                      <w:u w:val="none"/>
                      <w:lang w:val="en-US" w:eastAsia="zh-CN" w:bidi="ar-SA"/>
                    </w:rPr>
                  </w:pPr>
                  <w:r>
                    <w:rPr>
                      <w:rFonts w:hint="default" w:ascii="Times New Roman" w:hAnsi="Times New Roman" w:cs="Times New Roman"/>
                      <w:color w:val="auto"/>
                      <w:highlight w:val="none"/>
                      <w:lang w:val="en-US" w:eastAsia="zh-CN"/>
                    </w:rPr>
                    <w:t>1台</w:t>
                  </w:r>
                </w:p>
              </w:tc>
              <w:tc>
                <w:tcPr>
                  <w:tcW w:w="900" w:type="dxa"/>
                  <w:shd w:val="clear" w:color="auto" w:fill="auto"/>
                  <w:vAlign w:val="center"/>
                </w:tcPr>
                <w:p w14:paraId="537270A3">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60C6A3BF">
                  <w:pPr>
                    <w:adjustRightInd w:val="0"/>
                    <w:snapToGrid w:val="0"/>
                    <w:jc w:val="center"/>
                    <w:rPr>
                      <w:rFonts w:hint="default" w:ascii="Times New Roman" w:hAnsi="Times New Roman" w:eastAsia="宋体" w:cs="Times New Roman"/>
                      <w:color w:val="auto"/>
                      <w:kern w:val="2"/>
                      <w:sz w:val="18"/>
                      <w:szCs w:val="18"/>
                      <w:highlight w:val="none"/>
                      <w:u w:val="none"/>
                      <w:lang w:val="en-US" w:eastAsia="zh-CN" w:bidi="ar-SA"/>
                    </w:rPr>
                  </w:pPr>
                  <w:r>
                    <w:rPr>
                      <w:rFonts w:hint="default" w:ascii="Times New Roman" w:hAnsi="Times New Roman" w:cs="Times New Roman"/>
                      <w:color w:val="auto"/>
                      <w:highlight w:val="none"/>
                      <w:lang w:val="en-US" w:eastAsia="zh-CN"/>
                    </w:rPr>
                    <w:t>1台</w:t>
                  </w:r>
                </w:p>
              </w:tc>
              <w:tc>
                <w:tcPr>
                  <w:tcW w:w="759" w:type="dxa"/>
                  <w:shd w:val="clear" w:color="auto" w:fill="auto"/>
                  <w:vAlign w:val="center"/>
                </w:tcPr>
                <w:p w14:paraId="54CC0075">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Cs w:val="21"/>
                      <w:highlight w:val="none"/>
                    </w:rPr>
                    <w:t>0</w:t>
                  </w:r>
                </w:p>
              </w:tc>
            </w:tr>
            <w:tr w14:paraId="2DC5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28596C7B">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24</w:t>
                  </w:r>
                </w:p>
              </w:tc>
              <w:tc>
                <w:tcPr>
                  <w:tcW w:w="1691" w:type="dxa"/>
                  <w:vAlign w:val="center"/>
                </w:tcPr>
                <w:p w14:paraId="12A807EB">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抛丸机</w:t>
                  </w:r>
                </w:p>
              </w:tc>
              <w:tc>
                <w:tcPr>
                  <w:tcW w:w="2640" w:type="dxa"/>
                  <w:vAlign w:val="center"/>
                </w:tcPr>
                <w:p w14:paraId="08FEB0DC">
                  <w:pPr>
                    <w:widowControl/>
                    <w:jc w:val="center"/>
                    <w:textAlignment w:val="center"/>
                    <w:rPr>
                      <w:rFonts w:hint="default" w:ascii="Times New Roman" w:hAnsi="Times New Roman" w:cs="Times New Roman"/>
                      <w:color w:val="auto"/>
                      <w:kern w:val="0"/>
                      <w:highlight w:val="none"/>
                    </w:rPr>
                  </w:pPr>
                </w:p>
              </w:tc>
              <w:tc>
                <w:tcPr>
                  <w:tcW w:w="888" w:type="dxa"/>
                  <w:vAlign w:val="center"/>
                </w:tcPr>
                <w:p w14:paraId="68B48D45">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2台</w:t>
                  </w:r>
                </w:p>
              </w:tc>
              <w:tc>
                <w:tcPr>
                  <w:tcW w:w="900" w:type="dxa"/>
                  <w:vAlign w:val="center"/>
                </w:tcPr>
                <w:p w14:paraId="48E26F9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28878406">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2台</w:t>
                  </w:r>
                </w:p>
              </w:tc>
              <w:tc>
                <w:tcPr>
                  <w:tcW w:w="759" w:type="dxa"/>
                  <w:vAlign w:val="center"/>
                </w:tcPr>
                <w:p w14:paraId="112845A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09DC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1B6ACA0E">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25</w:t>
                  </w:r>
                </w:p>
              </w:tc>
              <w:tc>
                <w:tcPr>
                  <w:tcW w:w="1691" w:type="dxa"/>
                  <w:vAlign w:val="center"/>
                </w:tcPr>
                <w:p w14:paraId="49D48864">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混砂机</w:t>
                  </w:r>
                </w:p>
              </w:tc>
              <w:tc>
                <w:tcPr>
                  <w:tcW w:w="2640" w:type="dxa"/>
                  <w:vAlign w:val="center"/>
                </w:tcPr>
                <w:p w14:paraId="6E36090F">
                  <w:pPr>
                    <w:widowControl/>
                    <w:jc w:val="center"/>
                    <w:textAlignment w:val="center"/>
                    <w:rPr>
                      <w:rFonts w:hint="default" w:ascii="Times New Roman" w:hAnsi="Times New Roman" w:cs="Times New Roman"/>
                      <w:color w:val="auto"/>
                      <w:kern w:val="0"/>
                      <w:highlight w:val="none"/>
                    </w:rPr>
                  </w:pPr>
                </w:p>
              </w:tc>
              <w:tc>
                <w:tcPr>
                  <w:tcW w:w="888" w:type="dxa"/>
                  <w:vAlign w:val="center"/>
                </w:tcPr>
                <w:p w14:paraId="3033A4D5">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2台</w:t>
                  </w:r>
                </w:p>
              </w:tc>
              <w:tc>
                <w:tcPr>
                  <w:tcW w:w="900" w:type="dxa"/>
                  <w:vAlign w:val="center"/>
                </w:tcPr>
                <w:p w14:paraId="66441144">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7D70D707">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2台</w:t>
                  </w:r>
                </w:p>
              </w:tc>
              <w:tc>
                <w:tcPr>
                  <w:tcW w:w="759" w:type="dxa"/>
                  <w:vAlign w:val="center"/>
                </w:tcPr>
                <w:p w14:paraId="3618AB66">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6CC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74AB149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26</w:t>
                  </w:r>
                </w:p>
              </w:tc>
              <w:tc>
                <w:tcPr>
                  <w:tcW w:w="1691" w:type="dxa"/>
                  <w:vAlign w:val="center"/>
                </w:tcPr>
                <w:p w14:paraId="6241FE3B">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振实台</w:t>
                  </w:r>
                </w:p>
              </w:tc>
              <w:tc>
                <w:tcPr>
                  <w:tcW w:w="2640" w:type="dxa"/>
                  <w:vAlign w:val="center"/>
                </w:tcPr>
                <w:p w14:paraId="18C316BF">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w:t>
                  </w:r>
                </w:p>
              </w:tc>
              <w:tc>
                <w:tcPr>
                  <w:tcW w:w="888" w:type="dxa"/>
                  <w:vAlign w:val="center"/>
                </w:tcPr>
                <w:p w14:paraId="0F4C53CA">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c>
                <w:tcPr>
                  <w:tcW w:w="900" w:type="dxa"/>
                  <w:vAlign w:val="center"/>
                </w:tcPr>
                <w:p w14:paraId="7E371AE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23105522">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c>
                <w:tcPr>
                  <w:tcW w:w="759" w:type="dxa"/>
                  <w:vAlign w:val="center"/>
                </w:tcPr>
                <w:p w14:paraId="449EAFD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4743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2D2F4EF4">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27</w:t>
                  </w:r>
                </w:p>
              </w:tc>
              <w:tc>
                <w:tcPr>
                  <w:tcW w:w="1691" w:type="dxa"/>
                  <w:shd w:val="clear" w:color="auto" w:fill="auto"/>
                  <w:vAlign w:val="center"/>
                </w:tcPr>
                <w:p w14:paraId="0AF4C3DB">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负压真空机</w:t>
                  </w:r>
                </w:p>
              </w:tc>
              <w:tc>
                <w:tcPr>
                  <w:tcW w:w="2640" w:type="dxa"/>
                  <w:shd w:val="clear" w:color="auto" w:fill="auto"/>
                  <w:vAlign w:val="center"/>
                </w:tcPr>
                <w:p w14:paraId="6B0A5A89">
                  <w:pPr>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07401988">
                  <w:pPr>
                    <w:widowControl/>
                    <w:jc w:val="center"/>
                    <w:textAlignment w:val="center"/>
                    <w:rPr>
                      <w:rFonts w:hint="default" w:ascii="Times New Roman" w:hAnsi="Times New Roman" w:cs="Times New Roman"/>
                      <w:bCs/>
                      <w:color w:val="auto"/>
                      <w:szCs w:val="21"/>
                      <w:highlight w:val="none"/>
                    </w:rPr>
                  </w:pPr>
                  <w:r>
                    <w:rPr>
                      <w:rStyle w:val="104"/>
                      <w:rFonts w:hint="default" w:ascii="Times New Roman" w:hAnsi="Times New Roman" w:cs="Times New Roman"/>
                      <w:color w:val="auto"/>
                      <w:highlight w:val="none"/>
                    </w:rPr>
                    <w:t>1</w:t>
                  </w:r>
                  <w:r>
                    <w:rPr>
                      <w:rStyle w:val="109"/>
                      <w:rFonts w:hint="default" w:ascii="Times New Roman" w:hAnsi="Times New Roman" w:cs="Times New Roman"/>
                      <w:color w:val="auto"/>
                      <w:highlight w:val="none"/>
                    </w:rPr>
                    <w:t>套</w:t>
                  </w:r>
                </w:p>
              </w:tc>
              <w:tc>
                <w:tcPr>
                  <w:tcW w:w="900" w:type="dxa"/>
                  <w:shd w:val="clear" w:color="auto" w:fill="auto"/>
                  <w:vAlign w:val="center"/>
                </w:tcPr>
                <w:p w14:paraId="41202F47">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szCs w:val="21"/>
                      <w:highlight w:val="none"/>
                    </w:rPr>
                    <w:t>0套</w:t>
                  </w:r>
                </w:p>
              </w:tc>
              <w:tc>
                <w:tcPr>
                  <w:tcW w:w="917" w:type="dxa"/>
                  <w:shd w:val="clear" w:color="auto" w:fill="auto"/>
                  <w:vAlign w:val="center"/>
                </w:tcPr>
                <w:p w14:paraId="0AC28B77">
                  <w:pPr>
                    <w:widowControl/>
                    <w:jc w:val="center"/>
                    <w:textAlignment w:val="center"/>
                    <w:rPr>
                      <w:rFonts w:hint="default" w:ascii="Times New Roman" w:hAnsi="Times New Roman" w:cs="Times New Roman"/>
                      <w:bCs/>
                      <w:color w:val="auto"/>
                      <w:szCs w:val="21"/>
                      <w:highlight w:val="none"/>
                    </w:rPr>
                  </w:pPr>
                  <w:r>
                    <w:rPr>
                      <w:rStyle w:val="104"/>
                      <w:rFonts w:hint="default" w:ascii="Times New Roman" w:hAnsi="Times New Roman" w:cs="Times New Roman"/>
                      <w:color w:val="auto"/>
                      <w:highlight w:val="none"/>
                    </w:rPr>
                    <w:t>1</w:t>
                  </w:r>
                  <w:r>
                    <w:rPr>
                      <w:rStyle w:val="109"/>
                      <w:rFonts w:hint="default" w:ascii="Times New Roman" w:hAnsi="Times New Roman" w:cs="Times New Roman"/>
                      <w:color w:val="auto"/>
                      <w:highlight w:val="none"/>
                    </w:rPr>
                    <w:t>套</w:t>
                  </w:r>
                </w:p>
              </w:tc>
              <w:tc>
                <w:tcPr>
                  <w:tcW w:w="759" w:type="dxa"/>
                  <w:shd w:val="clear" w:color="auto" w:fill="auto"/>
                  <w:vAlign w:val="center"/>
                </w:tcPr>
                <w:p w14:paraId="646D1172">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0</w:t>
                  </w:r>
                </w:p>
              </w:tc>
            </w:tr>
            <w:tr w14:paraId="2A80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76ED00C5">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28</w:t>
                  </w:r>
                </w:p>
              </w:tc>
              <w:tc>
                <w:tcPr>
                  <w:tcW w:w="1691" w:type="dxa"/>
                  <w:shd w:val="clear" w:color="auto" w:fill="auto"/>
                  <w:vAlign w:val="center"/>
                </w:tcPr>
                <w:p w14:paraId="7D43847E">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浇包</w:t>
                  </w:r>
                </w:p>
              </w:tc>
              <w:tc>
                <w:tcPr>
                  <w:tcW w:w="2640" w:type="dxa"/>
                  <w:shd w:val="clear" w:color="auto" w:fill="auto"/>
                  <w:vAlign w:val="center"/>
                </w:tcPr>
                <w:p w14:paraId="223ECA97">
                  <w:pPr>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5DEEBD39">
                  <w:pPr>
                    <w:widowControl/>
                    <w:jc w:val="center"/>
                    <w:textAlignment w:val="center"/>
                    <w:rPr>
                      <w:rFonts w:hint="default" w:ascii="Times New Roman" w:hAnsi="Times New Roman" w:cs="Times New Roman"/>
                      <w:bCs/>
                      <w:color w:val="auto"/>
                      <w:szCs w:val="21"/>
                      <w:highlight w:val="none"/>
                    </w:rPr>
                  </w:pPr>
                  <w:r>
                    <w:rPr>
                      <w:rStyle w:val="104"/>
                      <w:rFonts w:hint="default" w:ascii="Times New Roman" w:hAnsi="Times New Roman" w:cs="Times New Roman"/>
                      <w:color w:val="auto"/>
                      <w:highlight w:val="none"/>
                    </w:rPr>
                    <w:t>5</w:t>
                  </w:r>
                  <w:r>
                    <w:rPr>
                      <w:rStyle w:val="109"/>
                      <w:rFonts w:hint="default" w:ascii="Times New Roman" w:hAnsi="Times New Roman" w:cs="Times New Roman"/>
                      <w:color w:val="auto"/>
                      <w:highlight w:val="none"/>
                    </w:rPr>
                    <w:t>台</w:t>
                  </w:r>
                </w:p>
              </w:tc>
              <w:tc>
                <w:tcPr>
                  <w:tcW w:w="900" w:type="dxa"/>
                  <w:shd w:val="clear" w:color="auto" w:fill="auto"/>
                  <w:vAlign w:val="center"/>
                </w:tcPr>
                <w:p w14:paraId="2ADE20A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2697848E">
                  <w:pPr>
                    <w:widowControl/>
                    <w:jc w:val="center"/>
                    <w:textAlignment w:val="center"/>
                    <w:rPr>
                      <w:rFonts w:hint="default" w:ascii="Times New Roman" w:hAnsi="Times New Roman" w:cs="Times New Roman"/>
                      <w:bCs/>
                      <w:color w:val="auto"/>
                      <w:szCs w:val="21"/>
                      <w:highlight w:val="none"/>
                    </w:rPr>
                  </w:pPr>
                  <w:r>
                    <w:rPr>
                      <w:rStyle w:val="104"/>
                      <w:rFonts w:hint="default" w:ascii="Times New Roman" w:hAnsi="Times New Roman" w:cs="Times New Roman"/>
                      <w:color w:val="auto"/>
                      <w:highlight w:val="none"/>
                    </w:rPr>
                    <w:t>5</w:t>
                  </w:r>
                  <w:r>
                    <w:rPr>
                      <w:rStyle w:val="109"/>
                      <w:rFonts w:hint="default" w:ascii="Times New Roman" w:hAnsi="Times New Roman" w:cs="Times New Roman"/>
                      <w:color w:val="auto"/>
                      <w:highlight w:val="none"/>
                    </w:rPr>
                    <w:t>台</w:t>
                  </w:r>
                </w:p>
              </w:tc>
              <w:tc>
                <w:tcPr>
                  <w:tcW w:w="759" w:type="dxa"/>
                  <w:shd w:val="clear" w:color="auto" w:fill="auto"/>
                  <w:vAlign w:val="center"/>
                </w:tcPr>
                <w:p w14:paraId="1DC505EB">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0</w:t>
                  </w:r>
                </w:p>
              </w:tc>
            </w:tr>
            <w:tr w14:paraId="0313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28C73917">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29</w:t>
                  </w:r>
                </w:p>
              </w:tc>
              <w:tc>
                <w:tcPr>
                  <w:tcW w:w="1691" w:type="dxa"/>
                  <w:shd w:val="clear" w:color="auto" w:fill="auto"/>
                  <w:vAlign w:val="center"/>
                </w:tcPr>
                <w:p w14:paraId="7DE5F4C1">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热风机</w:t>
                  </w:r>
                </w:p>
              </w:tc>
              <w:tc>
                <w:tcPr>
                  <w:tcW w:w="2640" w:type="dxa"/>
                  <w:shd w:val="clear" w:color="auto" w:fill="auto"/>
                  <w:vAlign w:val="center"/>
                </w:tcPr>
                <w:p w14:paraId="79EB824D">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30Kw</w:t>
                  </w:r>
                </w:p>
              </w:tc>
              <w:tc>
                <w:tcPr>
                  <w:tcW w:w="888" w:type="dxa"/>
                  <w:shd w:val="clear" w:color="auto" w:fill="auto"/>
                  <w:vAlign w:val="center"/>
                </w:tcPr>
                <w:p w14:paraId="5AF2BD48">
                  <w:pPr>
                    <w:widowControl/>
                    <w:jc w:val="center"/>
                    <w:textAlignment w:val="center"/>
                    <w:rPr>
                      <w:rFonts w:hint="default" w:ascii="Times New Roman" w:hAnsi="Times New Roman" w:cs="Times New Roman"/>
                      <w:bCs/>
                      <w:color w:val="auto"/>
                      <w:szCs w:val="21"/>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c>
                <w:tcPr>
                  <w:tcW w:w="900" w:type="dxa"/>
                  <w:shd w:val="clear" w:color="auto" w:fill="auto"/>
                  <w:vAlign w:val="center"/>
                </w:tcPr>
                <w:p w14:paraId="2D544FFE">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168D9F23">
                  <w:pPr>
                    <w:widowControl/>
                    <w:jc w:val="center"/>
                    <w:textAlignment w:val="center"/>
                    <w:rPr>
                      <w:rFonts w:hint="default" w:ascii="Times New Roman" w:hAnsi="Times New Roman" w:cs="Times New Roman"/>
                      <w:bCs/>
                      <w:color w:val="auto"/>
                      <w:szCs w:val="21"/>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c>
                <w:tcPr>
                  <w:tcW w:w="759" w:type="dxa"/>
                  <w:shd w:val="clear" w:color="auto" w:fill="auto"/>
                  <w:vAlign w:val="center"/>
                </w:tcPr>
                <w:p w14:paraId="521ECFB7">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szCs w:val="21"/>
                      <w:highlight w:val="none"/>
                    </w:rPr>
                    <w:t>0</w:t>
                  </w:r>
                </w:p>
              </w:tc>
            </w:tr>
            <w:tr w14:paraId="021F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1DA36AA5">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30</w:t>
                  </w:r>
                </w:p>
              </w:tc>
              <w:tc>
                <w:tcPr>
                  <w:tcW w:w="1691" w:type="dxa"/>
                  <w:shd w:val="clear" w:color="auto" w:fill="auto"/>
                  <w:vAlign w:val="center"/>
                </w:tcPr>
                <w:p w14:paraId="213EF557">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振动筛砂机</w:t>
                  </w:r>
                </w:p>
              </w:tc>
              <w:tc>
                <w:tcPr>
                  <w:tcW w:w="2640" w:type="dxa"/>
                  <w:shd w:val="clear" w:color="auto" w:fill="auto"/>
                  <w:vAlign w:val="center"/>
                </w:tcPr>
                <w:p w14:paraId="0756DA55">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2A02AC8C">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1</w:t>
                  </w:r>
                  <w:r>
                    <w:rPr>
                      <w:rStyle w:val="109"/>
                      <w:rFonts w:hint="default" w:ascii="Times New Roman" w:hAnsi="Times New Roman" w:cs="Times New Roman"/>
                      <w:color w:val="auto"/>
                      <w:highlight w:val="none"/>
                    </w:rPr>
                    <w:t>台</w:t>
                  </w:r>
                </w:p>
              </w:tc>
              <w:tc>
                <w:tcPr>
                  <w:tcW w:w="900" w:type="dxa"/>
                  <w:shd w:val="clear" w:color="auto" w:fill="auto"/>
                  <w:vAlign w:val="center"/>
                </w:tcPr>
                <w:p w14:paraId="43A23D2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42107674">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1</w:t>
                  </w:r>
                  <w:r>
                    <w:rPr>
                      <w:rStyle w:val="109"/>
                      <w:rFonts w:hint="default" w:ascii="Times New Roman" w:hAnsi="Times New Roman" w:cs="Times New Roman"/>
                      <w:color w:val="auto"/>
                      <w:highlight w:val="none"/>
                    </w:rPr>
                    <w:t>台</w:t>
                  </w:r>
                </w:p>
              </w:tc>
              <w:tc>
                <w:tcPr>
                  <w:tcW w:w="759" w:type="dxa"/>
                  <w:shd w:val="clear" w:color="auto" w:fill="auto"/>
                  <w:vAlign w:val="center"/>
                </w:tcPr>
                <w:p w14:paraId="0C9D1AF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0</w:t>
                  </w:r>
                </w:p>
              </w:tc>
            </w:tr>
            <w:tr w14:paraId="2E5C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1C34A287">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31</w:t>
                  </w:r>
                </w:p>
              </w:tc>
              <w:tc>
                <w:tcPr>
                  <w:tcW w:w="1691" w:type="dxa"/>
                  <w:shd w:val="clear" w:color="auto" w:fill="auto"/>
                  <w:vAlign w:val="center"/>
                </w:tcPr>
                <w:p w14:paraId="2A4BE824">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振动冷却机</w:t>
                  </w:r>
                </w:p>
              </w:tc>
              <w:tc>
                <w:tcPr>
                  <w:tcW w:w="2640" w:type="dxa"/>
                  <w:shd w:val="clear" w:color="auto" w:fill="auto"/>
                  <w:vAlign w:val="center"/>
                </w:tcPr>
                <w:p w14:paraId="3D15886B">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7E1F3474">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1</w:t>
                  </w:r>
                  <w:r>
                    <w:rPr>
                      <w:rStyle w:val="109"/>
                      <w:rFonts w:hint="default" w:ascii="Times New Roman" w:hAnsi="Times New Roman" w:cs="Times New Roman"/>
                      <w:color w:val="auto"/>
                      <w:highlight w:val="none"/>
                    </w:rPr>
                    <w:t>台</w:t>
                  </w:r>
                </w:p>
              </w:tc>
              <w:tc>
                <w:tcPr>
                  <w:tcW w:w="900" w:type="dxa"/>
                  <w:shd w:val="clear" w:color="auto" w:fill="auto"/>
                  <w:vAlign w:val="center"/>
                </w:tcPr>
                <w:p w14:paraId="0E2C403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52A7BA52">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1</w:t>
                  </w:r>
                  <w:r>
                    <w:rPr>
                      <w:rStyle w:val="109"/>
                      <w:rFonts w:hint="default" w:ascii="Times New Roman" w:hAnsi="Times New Roman" w:cs="Times New Roman"/>
                      <w:color w:val="auto"/>
                      <w:highlight w:val="none"/>
                    </w:rPr>
                    <w:t>台</w:t>
                  </w:r>
                </w:p>
              </w:tc>
              <w:tc>
                <w:tcPr>
                  <w:tcW w:w="759" w:type="dxa"/>
                  <w:shd w:val="clear" w:color="auto" w:fill="auto"/>
                  <w:vAlign w:val="center"/>
                </w:tcPr>
                <w:p w14:paraId="07A3B4CF">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0</w:t>
                  </w:r>
                </w:p>
              </w:tc>
            </w:tr>
            <w:tr w14:paraId="77FB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24BC543A">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32</w:t>
                  </w:r>
                </w:p>
              </w:tc>
              <w:tc>
                <w:tcPr>
                  <w:tcW w:w="1691" w:type="dxa"/>
                  <w:shd w:val="clear" w:color="auto" w:fill="auto"/>
                  <w:vAlign w:val="center"/>
                </w:tcPr>
                <w:p w14:paraId="54335F34">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提升机</w:t>
                  </w:r>
                </w:p>
              </w:tc>
              <w:tc>
                <w:tcPr>
                  <w:tcW w:w="2640" w:type="dxa"/>
                  <w:shd w:val="clear" w:color="auto" w:fill="auto"/>
                  <w:vAlign w:val="center"/>
                </w:tcPr>
                <w:p w14:paraId="7EB7CAE2">
                  <w:pPr>
                    <w:widowControl/>
                    <w:jc w:val="center"/>
                    <w:textAlignment w:val="center"/>
                    <w:rPr>
                      <w:rFonts w:hint="default" w:ascii="Times New Roman" w:hAnsi="Times New Roman" w:cs="Times New Roman"/>
                      <w:color w:val="auto"/>
                      <w:kern w:val="0"/>
                      <w:highlight w:val="none"/>
                    </w:rPr>
                  </w:pPr>
                </w:p>
              </w:tc>
              <w:tc>
                <w:tcPr>
                  <w:tcW w:w="888" w:type="dxa"/>
                  <w:shd w:val="clear" w:color="auto" w:fill="auto"/>
                  <w:vAlign w:val="center"/>
                </w:tcPr>
                <w:p w14:paraId="63A8BD85">
                  <w:pPr>
                    <w:widowControl/>
                    <w:jc w:val="center"/>
                    <w:textAlignment w:val="center"/>
                    <w:rPr>
                      <w:rStyle w:val="104"/>
                      <w:rFonts w:hint="default" w:ascii="Times New Roman" w:hAnsi="Times New Roman" w:cs="Times New Roman"/>
                      <w:color w:val="auto"/>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c>
                <w:tcPr>
                  <w:tcW w:w="900" w:type="dxa"/>
                  <w:shd w:val="clear" w:color="auto" w:fill="auto"/>
                  <w:vAlign w:val="center"/>
                </w:tcPr>
                <w:p w14:paraId="5AF0799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09BCE3F0">
                  <w:pPr>
                    <w:widowControl/>
                    <w:jc w:val="center"/>
                    <w:textAlignment w:val="center"/>
                    <w:rPr>
                      <w:rStyle w:val="104"/>
                      <w:rFonts w:hint="default" w:ascii="Times New Roman" w:hAnsi="Times New Roman" w:cs="Times New Roman"/>
                      <w:color w:val="auto"/>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c>
                <w:tcPr>
                  <w:tcW w:w="759" w:type="dxa"/>
                  <w:shd w:val="clear" w:color="auto" w:fill="auto"/>
                  <w:vAlign w:val="center"/>
                </w:tcPr>
                <w:p w14:paraId="36925F84">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3C84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35C341E7">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33</w:t>
                  </w:r>
                </w:p>
              </w:tc>
              <w:tc>
                <w:tcPr>
                  <w:tcW w:w="1691" w:type="dxa"/>
                  <w:shd w:val="clear" w:color="auto" w:fill="auto"/>
                  <w:vAlign w:val="center"/>
                </w:tcPr>
                <w:p w14:paraId="1EC41B21">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涂料搅拌机</w:t>
                  </w:r>
                </w:p>
              </w:tc>
              <w:tc>
                <w:tcPr>
                  <w:tcW w:w="2640" w:type="dxa"/>
                  <w:shd w:val="clear" w:color="auto" w:fill="auto"/>
                  <w:vAlign w:val="center"/>
                </w:tcPr>
                <w:p w14:paraId="64517D27">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253B3BE7">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c>
                <w:tcPr>
                  <w:tcW w:w="900" w:type="dxa"/>
                  <w:shd w:val="clear" w:color="auto" w:fill="auto"/>
                  <w:vAlign w:val="center"/>
                </w:tcPr>
                <w:p w14:paraId="6C75D49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7F6AD171">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c>
                <w:tcPr>
                  <w:tcW w:w="759" w:type="dxa"/>
                  <w:shd w:val="clear" w:color="auto" w:fill="auto"/>
                  <w:vAlign w:val="center"/>
                </w:tcPr>
                <w:p w14:paraId="3FF1DBA7">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A22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shd w:val="clear" w:color="auto" w:fill="auto"/>
                  <w:vAlign w:val="center"/>
                </w:tcPr>
                <w:p w14:paraId="52C158EC">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34</w:t>
                  </w:r>
                </w:p>
              </w:tc>
              <w:tc>
                <w:tcPr>
                  <w:tcW w:w="1691" w:type="dxa"/>
                  <w:shd w:val="clear" w:color="auto" w:fill="auto"/>
                  <w:vAlign w:val="center"/>
                </w:tcPr>
                <w:p w14:paraId="5E7D3A36">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风选机</w:t>
                  </w:r>
                </w:p>
              </w:tc>
              <w:tc>
                <w:tcPr>
                  <w:tcW w:w="2640" w:type="dxa"/>
                  <w:shd w:val="clear" w:color="auto" w:fill="auto"/>
                  <w:vAlign w:val="center"/>
                </w:tcPr>
                <w:p w14:paraId="052F19B7">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888" w:type="dxa"/>
                  <w:shd w:val="clear" w:color="auto" w:fill="auto"/>
                  <w:vAlign w:val="center"/>
                </w:tcPr>
                <w:p w14:paraId="7AFA2AC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1台</w:t>
                  </w:r>
                </w:p>
              </w:tc>
              <w:tc>
                <w:tcPr>
                  <w:tcW w:w="900" w:type="dxa"/>
                  <w:shd w:val="clear" w:color="auto" w:fill="auto"/>
                  <w:vAlign w:val="center"/>
                </w:tcPr>
                <w:p w14:paraId="6A477E4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53C3C14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1台</w:t>
                  </w:r>
                </w:p>
              </w:tc>
              <w:tc>
                <w:tcPr>
                  <w:tcW w:w="759" w:type="dxa"/>
                  <w:shd w:val="clear" w:color="auto" w:fill="auto"/>
                  <w:vAlign w:val="center"/>
                </w:tcPr>
                <w:p w14:paraId="17D9D08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0984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39ADFCF4">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35</w:t>
                  </w:r>
                </w:p>
              </w:tc>
              <w:tc>
                <w:tcPr>
                  <w:tcW w:w="1691" w:type="dxa"/>
                  <w:shd w:val="clear" w:color="auto" w:fill="auto"/>
                  <w:vAlign w:val="center"/>
                </w:tcPr>
                <w:p w14:paraId="62CDDDE7">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混砂机</w:t>
                  </w:r>
                </w:p>
              </w:tc>
              <w:tc>
                <w:tcPr>
                  <w:tcW w:w="2640" w:type="dxa"/>
                  <w:shd w:val="clear" w:color="auto" w:fill="auto"/>
                  <w:vAlign w:val="center"/>
                </w:tcPr>
                <w:p w14:paraId="0EC6C8C7">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888" w:type="dxa"/>
                  <w:shd w:val="clear" w:color="auto" w:fill="auto"/>
                  <w:vAlign w:val="center"/>
                </w:tcPr>
                <w:p w14:paraId="7B11364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c>
                <w:tcPr>
                  <w:tcW w:w="900" w:type="dxa"/>
                  <w:shd w:val="clear" w:color="auto" w:fill="auto"/>
                  <w:vAlign w:val="center"/>
                </w:tcPr>
                <w:p w14:paraId="5E5D617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3F721516">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c>
                <w:tcPr>
                  <w:tcW w:w="759" w:type="dxa"/>
                  <w:shd w:val="clear" w:color="auto" w:fill="auto"/>
                  <w:vAlign w:val="center"/>
                </w:tcPr>
                <w:p w14:paraId="169FBF9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9CF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88" w:type="dxa"/>
                  <w:vAlign w:val="center"/>
                </w:tcPr>
                <w:p w14:paraId="484FCBB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36</w:t>
                  </w:r>
                </w:p>
              </w:tc>
              <w:tc>
                <w:tcPr>
                  <w:tcW w:w="1691" w:type="dxa"/>
                  <w:shd w:val="clear" w:color="auto" w:fill="auto"/>
                  <w:vAlign w:val="center"/>
                </w:tcPr>
                <w:p w14:paraId="3847221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color w:val="auto"/>
                      <w:highlight w:val="none"/>
                      <w:lang w:val="en-US" w:eastAsia="zh-CN"/>
                    </w:rPr>
                    <w:t xml:space="preserve"> 闭式冷却塔</w:t>
                  </w:r>
                </w:p>
              </w:tc>
              <w:tc>
                <w:tcPr>
                  <w:tcW w:w="2640" w:type="dxa"/>
                  <w:shd w:val="clear" w:color="auto" w:fill="auto"/>
                  <w:vAlign w:val="center"/>
                </w:tcPr>
                <w:p w14:paraId="1BF3BACD">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888" w:type="dxa"/>
                  <w:shd w:val="clear" w:color="auto" w:fill="auto"/>
                  <w:vAlign w:val="center"/>
                </w:tcPr>
                <w:p w14:paraId="70521A4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台</w:t>
                  </w:r>
                </w:p>
              </w:tc>
              <w:tc>
                <w:tcPr>
                  <w:tcW w:w="900" w:type="dxa"/>
                  <w:shd w:val="clear" w:color="auto" w:fill="auto"/>
                  <w:vAlign w:val="center"/>
                </w:tcPr>
                <w:p w14:paraId="18C6B41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19F6B257">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台</w:t>
                  </w:r>
                </w:p>
              </w:tc>
              <w:tc>
                <w:tcPr>
                  <w:tcW w:w="759" w:type="dxa"/>
                  <w:shd w:val="clear" w:color="auto" w:fill="auto"/>
                  <w:vAlign w:val="center"/>
                </w:tcPr>
                <w:p w14:paraId="282475F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4424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2C883747">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37</w:t>
                  </w:r>
                </w:p>
              </w:tc>
              <w:tc>
                <w:tcPr>
                  <w:tcW w:w="1691" w:type="dxa"/>
                  <w:shd w:val="clear" w:color="auto" w:fill="auto"/>
                  <w:vAlign w:val="center"/>
                </w:tcPr>
                <w:p w14:paraId="00BD794F">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造型机</w:t>
                  </w:r>
                </w:p>
              </w:tc>
              <w:tc>
                <w:tcPr>
                  <w:tcW w:w="2640" w:type="dxa"/>
                  <w:shd w:val="clear" w:color="auto" w:fill="auto"/>
                  <w:vAlign w:val="center"/>
                </w:tcPr>
                <w:p w14:paraId="7FE38F5B">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888" w:type="dxa"/>
                  <w:shd w:val="clear" w:color="auto" w:fill="auto"/>
                  <w:vAlign w:val="center"/>
                </w:tcPr>
                <w:p w14:paraId="57FF9716">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4台</w:t>
                  </w:r>
                </w:p>
              </w:tc>
              <w:tc>
                <w:tcPr>
                  <w:tcW w:w="900" w:type="dxa"/>
                  <w:shd w:val="clear" w:color="auto" w:fill="auto"/>
                  <w:vAlign w:val="center"/>
                </w:tcPr>
                <w:p w14:paraId="0354042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492F375C">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4台</w:t>
                  </w:r>
                </w:p>
              </w:tc>
              <w:tc>
                <w:tcPr>
                  <w:tcW w:w="759" w:type="dxa"/>
                  <w:shd w:val="clear" w:color="auto" w:fill="auto"/>
                  <w:vAlign w:val="center"/>
                </w:tcPr>
                <w:p w14:paraId="336BA84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0B81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721EA48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38</w:t>
                  </w:r>
                </w:p>
              </w:tc>
              <w:tc>
                <w:tcPr>
                  <w:tcW w:w="1691" w:type="dxa"/>
                  <w:shd w:val="clear" w:color="auto" w:fill="auto"/>
                  <w:vAlign w:val="center"/>
                </w:tcPr>
                <w:p w14:paraId="1C9B0831">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压刨机</w:t>
                  </w:r>
                </w:p>
              </w:tc>
              <w:tc>
                <w:tcPr>
                  <w:tcW w:w="2640" w:type="dxa"/>
                  <w:shd w:val="clear" w:color="auto" w:fill="auto"/>
                  <w:vAlign w:val="center"/>
                </w:tcPr>
                <w:p w14:paraId="0296135A">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5271051D">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1</w:t>
                  </w:r>
                  <w:r>
                    <w:rPr>
                      <w:rStyle w:val="105"/>
                      <w:rFonts w:hint="default" w:ascii="Times New Roman" w:hAnsi="Times New Roman" w:cs="Times New Roman"/>
                      <w:color w:val="auto"/>
                      <w:highlight w:val="none"/>
                    </w:rPr>
                    <w:t>台</w:t>
                  </w:r>
                </w:p>
              </w:tc>
              <w:tc>
                <w:tcPr>
                  <w:tcW w:w="900" w:type="dxa"/>
                  <w:shd w:val="clear" w:color="auto" w:fill="auto"/>
                  <w:vAlign w:val="center"/>
                </w:tcPr>
                <w:p w14:paraId="54DE03D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6445A1C6">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1</w:t>
                  </w:r>
                  <w:r>
                    <w:rPr>
                      <w:rStyle w:val="105"/>
                      <w:rFonts w:hint="default" w:ascii="Times New Roman" w:hAnsi="Times New Roman" w:cs="Times New Roman"/>
                      <w:color w:val="auto"/>
                      <w:highlight w:val="none"/>
                    </w:rPr>
                    <w:t>台</w:t>
                  </w:r>
                </w:p>
              </w:tc>
              <w:tc>
                <w:tcPr>
                  <w:tcW w:w="759" w:type="dxa"/>
                  <w:shd w:val="clear" w:color="auto" w:fill="auto"/>
                  <w:vAlign w:val="center"/>
                </w:tcPr>
                <w:p w14:paraId="5E5C06E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6E86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7539EA8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39</w:t>
                  </w:r>
                </w:p>
              </w:tc>
              <w:tc>
                <w:tcPr>
                  <w:tcW w:w="1691" w:type="dxa"/>
                  <w:shd w:val="clear" w:color="auto" w:fill="auto"/>
                  <w:vAlign w:val="center"/>
                </w:tcPr>
                <w:p w14:paraId="49E76C9A">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平刨机</w:t>
                  </w:r>
                </w:p>
              </w:tc>
              <w:tc>
                <w:tcPr>
                  <w:tcW w:w="2640" w:type="dxa"/>
                  <w:shd w:val="clear" w:color="auto" w:fill="auto"/>
                  <w:vAlign w:val="center"/>
                </w:tcPr>
                <w:p w14:paraId="4E3E19E6">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3F74711C">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4</w:t>
                  </w:r>
                  <w:r>
                    <w:rPr>
                      <w:rStyle w:val="105"/>
                      <w:rFonts w:hint="default" w:ascii="Times New Roman" w:hAnsi="Times New Roman" w:cs="Times New Roman"/>
                      <w:color w:val="auto"/>
                      <w:highlight w:val="none"/>
                    </w:rPr>
                    <w:t>台</w:t>
                  </w:r>
                </w:p>
              </w:tc>
              <w:tc>
                <w:tcPr>
                  <w:tcW w:w="900" w:type="dxa"/>
                  <w:shd w:val="clear" w:color="auto" w:fill="auto"/>
                  <w:vAlign w:val="center"/>
                </w:tcPr>
                <w:p w14:paraId="71240FD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0F81A98B">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4</w:t>
                  </w:r>
                  <w:r>
                    <w:rPr>
                      <w:rStyle w:val="105"/>
                      <w:rFonts w:hint="default" w:ascii="Times New Roman" w:hAnsi="Times New Roman" w:cs="Times New Roman"/>
                      <w:color w:val="auto"/>
                      <w:highlight w:val="none"/>
                    </w:rPr>
                    <w:t>台</w:t>
                  </w:r>
                </w:p>
              </w:tc>
              <w:tc>
                <w:tcPr>
                  <w:tcW w:w="759" w:type="dxa"/>
                  <w:shd w:val="clear" w:color="auto" w:fill="auto"/>
                  <w:vAlign w:val="center"/>
                </w:tcPr>
                <w:p w14:paraId="7C51F09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2BB0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46164C4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40</w:t>
                  </w:r>
                </w:p>
              </w:tc>
              <w:tc>
                <w:tcPr>
                  <w:tcW w:w="1691" w:type="dxa"/>
                  <w:shd w:val="clear" w:color="auto" w:fill="auto"/>
                  <w:vAlign w:val="center"/>
                </w:tcPr>
                <w:p w14:paraId="60792E03">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切料机</w:t>
                  </w:r>
                </w:p>
              </w:tc>
              <w:tc>
                <w:tcPr>
                  <w:tcW w:w="2640" w:type="dxa"/>
                  <w:shd w:val="clear" w:color="auto" w:fill="auto"/>
                  <w:vAlign w:val="center"/>
                </w:tcPr>
                <w:p w14:paraId="23E70A59">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7184C954">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1</w:t>
                  </w:r>
                  <w:r>
                    <w:rPr>
                      <w:rStyle w:val="105"/>
                      <w:rFonts w:hint="default" w:ascii="Times New Roman" w:hAnsi="Times New Roman" w:cs="Times New Roman"/>
                      <w:color w:val="auto"/>
                      <w:highlight w:val="none"/>
                    </w:rPr>
                    <w:t>台</w:t>
                  </w:r>
                </w:p>
              </w:tc>
              <w:tc>
                <w:tcPr>
                  <w:tcW w:w="900" w:type="dxa"/>
                  <w:shd w:val="clear" w:color="auto" w:fill="auto"/>
                  <w:vAlign w:val="center"/>
                </w:tcPr>
                <w:p w14:paraId="0E2C82EC">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5CA73E52">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1</w:t>
                  </w:r>
                  <w:r>
                    <w:rPr>
                      <w:rStyle w:val="105"/>
                      <w:rFonts w:hint="default" w:ascii="Times New Roman" w:hAnsi="Times New Roman" w:cs="Times New Roman"/>
                      <w:color w:val="auto"/>
                      <w:highlight w:val="none"/>
                    </w:rPr>
                    <w:t>台</w:t>
                  </w:r>
                </w:p>
              </w:tc>
              <w:tc>
                <w:tcPr>
                  <w:tcW w:w="759" w:type="dxa"/>
                  <w:shd w:val="clear" w:color="auto" w:fill="auto"/>
                  <w:vAlign w:val="center"/>
                </w:tcPr>
                <w:p w14:paraId="170EBE8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535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267000C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41</w:t>
                  </w:r>
                </w:p>
              </w:tc>
              <w:tc>
                <w:tcPr>
                  <w:tcW w:w="1691" w:type="dxa"/>
                  <w:shd w:val="clear" w:color="auto" w:fill="auto"/>
                  <w:vAlign w:val="center"/>
                </w:tcPr>
                <w:p w14:paraId="31DABC51">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直边机</w:t>
                  </w:r>
                </w:p>
              </w:tc>
              <w:tc>
                <w:tcPr>
                  <w:tcW w:w="2640" w:type="dxa"/>
                  <w:shd w:val="clear" w:color="auto" w:fill="auto"/>
                  <w:vAlign w:val="center"/>
                </w:tcPr>
                <w:p w14:paraId="2F774A17">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0E6225F5">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2</w:t>
                  </w:r>
                  <w:r>
                    <w:rPr>
                      <w:rStyle w:val="105"/>
                      <w:rFonts w:hint="default" w:ascii="Times New Roman" w:hAnsi="Times New Roman" w:cs="Times New Roman"/>
                      <w:color w:val="auto"/>
                      <w:highlight w:val="none"/>
                    </w:rPr>
                    <w:t>台</w:t>
                  </w:r>
                </w:p>
              </w:tc>
              <w:tc>
                <w:tcPr>
                  <w:tcW w:w="900" w:type="dxa"/>
                  <w:shd w:val="clear" w:color="auto" w:fill="auto"/>
                  <w:vAlign w:val="center"/>
                </w:tcPr>
                <w:p w14:paraId="6656D40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2C123C29">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2</w:t>
                  </w:r>
                  <w:r>
                    <w:rPr>
                      <w:rStyle w:val="105"/>
                      <w:rFonts w:hint="default" w:ascii="Times New Roman" w:hAnsi="Times New Roman" w:cs="Times New Roman"/>
                      <w:color w:val="auto"/>
                      <w:highlight w:val="none"/>
                    </w:rPr>
                    <w:t>台</w:t>
                  </w:r>
                </w:p>
              </w:tc>
              <w:tc>
                <w:tcPr>
                  <w:tcW w:w="759" w:type="dxa"/>
                  <w:shd w:val="clear" w:color="auto" w:fill="auto"/>
                  <w:vAlign w:val="center"/>
                </w:tcPr>
                <w:p w14:paraId="529ABC46">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0271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4438B196">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42</w:t>
                  </w:r>
                </w:p>
              </w:tc>
              <w:tc>
                <w:tcPr>
                  <w:tcW w:w="1691" w:type="dxa"/>
                  <w:shd w:val="clear" w:color="auto" w:fill="auto"/>
                  <w:vAlign w:val="center"/>
                </w:tcPr>
                <w:p w14:paraId="4E019A23">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皮带锯</w:t>
                  </w:r>
                </w:p>
              </w:tc>
              <w:tc>
                <w:tcPr>
                  <w:tcW w:w="2640" w:type="dxa"/>
                  <w:shd w:val="clear" w:color="auto" w:fill="auto"/>
                  <w:vAlign w:val="center"/>
                </w:tcPr>
                <w:p w14:paraId="2E8317F8">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763B441B">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3</w:t>
                  </w:r>
                  <w:r>
                    <w:rPr>
                      <w:rStyle w:val="105"/>
                      <w:rFonts w:hint="default" w:ascii="Times New Roman" w:hAnsi="Times New Roman" w:cs="Times New Roman"/>
                      <w:color w:val="auto"/>
                      <w:highlight w:val="none"/>
                    </w:rPr>
                    <w:t>台</w:t>
                  </w:r>
                </w:p>
              </w:tc>
              <w:tc>
                <w:tcPr>
                  <w:tcW w:w="900" w:type="dxa"/>
                  <w:shd w:val="clear" w:color="auto" w:fill="auto"/>
                  <w:vAlign w:val="center"/>
                </w:tcPr>
                <w:p w14:paraId="5AB0B6CB">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486174AB">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3</w:t>
                  </w:r>
                  <w:r>
                    <w:rPr>
                      <w:rStyle w:val="105"/>
                      <w:rFonts w:hint="default" w:ascii="Times New Roman" w:hAnsi="Times New Roman" w:cs="Times New Roman"/>
                      <w:color w:val="auto"/>
                      <w:highlight w:val="none"/>
                    </w:rPr>
                    <w:t>台</w:t>
                  </w:r>
                </w:p>
              </w:tc>
              <w:tc>
                <w:tcPr>
                  <w:tcW w:w="759" w:type="dxa"/>
                  <w:shd w:val="clear" w:color="auto" w:fill="auto"/>
                  <w:vAlign w:val="center"/>
                </w:tcPr>
                <w:p w14:paraId="5DC5A5A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58A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627ACBC2">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43</w:t>
                  </w:r>
                </w:p>
              </w:tc>
              <w:tc>
                <w:tcPr>
                  <w:tcW w:w="1691" w:type="dxa"/>
                  <w:shd w:val="clear" w:color="auto" w:fill="auto"/>
                  <w:vAlign w:val="center"/>
                </w:tcPr>
                <w:p w14:paraId="1BE7C64B">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打磨机</w:t>
                  </w:r>
                </w:p>
              </w:tc>
              <w:tc>
                <w:tcPr>
                  <w:tcW w:w="2640" w:type="dxa"/>
                  <w:shd w:val="clear" w:color="auto" w:fill="auto"/>
                  <w:vAlign w:val="center"/>
                </w:tcPr>
                <w:p w14:paraId="25AEFC8C">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451B3D68">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6</w:t>
                  </w:r>
                  <w:r>
                    <w:rPr>
                      <w:rStyle w:val="105"/>
                      <w:rFonts w:hint="default" w:ascii="Times New Roman" w:hAnsi="Times New Roman" w:cs="Times New Roman"/>
                      <w:color w:val="auto"/>
                      <w:highlight w:val="none"/>
                    </w:rPr>
                    <w:t>台</w:t>
                  </w:r>
                </w:p>
              </w:tc>
              <w:tc>
                <w:tcPr>
                  <w:tcW w:w="900" w:type="dxa"/>
                  <w:shd w:val="clear" w:color="auto" w:fill="auto"/>
                  <w:vAlign w:val="center"/>
                </w:tcPr>
                <w:p w14:paraId="410FA19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0FB7CDEB">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6</w:t>
                  </w:r>
                  <w:r>
                    <w:rPr>
                      <w:rStyle w:val="105"/>
                      <w:rFonts w:hint="default" w:ascii="Times New Roman" w:hAnsi="Times New Roman" w:cs="Times New Roman"/>
                      <w:color w:val="auto"/>
                      <w:highlight w:val="none"/>
                    </w:rPr>
                    <w:t>台</w:t>
                  </w:r>
                </w:p>
              </w:tc>
              <w:tc>
                <w:tcPr>
                  <w:tcW w:w="759" w:type="dxa"/>
                  <w:shd w:val="clear" w:color="auto" w:fill="auto"/>
                  <w:vAlign w:val="center"/>
                </w:tcPr>
                <w:p w14:paraId="1963679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502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6B3CD5C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44</w:t>
                  </w:r>
                </w:p>
              </w:tc>
              <w:tc>
                <w:tcPr>
                  <w:tcW w:w="1691" w:type="dxa"/>
                  <w:shd w:val="clear" w:color="auto" w:fill="auto"/>
                  <w:vAlign w:val="center"/>
                </w:tcPr>
                <w:p w14:paraId="17E260FB">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铣床</w:t>
                  </w:r>
                </w:p>
              </w:tc>
              <w:tc>
                <w:tcPr>
                  <w:tcW w:w="2640" w:type="dxa"/>
                  <w:shd w:val="clear" w:color="auto" w:fill="auto"/>
                  <w:vAlign w:val="center"/>
                </w:tcPr>
                <w:p w14:paraId="62AF3275">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762F91F6">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lang w:val="en-US" w:eastAsia="zh-CN"/>
                    </w:rPr>
                    <w:t>1</w:t>
                  </w:r>
                  <w:r>
                    <w:rPr>
                      <w:rStyle w:val="105"/>
                      <w:rFonts w:hint="default" w:ascii="Times New Roman" w:hAnsi="Times New Roman" w:cs="Times New Roman"/>
                      <w:color w:val="auto"/>
                      <w:highlight w:val="none"/>
                    </w:rPr>
                    <w:t>台</w:t>
                  </w:r>
                </w:p>
              </w:tc>
              <w:tc>
                <w:tcPr>
                  <w:tcW w:w="900" w:type="dxa"/>
                  <w:shd w:val="clear" w:color="auto" w:fill="auto"/>
                  <w:vAlign w:val="center"/>
                </w:tcPr>
                <w:p w14:paraId="19FF73F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780FBBD7">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lang w:val="en-US" w:eastAsia="zh-CN"/>
                    </w:rPr>
                    <w:t>1</w:t>
                  </w:r>
                  <w:r>
                    <w:rPr>
                      <w:rStyle w:val="105"/>
                      <w:rFonts w:hint="default" w:ascii="Times New Roman" w:hAnsi="Times New Roman" w:cs="Times New Roman"/>
                      <w:color w:val="auto"/>
                      <w:highlight w:val="none"/>
                    </w:rPr>
                    <w:t>台</w:t>
                  </w:r>
                </w:p>
              </w:tc>
              <w:tc>
                <w:tcPr>
                  <w:tcW w:w="759" w:type="dxa"/>
                  <w:shd w:val="clear" w:color="auto" w:fill="auto"/>
                  <w:vAlign w:val="center"/>
                </w:tcPr>
                <w:p w14:paraId="0EA61866">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0832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3AEA44C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45</w:t>
                  </w:r>
                </w:p>
              </w:tc>
              <w:tc>
                <w:tcPr>
                  <w:tcW w:w="1691" w:type="dxa"/>
                  <w:shd w:val="clear" w:color="auto" w:fill="auto"/>
                  <w:vAlign w:val="center"/>
                </w:tcPr>
                <w:p w14:paraId="4A872316">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砂轮机</w:t>
                  </w:r>
                </w:p>
              </w:tc>
              <w:tc>
                <w:tcPr>
                  <w:tcW w:w="2640" w:type="dxa"/>
                  <w:shd w:val="clear" w:color="auto" w:fill="auto"/>
                  <w:vAlign w:val="center"/>
                </w:tcPr>
                <w:p w14:paraId="03A8481C">
                  <w:pPr>
                    <w:widowControl/>
                    <w:jc w:val="center"/>
                    <w:textAlignment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2C18C9FD">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2台</w:t>
                  </w:r>
                </w:p>
              </w:tc>
              <w:tc>
                <w:tcPr>
                  <w:tcW w:w="900" w:type="dxa"/>
                  <w:shd w:val="clear" w:color="auto" w:fill="auto"/>
                  <w:vAlign w:val="center"/>
                </w:tcPr>
                <w:p w14:paraId="29A674D0">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4EEE1F5E">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2</w:t>
                  </w:r>
                  <w:r>
                    <w:rPr>
                      <w:rStyle w:val="105"/>
                      <w:rFonts w:hint="default" w:ascii="Times New Roman" w:hAnsi="Times New Roman" w:cs="Times New Roman"/>
                      <w:color w:val="auto"/>
                      <w:highlight w:val="none"/>
                    </w:rPr>
                    <w:t>台</w:t>
                  </w:r>
                </w:p>
              </w:tc>
              <w:tc>
                <w:tcPr>
                  <w:tcW w:w="759" w:type="dxa"/>
                  <w:shd w:val="clear" w:color="auto" w:fill="auto"/>
                  <w:vAlign w:val="center"/>
                </w:tcPr>
                <w:p w14:paraId="115847EC">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013E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24AE53F6">
                  <w:pPr>
                    <w:adjustRightInd w:val="0"/>
                    <w:snapToGrid w:val="0"/>
                    <w:jc w:val="both"/>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46</w:t>
                  </w:r>
                </w:p>
              </w:tc>
              <w:tc>
                <w:tcPr>
                  <w:tcW w:w="1691" w:type="dxa"/>
                  <w:shd w:val="clear" w:color="auto" w:fill="auto"/>
                  <w:vAlign w:val="center"/>
                </w:tcPr>
                <w:p w14:paraId="5F3185EE">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磨刀机</w:t>
                  </w:r>
                </w:p>
              </w:tc>
              <w:tc>
                <w:tcPr>
                  <w:tcW w:w="2640" w:type="dxa"/>
                  <w:shd w:val="clear" w:color="auto" w:fill="auto"/>
                  <w:vAlign w:val="center"/>
                </w:tcPr>
                <w:p w14:paraId="618F4E14">
                  <w:pPr>
                    <w:widowControl/>
                    <w:jc w:val="center"/>
                    <w:textAlignment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704D0D87">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1台</w:t>
                  </w:r>
                </w:p>
              </w:tc>
              <w:tc>
                <w:tcPr>
                  <w:tcW w:w="900" w:type="dxa"/>
                  <w:shd w:val="clear" w:color="auto" w:fill="auto"/>
                  <w:vAlign w:val="center"/>
                </w:tcPr>
                <w:p w14:paraId="0405E890">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0B0E657A">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1</w:t>
                  </w:r>
                  <w:r>
                    <w:rPr>
                      <w:rStyle w:val="105"/>
                      <w:rFonts w:hint="default" w:ascii="Times New Roman" w:hAnsi="Times New Roman" w:cs="Times New Roman"/>
                      <w:color w:val="auto"/>
                      <w:highlight w:val="none"/>
                    </w:rPr>
                    <w:t>台</w:t>
                  </w:r>
                </w:p>
              </w:tc>
              <w:tc>
                <w:tcPr>
                  <w:tcW w:w="759" w:type="dxa"/>
                  <w:shd w:val="clear" w:color="auto" w:fill="auto"/>
                  <w:vAlign w:val="center"/>
                </w:tcPr>
                <w:p w14:paraId="01D6B8A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4460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37642CEC">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47</w:t>
                  </w:r>
                </w:p>
              </w:tc>
              <w:tc>
                <w:tcPr>
                  <w:tcW w:w="1691" w:type="dxa"/>
                  <w:shd w:val="clear" w:color="auto" w:fill="auto"/>
                  <w:vAlign w:val="center"/>
                </w:tcPr>
                <w:p w14:paraId="72E37E0F">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切割机</w:t>
                  </w:r>
                </w:p>
              </w:tc>
              <w:tc>
                <w:tcPr>
                  <w:tcW w:w="2640" w:type="dxa"/>
                  <w:shd w:val="clear" w:color="auto" w:fill="auto"/>
                  <w:vAlign w:val="center"/>
                </w:tcPr>
                <w:p w14:paraId="65A966ED">
                  <w:pPr>
                    <w:widowControl/>
                    <w:jc w:val="center"/>
                    <w:textAlignment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w:t>
                  </w:r>
                </w:p>
              </w:tc>
              <w:tc>
                <w:tcPr>
                  <w:tcW w:w="888" w:type="dxa"/>
                  <w:shd w:val="clear" w:color="auto" w:fill="auto"/>
                  <w:vAlign w:val="center"/>
                </w:tcPr>
                <w:p w14:paraId="65A4F057">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2台</w:t>
                  </w:r>
                </w:p>
              </w:tc>
              <w:tc>
                <w:tcPr>
                  <w:tcW w:w="900" w:type="dxa"/>
                  <w:shd w:val="clear" w:color="auto" w:fill="auto"/>
                  <w:vAlign w:val="center"/>
                </w:tcPr>
                <w:p w14:paraId="667D544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6C77B235">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2</w:t>
                  </w:r>
                  <w:r>
                    <w:rPr>
                      <w:rStyle w:val="105"/>
                      <w:rFonts w:hint="default" w:ascii="Times New Roman" w:hAnsi="Times New Roman" w:cs="Times New Roman"/>
                      <w:color w:val="auto"/>
                      <w:highlight w:val="none"/>
                    </w:rPr>
                    <w:t>台</w:t>
                  </w:r>
                </w:p>
              </w:tc>
              <w:tc>
                <w:tcPr>
                  <w:tcW w:w="759" w:type="dxa"/>
                  <w:shd w:val="clear" w:color="auto" w:fill="auto"/>
                  <w:vAlign w:val="center"/>
                </w:tcPr>
                <w:p w14:paraId="5E1A9DD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5D4C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8" w:type="dxa"/>
                  <w:vAlign w:val="center"/>
                </w:tcPr>
                <w:p w14:paraId="67CC4B0B">
                  <w:pPr>
                    <w:adjustRightInd w:val="0"/>
                    <w:snapToGrid w:val="0"/>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48</w:t>
                  </w:r>
                </w:p>
              </w:tc>
              <w:tc>
                <w:tcPr>
                  <w:tcW w:w="1691" w:type="dxa"/>
                  <w:shd w:val="clear" w:color="auto" w:fill="auto"/>
                  <w:vAlign w:val="center"/>
                </w:tcPr>
                <w:p w14:paraId="1337B20B">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数控机床</w:t>
                  </w:r>
                </w:p>
              </w:tc>
              <w:tc>
                <w:tcPr>
                  <w:tcW w:w="2640" w:type="dxa"/>
                  <w:shd w:val="clear" w:color="auto" w:fill="auto"/>
                  <w:vAlign w:val="center"/>
                </w:tcPr>
                <w:p w14:paraId="2F125D7C">
                  <w:pPr>
                    <w:widowControl/>
                    <w:jc w:val="center"/>
                    <w:textAlignment w:val="center"/>
                    <w:rPr>
                      <w:rFonts w:hint="default" w:ascii="Times New Roman" w:hAnsi="Times New Roman" w:cs="Times New Roman"/>
                      <w:color w:val="auto"/>
                      <w:kern w:val="0"/>
                      <w:highlight w:val="none"/>
                    </w:rPr>
                  </w:pPr>
                </w:p>
              </w:tc>
              <w:tc>
                <w:tcPr>
                  <w:tcW w:w="888" w:type="dxa"/>
                  <w:shd w:val="clear" w:color="auto" w:fill="auto"/>
                  <w:vAlign w:val="center"/>
                </w:tcPr>
                <w:p w14:paraId="667DB2F9">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2台</w:t>
                  </w:r>
                </w:p>
              </w:tc>
              <w:tc>
                <w:tcPr>
                  <w:tcW w:w="900" w:type="dxa"/>
                  <w:shd w:val="clear" w:color="auto" w:fill="auto"/>
                  <w:vAlign w:val="center"/>
                </w:tcPr>
                <w:p w14:paraId="0252866B">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17" w:type="dxa"/>
                  <w:shd w:val="clear" w:color="auto" w:fill="auto"/>
                  <w:vAlign w:val="center"/>
                </w:tcPr>
                <w:p w14:paraId="74459313">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2</w:t>
                  </w:r>
                  <w:r>
                    <w:rPr>
                      <w:rStyle w:val="105"/>
                      <w:rFonts w:hint="default" w:ascii="Times New Roman" w:hAnsi="Times New Roman" w:cs="Times New Roman"/>
                      <w:color w:val="auto"/>
                      <w:highlight w:val="none"/>
                    </w:rPr>
                    <w:t>台</w:t>
                  </w:r>
                </w:p>
              </w:tc>
              <w:tc>
                <w:tcPr>
                  <w:tcW w:w="759" w:type="dxa"/>
                  <w:shd w:val="clear" w:color="auto" w:fill="auto"/>
                  <w:vAlign w:val="center"/>
                </w:tcPr>
                <w:p w14:paraId="5E5CAB7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1CE7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283" w:type="dxa"/>
                  <w:gridSpan w:val="7"/>
                  <w:vAlign w:val="center"/>
                </w:tcPr>
                <w:p w14:paraId="3089BA14">
                  <w:pPr>
                    <w:adjustRightInd w:val="0"/>
                    <w:snapToGrid w:val="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b/>
                      <w:bCs/>
                      <w:color w:val="auto"/>
                      <w:kern w:val="0"/>
                      <w:szCs w:val="21"/>
                      <w:highlight w:val="none"/>
                      <w:lang w:val="en-US" w:eastAsia="zh-CN"/>
                    </w:rPr>
                    <w:t>本项目设备情况</w:t>
                  </w:r>
                </w:p>
              </w:tc>
            </w:tr>
            <w:tr w14:paraId="3BEC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88" w:type="dxa"/>
                  <w:vAlign w:val="center"/>
                </w:tcPr>
                <w:p w14:paraId="27836CA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49</w:t>
                  </w:r>
                </w:p>
              </w:tc>
              <w:tc>
                <w:tcPr>
                  <w:tcW w:w="1691" w:type="dxa"/>
                  <w:shd w:val="clear" w:color="auto" w:fill="auto"/>
                  <w:vAlign w:val="center"/>
                </w:tcPr>
                <w:p w14:paraId="77EC5FCA">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喷漆柜</w:t>
                  </w:r>
                </w:p>
              </w:tc>
              <w:tc>
                <w:tcPr>
                  <w:tcW w:w="2640" w:type="dxa"/>
                  <w:shd w:val="clear" w:color="auto" w:fill="auto"/>
                  <w:vAlign w:val="center"/>
                </w:tcPr>
                <w:p w14:paraId="4223C4C4">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尺寸长2.5m*宽2.5m*高3m（含1把喷枪）</w:t>
                  </w:r>
                </w:p>
              </w:tc>
              <w:tc>
                <w:tcPr>
                  <w:tcW w:w="888" w:type="dxa"/>
                  <w:shd w:val="clear" w:color="auto" w:fill="auto"/>
                  <w:vAlign w:val="center"/>
                </w:tcPr>
                <w:p w14:paraId="71405AC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00" w:type="dxa"/>
                  <w:shd w:val="clear" w:color="auto" w:fill="auto"/>
                  <w:vAlign w:val="center"/>
                </w:tcPr>
                <w:p w14:paraId="4CE6B03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1台</w:t>
                  </w:r>
                </w:p>
              </w:tc>
              <w:tc>
                <w:tcPr>
                  <w:tcW w:w="917" w:type="dxa"/>
                  <w:shd w:val="clear" w:color="auto" w:fill="auto"/>
                  <w:vAlign w:val="center"/>
                </w:tcPr>
                <w:p w14:paraId="49035C57">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1台</w:t>
                  </w:r>
                </w:p>
              </w:tc>
              <w:tc>
                <w:tcPr>
                  <w:tcW w:w="759" w:type="dxa"/>
                  <w:shd w:val="clear" w:color="auto" w:fill="auto"/>
                  <w:vAlign w:val="center"/>
                </w:tcPr>
                <w:p w14:paraId="20FA431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w:t>
                  </w:r>
                </w:p>
              </w:tc>
            </w:tr>
            <w:tr w14:paraId="62ED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88" w:type="dxa"/>
                  <w:vAlign w:val="center"/>
                </w:tcPr>
                <w:p w14:paraId="73AFD76B">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50</w:t>
                  </w:r>
                </w:p>
              </w:tc>
              <w:tc>
                <w:tcPr>
                  <w:tcW w:w="1691" w:type="dxa"/>
                  <w:shd w:val="clear" w:color="auto" w:fill="auto"/>
                  <w:vAlign w:val="center"/>
                </w:tcPr>
                <w:p w14:paraId="3BE8275F">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烤箱</w:t>
                  </w:r>
                </w:p>
              </w:tc>
              <w:tc>
                <w:tcPr>
                  <w:tcW w:w="2640" w:type="dxa"/>
                  <w:shd w:val="clear" w:color="auto" w:fill="auto"/>
                  <w:vAlign w:val="center"/>
                </w:tcPr>
                <w:p w14:paraId="543B38F5">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尺寸长2.5m*宽2.5m*高3m</w:t>
                  </w:r>
                </w:p>
              </w:tc>
              <w:tc>
                <w:tcPr>
                  <w:tcW w:w="888" w:type="dxa"/>
                  <w:shd w:val="clear" w:color="auto" w:fill="auto"/>
                  <w:vAlign w:val="center"/>
                </w:tcPr>
                <w:p w14:paraId="7F04F9D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00" w:type="dxa"/>
                  <w:shd w:val="clear" w:color="auto" w:fill="auto"/>
                  <w:vAlign w:val="center"/>
                </w:tcPr>
                <w:p w14:paraId="7CF1FAC8">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2台</w:t>
                  </w:r>
                </w:p>
              </w:tc>
              <w:tc>
                <w:tcPr>
                  <w:tcW w:w="917" w:type="dxa"/>
                  <w:shd w:val="clear" w:color="auto" w:fill="auto"/>
                  <w:vAlign w:val="center"/>
                </w:tcPr>
                <w:p w14:paraId="6A2EBBB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2台</w:t>
                  </w:r>
                </w:p>
              </w:tc>
              <w:tc>
                <w:tcPr>
                  <w:tcW w:w="759" w:type="dxa"/>
                  <w:shd w:val="clear" w:color="auto" w:fill="auto"/>
                  <w:vAlign w:val="center"/>
                </w:tcPr>
                <w:p w14:paraId="1DE485CB">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w:t>
                  </w:r>
                </w:p>
              </w:tc>
            </w:tr>
            <w:tr w14:paraId="2EA4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488" w:type="dxa"/>
                  <w:vAlign w:val="center"/>
                </w:tcPr>
                <w:p w14:paraId="4EF632D4">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51</w:t>
                  </w:r>
                </w:p>
              </w:tc>
              <w:tc>
                <w:tcPr>
                  <w:tcW w:w="1691" w:type="dxa"/>
                  <w:shd w:val="clear" w:color="auto" w:fill="auto"/>
                  <w:vAlign w:val="center"/>
                </w:tcPr>
                <w:p w14:paraId="5608CFF9">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喷粉柜</w:t>
                  </w:r>
                </w:p>
              </w:tc>
              <w:tc>
                <w:tcPr>
                  <w:tcW w:w="2640" w:type="dxa"/>
                  <w:shd w:val="clear" w:color="auto" w:fill="auto"/>
                  <w:vAlign w:val="center"/>
                </w:tcPr>
                <w:p w14:paraId="2B1F5EF2">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尺寸长1.5m*宽1.5m*高1.8m（含1把喷枪）</w:t>
                  </w:r>
                </w:p>
              </w:tc>
              <w:tc>
                <w:tcPr>
                  <w:tcW w:w="888" w:type="dxa"/>
                  <w:shd w:val="clear" w:color="auto" w:fill="auto"/>
                  <w:vAlign w:val="center"/>
                </w:tcPr>
                <w:p w14:paraId="6D8A3B6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0台</w:t>
                  </w:r>
                </w:p>
              </w:tc>
              <w:tc>
                <w:tcPr>
                  <w:tcW w:w="900" w:type="dxa"/>
                  <w:shd w:val="clear" w:color="auto" w:fill="auto"/>
                  <w:vAlign w:val="center"/>
                </w:tcPr>
                <w:p w14:paraId="6B17032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3台</w:t>
                  </w:r>
                </w:p>
              </w:tc>
              <w:tc>
                <w:tcPr>
                  <w:tcW w:w="917" w:type="dxa"/>
                  <w:shd w:val="clear" w:color="auto" w:fill="auto"/>
                  <w:vAlign w:val="center"/>
                </w:tcPr>
                <w:p w14:paraId="6CE0529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3台</w:t>
                  </w:r>
                </w:p>
              </w:tc>
              <w:tc>
                <w:tcPr>
                  <w:tcW w:w="759" w:type="dxa"/>
                  <w:shd w:val="clear" w:color="auto" w:fill="auto"/>
                  <w:vAlign w:val="center"/>
                </w:tcPr>
                <w:p w14:paraId="74CE6FC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w:t>
                  </w:r>
                </w:p>
              </w:tc>
            </w:tr>
          </w:tbl>
          <w:p w14:paraId="6B8B021A">
            <w:pPr>
              <w:spacing w:before="120" w:beforeLines="50" w:line="360" w:lineRule="auto"/>
              <w:ind w:left="420" w:left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6、主要原辅材料</w:t>
            </w:r>
          </w:p>
          <w:p w14:paraId="4EDC9648">
            <w:pPr>
              <w:pStyle w:val="7"/>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r>
              <w:rPr>
                <w:rFonts w:hint="default" w:ascii="Times New Roman" w:hAnsi="Times New Roman" w:cs="Times New Roman"/>
                <w:b/>
                <w:bCs/>
                <w:color w:val="auto"/>
                <w:sz w:val="24"/>
                <w:highlight w:val="none"/>
              </w:rPr>
              <w:t>（1）原辅材料用量</w:t>
            </w:r>
          </w:p>
          <w:p w14:paraId="7F7E254A">
            <w:pPr>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表2-</w:t>
            </w:r>
            <w:r>
              <w:rPr>
                <w:rFonts w:hint="default" w:ascii="Times New Roman" w:hAnsi="Times New Roman" w:cs="Times New Roman"/>
                <w:b/>
                <w:color w:val="auto"/>
                <w:sz w:val="24"/>
                <w:highlight w:val="none"/>
                <w:lang w:val="en-US" w:eastAsia="zh-CN"/>
              </w:rPr>
              <w:t>6</w:t>
            </w:r>
            <w:r>
              <w:rPr>
                <w:rFonts w:hint="default" w:ascii="Times New Roman" w:hAnsi="Times New Roman" w:cs="Times New Roman"/>
                <w:b/>
                <w:color w:val="auto"/>
                <w:sz w:val="24"/>
                <w:highlight w:val="none"/>
              </w:rPr>
              <w:t xml:space="preserve"> 主要原辅材料</w:t>
            </w:r>
          </w:p>
          <w:tbl>
            <w:tblPr>
              <w:tblStyle w:val="26"/>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1916"/>
              <w:gridCol w:w="1300"/>
              <w:gridCol w:w="1213"/>
              <w:gridCol w:w="1312"/>
              <w:gridCol w:w="1025"/>
              <w:gridCol w:w="991"/>
            </w:tblGrid>
            <w:tr w14:paraId="61D5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2" w:type="dxa"/>
                  <w:vAlign w:val="center"/>
                </w:tcPr>
                <w:p w14:paraId="25697F9F">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1916" w:type="dxa"/>
                  <w:vAlign w:val="center"/>
                </w:tcPr>
                <w:p w14:paraId="5B51B46D">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名称</w:t>
                  </w:r>
                </w:p>
              </w:tc>
              <w:tc>
                <w:tcPr>
                  <w:tcW w:w="1300" w:type="dxa"/>
                  <w:vAlign w:val="center"/>
                </w:tcPr>
                <w:p w14:paraId="6883A63E">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color w:val="auto"/>
                      <w:szCs w:val="21"/>
                      <w:highlight w:val="none"/>
                    </w:rPr>
                    <w:t>原项目年用量</w:t>
                  </w:r>
                </w:p>
              </w:tc>
              <w:tc>
                <w:tcPr>
                  <w:tcW w:w="1213" w:type="dxa"/>
                  <w:vAlign w:val="center"/>
                </w:tcPr>
                <w:p w14:paraId="1D8D80E7">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color w:val="auto"/>
                      <w:szCs w:val="21"/>
                      <w:highlight w:val="none"/>
                    </w:rPr>
                    <w:t>本项目年用量</w:t>
                  </w:r>
                </w:p>
              </w:tc>
              <w:tc>
                <w:tcPr>
                  <w:tcW w:w="1312" w:type="dxa"/>
                  <w:vAlign w:val="center"/>
                </w:tcPr>
                <w:p w14:paraId="5896D25E">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color w:val="auto"/>
                      <w:szCs w:val="21"/>
                      <w:highlight w:val="none"/>
                    </w:rPr>
                    <w:t>全厂年用量合计</w:t>
                  </w:r>
                </w:p>
              </w:tc>
              <w:tc>
                <w:tcPr>
                  <w:tcW w:w="1025" w:type="dxa"/>
                  <w:vAlign w:val="center"/>
                </w:tcPr>
                <w:p w14:paraId="2D113FAF">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color w:val="auto"/>
                      <w:szCs w:val="21"/>
                      <w:highlight w:val="none"/>
                    </w:rPr>
                    <w:t>变动情况</w:t>
                  </w:r>
                </w:p>
              </w:tc>
              <w:tc>
                <w:tcPr>
                  <w:tcW w:w="991" w:type="dxa"/>
                  <w:vAlign w:val="center"/>
                </w:tcPr>
                <w:p w14:paraId="09C4E6C2">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最大储量</w:t>
                  </w:r>
                </w:p>
              </w:tc>
            </w:tr>
            <w:tr w14:paraId="5362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379" w:type="dxa"/>
                  <w:gridSpan w:val="7"/>
                  <w:vAlign w:val="center"/>
                </w:tcPr>
                <w:p w14:paraId="1BECD929">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b/>
                      <w:bCs/>
                      <w:color w:val="auto"/>
                      <w:kern w:val="0"/>
                      <w:sz w:val="22"/>
                      <w:szCs w:val="22"/>
                      <w:highlight w:val="none"/>
                      <w:lang w:val="en-US" w:eastAsia="zh-CN" w:bidi="ar"/>
                    </w:rPr>
                    <w:t>一期主要原辅材料</w:t>
                  </w:r>
                </w:p>
              </w:tc>
            </w:tr>
            <w:tr w14:paraId="459A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 w:type="dxa"/>
                  <w:vAlign w:val="center"/>
                </w:tcPr>
                <w:p w14:paraId="0B240C2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916" w:type="dxa"/>
                  <w:vAlign w:val="center"/>
                </w:tcPr>
                <w:p w14:paraId="59ABA91A">
                  <w:pPr>
                    <w:adjustRightInd w:val="0"/>
                    <w:snapToGrid w:val="0"/>
                    <w:spacing w:before="120" w:beforeLines="5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钢胚</w:t>
                  </w:r>
                </w:p>
              </w:tc>
              <w:tc>
                <w:tcPr>
                  <w:tcW w:w="1300" w:type="dxa"/>
                  <w:vAlign w:val="center"/>
                </w:tcPr>
                <w:p w14:paraId="6AE7BD81">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250t</w:t>
                  </w:r>
                </w:p>
              </w:tc>
              <w:tc>
                <w:tcPr>
                  <w:tcW w:w="1213" w:type="dxa"/>
                  <w:vAlign w:val="center"/>
                </w:tcPr>
                <w:p w14:paraId="50C52BA4">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p>
              </w:tc>
              <w:tc>
                <w:tcPr>
                  <w:tcW w:w="1312" w:type="dxa"/>
                  <w:vAlign w:val="center"/>
                </w:tcPr>
                <w:p w14:paraId="71D48EB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250t</w:t>
                  </w:r>
                </w:p>
              </w:tc>
              <w:tc>
                <w:tcPr>
                  <w:tcW w:w="1025" w:type="dxa"/>
                  <w:vAlign w:val="center"/>
                </w:tcPr>
                <w:p w14:paraId="5321C30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0</w:t>
                  </w:r>
                </w:p>
              </w:tc>
              <w:tc>
                <w:tcPr>
                  <w:tcW w:w="991" w:type="dxa"/>
                  <w:vAlign w:val="center"/>
                </w:tcPr>
                <w:p w14:paraId="764A1900">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20</w:t>
                  </w:r>
                  <w:r>
                    <w:rPr>
                      <w:rFonts w:hint="default" w:ascii="Times New Roman" w:hAnsi="Times New Roman" w:cs="Times New Roman"/>
                      <w:color w:val="auto"/>
                      <w:szCs w:val="21"/>
                      <w:highlight w:val="none"/>
                      <w:lang w:val="en-US" w:eastAsia="zh-CN"/>
                    </w:rPr>
                    <w:t>t</w:t>
                  </w:r>
                </w:p>
              </w:tc>
            </w:tr>
            <w:tr w14:paraId="5950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 w:type="dxa"/>
                  <w:vAlign w:val="center"/>
                </w:tcPr>
                <w:p w14:paraId="3286DC0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1916" w:type="dxa"/>
                  <w:vAlign w:val="center"/>
                </w:tcPr>
                <w:p w14:paraId="5E46D86C">
                  <w:pPr>
                    <w:adjustRightInd w:val="0"/>
                    <w:snapToGrid w:val="0"/>
                    <w:spacing w:before="120" w:beforeLines="5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石英砂</w:t>
                  </w:r>
                </w:p>
              </w:tc>
              <w:tc>
                <w:tcPr>
                  <w:tcW w:w="1300" w:type="dxa"/>
                  <w:vAlign w:val="center"/>
                </w:tcPr>
                <w:p w14:paraId="0E167900">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10t</w:t>
                  </w:r>
                </w:p>
              </w:tc>
              <w:tc>
                <w:tcPr>
                  <w:tcW w:w="1213" w:type="dxa"/>
                  <w:vAlign w:val="center"/>
                </w:tcPr>
                <w:p w14:paraId="79301DF8">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p>
              </w:tc>
              <w:tc>
                <w:tcPr>
                  <w:tcW w:w="1312" w:type="dxa"/>
                  <w:vAlign w:val="center"/>
                </w:tcPr>
                <w:p w14:paraId="32CD258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10t</w:t>
                  </w:r>
                </w:p>
              </w:tc>
              <w:tc>
                <w:tcPr>
                  <w:tcW w:w="1025" w:type="dxa"/>
                  <w:vAlign w:val="center"/>
                </w:tcPr>
                <w:p w14:paraId="0674AA0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0</w:t>
                  </w:r>
                </w:p>
              </w:tc>
              <w:tc>
                <w:tcPr>
                  <w:tcW w:w="991" w:type="dxa"/>
                  <w:vAlign w:val="center"/>
                </w:tcPr>
                <w:p w14:paraId="693A91EF">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1</w:t>
                  </w:r>
                  <w:r>
                    <w:rPr>
                      <w:rFonts w:hint="default" w:ascii="Times New Roman" w:hAnsi="Times New Roman" w:cs="Times New Roman"/>
                      <w:color w:val="auto"/>
                      <w:szCs w:val="21"/>
                      <w:highlight w:val="none"/>
                      <w:lang w:val="en-US" w:eastAsia="zh-CN"/>
                    </w:rPr>
                    <w:t>t</w:t>
                  </w:r>
                </w:p>
              </w:tc>
            </w:tr>
            <w:tr w14:paraId="46F0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 w:type="dxa"/>
                  <w:vAlign w:val="center"/>
                </w:tcPr>
                <w:p w14:paraId="4EF8BDB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1916" w:type="dxa"/>
                  <w:vAlign w:val="center"/>
                </w:tcPr>
                <w:p w14:paraId="6981D3F5">
                  <w:pPr>
                    <w:adjustRightInd w:val="0"/>
                    <w:snapToGrid w:val="0"/>
                    <w:spacing w:before="120" w:beforeLines="5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耐火材料</w:t>
                  </w:r>
                </w:p>
              </w:tc>
              <w:tc>
                <w:tcPr>
                  <w:tcW w:w="1300" w:type="dxa"/>
                  <w:vAlign w:val="center"/>
                </w:tcPr>
                <w:p w14:paraId="23F6CDCB">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2.5t</w:t>
                  </w:r>
                </w:p>
              </w:tc>
              <w:tc>
                <w:tcPr>
                  <w:tcW w:w="1213" w:type="dxa"/>
                  <w:vAlign w:val="center"/>
                </w:tcPr>
                <w:p w14:paraId="7C7B6398">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p>
              </w:tc>
              <w:tc>
                <w:tcPr>
                  <w:tcW w:w="1312" w:type="dxa"/>
                  <w:vAlign w:val="center"/>
                </w:tcPr>
                <w:p w14:paraId="5E039D8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2.5t</w:t>
                  </w:r>
                </w:p>
              </w:tc>
              <w:tc>
                <w:tcPr>
                  <w:tcW w:w="1025" w:type="dxa"/>
                  <w:vAlign w:val="center"/>
                </w:tcPr>
                <w:p w14:paraId="497C854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0</w:t>
                  </w:r>
                </w:p>
              </w:tc>
              <w:tc>
                <w:tcPr>
                  <w:tcW w:w="991" w:type="dxa"/>
                  <w:vAlign w:val="center"/>
                </w:tcPr>
                <w:p w14:paraId="60B54A76">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0.2</w:t>
                  </w:r>
                  <w:r>
                    <w:rPr>
                      <w:rFonts w:hint="default" w:ascii="Times New Roman" w:hAnsi="Times New Roman" w:cs="Times New Roman"/>
                      <w:color w:val="auto"/>
                      <w:szCs w:val="21"/>
                      <w:highlight w:val="none"/>
                      <w:lang w:val="en-US" w:eastAsia="zh-CN"/>
                    </w:rPr>
                    <w:t>t</w:t>
                  </w:r>
                </w:p>
              </w:tc>
            </w:tr>
            <w:tr w14:paraId="6D22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379" w:type="dxa"/>
                  <w:gridSpan w:val="7"/>
                  <w:vAlign w:val="center"/>
                </w:tcPr>
                <w:p w14:paraId="50D71716">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b/>
                      <w:bCs/>
                      <w:color w:val="auto"/>
                      <w:kern w:val="0"/>
                      <w:sz w:val="22"/>
                      <w:szCs w:val="22"/>
                      <w:highlight w:val="none"/>
                      <w:lang w:val="en-US" w:eastAsia="zh-CN" w:bidi="ar"/>
                    </w:rPr>
                    <w:t>二期主要原辅材料</w:t>
                  </w:r>
                </w:p>
              </w:tc>
            </w:tr>
            <w:tr w14:paraId="1F35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 w:type="dxa"/>
                  <w:vAlign w:val="center"/>
                </w:tcPr>
                <w:p w14:paraId="4EFFD4F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1916" w:type="dxa"/>
                  <w:vAlign w:val="center"/>
                </w:tcPr>
                <w:p w14:paraId="4799614B">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冷轧打包料</w:t>
                  </w:r>
                </w:p>
              </w:tc>
              <w:tc>
                <w:tcPr>
                  <w:tcW w:w="1300" w:type="dxa"/>
                  <w:vAlign w:val="center"/>
                </w:tcPr>
                <w:p w14:paraId="62364D1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17</w:t>
                  </w:r>
                  <w:r>
                    <w:rPr>
                      <w:rFonts w:hint="default" w:ascii="Times New Roman" w:hAnsi="Times New Roman" w:cs="Times New Roman"/>
                      <w:color w:val="auto"/>
                      <w:szCs w:val="21"/>
                      <w:highlight w:val="none"/>
                    </w:rPr>
                    <w:t>00m</w:t>
                  </w:r>
                  <w:r>
                    <w:rPr>
                      <w:rFonts w:hint="default" w:ascii="Times New Roman" w:hAnsi="Times New Roman" w:cs="Times New Roman"/>
                      <w:color w:val="auto"/>
                      <w:szCs w:val="21"/>
                      <w:highlight w:val="none"/>
                      <w:vertAlign w:val="superscript"/>
                    </w:rPr>
                    <w:t>3</w:t>
                  </w:r>
                </w:p>
              </w:tc>
              <w:tc>
                <w:tcPr>
                  <w:tcW w:w="1213" w:type="dxa"/>
                  <w:vAlign w:val="center"/>
                </w:tcPr>
                <w:p w14:paraId="58394DB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2966585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17</w:t>
                  </w:r>
                  <w:r>
                    <w:rPr>
                      <w:rFonts w:hint="default" w:ascii="Times New Roman" w:hAnsi="Times New Roman" w:cs="Times New Roman"/>
                      <w:color w:val="auto"/>
                      <w:szCs w:val="21"/>
                      <w:highlight w:val="none"/>
                    </w:rPr>
                    <w:t>00m</w:t>
                  </w:r>
                  <w:r>
                    <w:rPr>
                      <w:rFonts w:hint="default" w:ascii="Times New Roman" w:hAnsi="Times New Roman" w:cs="Times New Roman"/>
                      <w:color w:val="auto"/>
                      <w:szCs w:val="21"/>
                      <w:highlight w:val="none"/>
                      <w:vertAlign w:val="superscript"/>
                    </w:rPr>
                    <w:t>3</w:t>
                  </w:r>
                </w:p>
              </w:tc>
              <w:tc>
                <w:tcPr>
                  <w:tcW w:w="1025" w:type="dxa"/>
                  <w:vAlign w:val="center"/>
                </w:tcPr>
                <w:p w14:paraId="5656ED2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5FD59157">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120</w:t>
                  </w: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r>
            <w:tr w14:paraId="6DA2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6857500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1916" w:type="dxa"/>
                  <w:vAlign w:val="center"/>
                </w:tcPr>
                <w:p w14:paraId="78A60B5C">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铁粉</w:t>
                  </w:r>
                </w:p>
              </w:tc>
              <w:tc>
                <w:tcPr>
                  <w:tcW w:w="1300" w:type="dxa"/>
                  <w:vAlign w:val="center"/>
                </w:tcPr>
                <w:p w14:paraId="150EBB1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0.</w:t>
                  </w:r>
                  <w:r>
                    <w:rPr>
                      <w:rFonts w:hint="default" w:ascii="Times New Roman" w:hAnsi="Times New Roman" w:cs="Times New Roman"/>
                      <w:color w:val="auto"/>
                      <w:szCs w:val="21"/>
                      <w:highlight w:val="none"/>
                    </w:rPr>
                    <w:t>7t</w:t>
                  </w:r>
                </w:p>
              </w:tc>
              <w:tc>
                <w:tcPr>
                  <w:tcW w:w="1213" w:type="dxa"/>
                  <w:vAlign w:val="center"/>
                </w:tcPr>
                <w:p w14:paraId="712B2B5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202B140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0.7t</w:t>
                  </w:r>
                </w:p>
              </w:tc>
              <w:tc>
                <w:tcPr>
                  <w:tcW w:w="1025" w:type="dxa"/>
                  <w:vAlign w:val="center"/>
                </w:tcPr>
                <w:p w14:paraId="2FAC45F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7F0493AE">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 w:val="22"/>
                      <w:szCs w:val="22"/>
                      <w:highlight w:val="none"/>
                      <w:lang w:val="en-US" w:eastAsia="zh-CN" w:bidi="ar"/>
                    </w:rPr>
                    <w:t>1</w:t>
                  </w:r>
                  <w:r>
                    <w:rPr>
                      <w:rFonts w:hint="default" w:ascii="Times New Roman" w:hAnsi="Times New Roman" w:cs="Times New Roman"/>
                      <w:color w:val="auto"/>
                      <w:szCs w:val="21"/>
                      <w:highlight w:val="none"/>
                      <w:lang w:val="en-US" w:eastAsia="zh-CN"/>
                    </w:rPr>
                    <w:t>t</w:t>
                  </w:r>
                </w:p>
              </w:tc>
            </w:tr>
            <w:tr w14:paraId="2EA0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0A1FEA3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1916" w:type="dxa"/>
                  <w:vAlign w:val="center"/>
                </w:tcPr>
                <w:p w14:paraId="0568CE7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原生铁</w:t>
                  </w:r>
                </w:p>
              </w:tc>
              <w:tc>
                <w:tcPr>
                  <w:tcW w:w="1300" w:type="dxa"/>
                  <w:vAlign w:val="center"/>
                </w:tcPr>
                <w:p w14:paraId="20C4A11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0.15t</w:t>
                  </w:r>
                </w:p>
              </w:tc>
              <w:tc>
                <w:tcPr>
                  <w:tcW w:w="1213" w:type="dxa"/>
                  <w:vAlign w:val="center"/>
                </w:tcPr>
                <w:p w14:paraId="3263BEC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3799A0B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0.15t</w:t>
                  </w:r>
                </w:p>
              </w:tc>
              <w:tc>
                <w:tcPr>
                  <w:tcW w:w="1025" w:type="dxa"/>
                  <w:vAlign w:val="center"/>
                </w:tcPr>
                <w:p w14:paraId="1BB78BF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6B802889">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0.5</w:t>
                  </w:r>
                  <w:r>
                    <w:rPr>
                      <w:rFonts w:hint="default" w:ascii="Times New Roman" w:hAnsi="Times New Roman" w:cs="Times New Roman"/>
                      <w:color w:val="auto"/>
                      <w:szCs w:val="21"/>
                      <w:highlight w:val="none"/>
                      <w:lang w:val="en-US" w:eastAsia="zh-CN"/>
                    </w:rPr>
                    <w:t>t</w:t>
                  </w:r>
                </w:p>
              </w:tc>
            </w:tr>
            <w:tr w14:paraId="596C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4DED911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7</w:t>
                  </w:r>
                </w:p>
              </w:tc>
              <w:tc>
                <w:tcPr>
                  <w:tcW w:w="1916" w:type="dxa"/>
                  <w:vAlign w:val="center"/>
                </w:tcPr>
                <w:p w14:paraId="2DE308C0">
                  <w:pPr>
                    <w:adjustRightInd w:val="0"/>
                    <w:snapToGrid w:val="0"/>
                    <w:spacing w:before="120" w:beforeLines="5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不锈钢</w:t>
                  </w:r>
                  <w:r>
                    <w:rPr>
                      <w:rFonts w:hint="default" w:ascii="Times New Roman" w:hAnsi="Times New Roman" w:cs="Times New Roman"/>
                      <w:bCs/>
                      <w:color w:val="auto"/>
                      <w:szCs w:val="21"/>
                      <w:highlight w:val="none"/>
                      <w:lang w:val="en-US" w:eastAsia="zh-CN"/>
                    </w:rPr>
                    <w:t>打</w:t>
                  </w:r>
                  <w:r>
                    <w:rPr>
                      <w:rFonts w:hint="default" w:ascii="Times New Roman" w:hAnsi="Times New Roman" w:cs="Times New Roman"/>
                      <w:bCs/>
                      <w:color w:val="auto"/>
                      <w:szCs w:val="21"/>
                      <w:highlight w:val="none"/>
                    </w:rPr>
                    <w:t>包料</w:t>
                  </w:r>
                </w:p>
              </w:tc>
              <w:tc>
                <w:tcPr>
                  <w:tcW w:w="1300" w:type="dxa"/>
                  <w:vAlign w:val="center"/>
                </w:tcPr>
                <w:p w14:paraId="79D383D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4000t</w:t>
                  </w:r>
                </w:p>
              </w:tc>
              <w:tc>
                <w:tcPr>
                  <w:tcW w:w="1213" w:type="dxa"/>
                  <w:vAlign w:val="center"/>
                </w:tcPr>
                <w:p w14:paraId="4275C3F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3AECCEE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4000t</w:t>
                  </w:r>
                </w:p>
              </w:tc>
              <w:tc>
                <w:tcPr>
                  <w:tcW w:w="1025" w:type="dxa"/>
                  <w:vAlign w:val="center"/>
                </w:tcPr>
                <w:p w14:paraId="29CA2F6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4C89B186">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 w:val="22"/>
                      <w:szCs w:val="22"/>
                      <w:highlight w:val="none"/>
                      <w:lang w:bidi="ar"/>
                    </w:rPr>
                    <w:t>350</w:t>
                  </w:r>
                  <w:r>
                    <w:rPr>
                      <w:rFonts w:hint="default" w:ascii="Times New Roman" w:hAnsi="Times New Roman" w:cs="Times New Roman"/>
                      <w:color w:val="auto"/>
                      <w:szCs w:val="21"/>
                      <w:highlight w:val="none"/>
                      <w:lang w:val="en-US" w:eastAsia="zh-CN"/>
                    </w:rPr>
                    <w:t>t</w:t>
                  </w:r>
                </w:p>
              </w:tc>
            </w:tr>
            <w:tr w14:paraId="6401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2B0B6E4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8</w:t>
                  </w:r>
                </w:p>
              </w:tc>
              <w:tc>
                <w:tcPr>
                  <w:tcW w:w="1916" w:type="dxa"/>
                  <w:vAlign w:val="center"/>
                </w:tcPr>
                <w:p w14:paraId="70921FA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球化剂</w:t>
                  </w:r>
                </w:p>
              </w:tc>
              <w:tc>
                <w:tcPr>
                  <w:tcW w:w="1300" w:type="dxa"/>
                  <w:vAlign w:val="center"/>
                </w:tcPr>
                <w:p w14:paraId="30D4908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64</w:t>
                  </w:r>
                  <w:r>
                    <w:rPr>
                      <w:rFonts w:hint="default" w:ascii="Times New Roman" w:hAnsi="Times New Roman" w:cs="Times New Roman"/>
                      <w:color w:val="auto"/>
                      <w:szCs w:val="21"/>
                      <w:highlight w:val="none"/>
                    </w:rPr>
                    <w:t>t</w:t>
                  </w:r>
                </w:p>
              </w:tc>
              <w:tc>
                <w:tcPr>
                  <w:tcW w:w="1213" w:type="dxa"/>
                  <w:vAlign w:val="center"/>
                </w:tcPr>
                <w:p w14:paraId="65B841B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68BDBA5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64</w:t>
                  </w:r>
                  <w:r>
                    <w:rPr>
                      <w:rFonts w:hint="default" w:ascii="Times New Roman" w:hAnsi="Times New Roman" w:cs="Times New Roman"/>
                      <w:color w:val="auto"/>
                      <w:szCs w:val="21"/>
                      <w:highlight w:val="none"/>
                    </w:rPr>
                    <w:t>t</w:t>
                  </w:r>
                </w:p>
              </w:tc>
              <w:tc>
                <w:tcPr>
                  <w:tcW w:w="1025" w:type="dxa"/>
                  <w:vAlign w:val="center"/>
                </w:tcPr>
                <w:p w14:paraId="51A2393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57795010">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 w:val="22"/>
                      <w:szCs w:val="22"/>
                      <w:highlight w:val="none"/>
                      <w:lang w:val="en-US" w:eastAsia="zh-CN" w:bidi="ar"/>
                    </w:rPr>
                    <w:t>5</w:t>
                  </w:r>
                  <w:r>
                    <w:rPr>
                      <w:rFonts w:hint="default" w:ascii="Times New Roman" w:hAnsi="Times New Roman" w:cs="Times New Roman"/>
                      <w:color w:val="auto"/>
                      <w:szCs w:val="21"/>
                      <w:highlight w:val="none"/>
                      <w:lang w:val="en-US" w:eastAsia="zh-CN"/>
                    </w:rPr>
                    <w:t>t</w:t>
                  </w:r>
                </w:p>
              </w:tc>
            </w:tr>
            <w:tr w14:paraId="2A30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2364B3CE">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9</w:t>
                  </w:r>
                </w:p>
              </w:tc>
              <w:tc>
                <w:tcPr>
                  <w:tcW w:w="1916" w:type="dxa"/>
                  <w:vAlign w:val="center"/>
                </w:tcPr>
                <w:p w14:paraId="6952AA1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孕育剂</w:t>
                  </w:r>
                </w:p>
              </w:tc>
              <w:tc>
                <w:tcPr>
                  <w:tcW w:w="1300" w:type="dxa"/>
                  <w:vAlign w:val="center"/>
                </w:tcPr>
                <w:p w14:paraId="235446C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48</w:t>
                  </w:r>
                  <w:r>
                    <w:rPr>
                      <w:rFonts w:hint="default" w:ascii="Times New Roman" w:hAnsi="Times New Roman" w:cs="Times New Roman"/>
                      <w:color w:val="auto"/>
                      <w:szCs w:val="21"/>
                      <w:highlight w:val="none"/>
                    </w:rPr>
                    <w:t>t</w:t>
                  </w:r>
                </w:p>
              </w:tc>
              <w:tc>
                <w:tcPr>
                  <w:tcW w:w="1213" w:type="dxa"/>
                  <w:vAlign w:val="center"/>
                </w:tcPr>
                <w:p w14:paraId="732BA43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6C46E79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48</w:t>
                  </w:r>
                  <w:r>
                    <w:rPr>
                      <w:rFonts w:hint="default" w:ascii="Times New Roman" w:hAnsi="Times New Roman" w:cs="Times New Roman"/>
                      <w:color w:val="auto"/>
                      <w:szCs w:val="21"/>
                      <w:highlight w:val="none"/>
                    </w:rPr>
                    <w:t>t</w:t>
                  </w:r>
                </w:p>
              </w:tc>
              <w:tc>
                <w:tcPr>
                  <w:tcW w:w="1025" w:type="dxa"/>
                  <w:vAlign w:val="center"/>
                </w:tcPr>
                <w:p w14:paraId="772F1BA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65452F2F">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 w:val="22"/>
                      <w:szCs w:val="22"/>
                      <w:highlight w:val="none"/>
                      <w:lang w:val="en-US" w:eastAsia="zh-CN" w:bidi="ar"/>
                    </w:rPr>
                    <w:t>5</w:t>
                  </w:r>
                  <w:r>
                    <w:rPr>
                      <w:rFonts w:hint="default" w:ascii="Times New Roman" w:hAnsi="Times New Roman" w:cs="Times New Roman"/>
                      <w:color w:val="auto"/>
                      <w:szCs w:val="21"/>
                      <w:highlight w:val="none"/>
                      <w:lang w:val="en-US" w:eastAsia="zh-CN"/>
                    </w:rPr>
                    <w:t>t</w:t>
                  </w:r>
                </w:p>
              </w:tc>
            </w:tr>
            <w:tr w14:paraId="51A5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0F07098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10</w:t>
                  </w:r>
                </w:p>
              </w:tc>
              <w:tc>
                <w:tcPr>
                  <w:tcW w:w="1916" w:type="dxa"/>
                  <w:vAlign w:val="center"/>
                </w:tcPr>
                <w:p w14:paraId="1C047C8C">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增碳剂</w:t>
                  </w:r>
                </w:p>
              </w:tc>
              <w:tc>
                <w:tcPr>
                  <w:tcW w:w="1300" w:type="dxa"/>
                  <w:vAlign w:val="center"/>
                </w:tcPr>
                <w:p w14:paraId="732AC2C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420</w:t>
                  </w:r>
                  <w:r>
                    <w:rPr>
                      <w:rFonts w:hint="default" w:ascii="Times New Roman" w:hAnsi="Times New Roman" w:cs="Times New Roman"/>
                      <w:color w:val="auto"/>
                      <w:szCs w:val="21"/>
                      <w:highlight w:val="none"/>
                    </w:rPr>
                    <w:t>t</w:t>
                  </w:r>
                </w:p>
              </w:tc>
              <w:tc>
                <w:tcPr>
                  <w:tcW w:w="1213" w:type="dxa"/>
                  <w:vAlign w:val="center"/>
                </w:tcPr>
                <w:p w14:paraId="4A80184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2F31161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420</w:t>
                  </w:r>
                  <w:r>
                    <w:rPr>
                      <w:rFonts w:hint="default" w:ascii="Times New Roman" w:hAnsi="Times New Roman" w:cs="Times New Roman"/>
                      <w:color w:val="auto"/>
                      <w:szCs w:val="21"/>
                      <w:highlight w:val="none"/>
                    </w:rPr>
                    <w:t>t</w:t>
                  </w:r>
                </w:p>
              </w:tc>
              <w:tc>
                <w:tcPr>
                  <w:tcW w:w="1025" w:type="dxa"/>
                  <w:vAlign w:val="center"/>
                </w:tcPr>
                <w:p w14:paraId="092A561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3834837F">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35</w:t>
                  </w:r>
                  <w:r>
                    <w:rPr>
                      <w:rFonts w:hint="default" w:ascii="Times New Roman" w:hAnsi="Times New Roman" w:cs="Times New Roman"/>
                      <w:color w:val="auto"/>
                      <w:szCs w:val="21"/>
                      <w:highlight w:val="none"/>
                      <w:lang w:val="en-US" w:eastAsia="zh-CN"/>
                    </w:rPr>
                    <w:t>t</w:t>
                  </w:r>
                </w:p>
              </w:tc>
            </w:tr>
            <w:tr w14:paraId="09C0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53DCC37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11</w:t>
                  </w:r>
                </w:p>
              </w:tc>
              <w:tc>
                <w:tcPr>
                  <w:tcW w:w="1916" w:type="dxa"/>
                  <w:vAlign w:val="center"/>
                </w:tcPr>
                <w:p w14:paraId="574397AD">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硅铁</w:t>
                  </w:r>
                </w:p>
              </w:tc>
              <w:tc>
                <w:tcPr>
                  <w:tcW w:w="1300" w:type="dxa"/>
                  <w:vAlign w:val="center"/>
                </w:tcPr>
                <w:p w14:paraId="571EB3D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224</w:t>
                  </w:r>
                  <w:r>
                    <w:rPr>
                      <w:rFonts w:hint="default" w:ascii="Times New Roman" w:hAnsi="Times New Roman" w:cs="Times New Roman"/>
                      <w:color w:val="auto"/>
                      <w:szCs w:val="21"/>
                      <w:highlight w:val="none"/>
                    </w:rPr>
                    <w:t>t</w:t>
                  </w:r>
                </w:p>
              </w:tc>
              <w:tc>
                <w:tcPr>
                  <w:tcW w:w="1213" w:type="dxa"/>
                  <w:vAlign w:val="center"/>
                </w:tcPr>
                <w:p w14:paraId="4FE54F5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2B20899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224</w:t>
                  </w:r>
                  <w:r>
                    <w:rPr>
                      <w:rFonts w:hint="default" w:ascii="Times New Roman" w:hAnsi="Times New Roman" w:cs="Times New Roman"/>
                      <w:color w:val="auto"/>
                      <w:szCs w:val="21"/>
                      <w:highlight w:val="none"/>
                    </w:rPr>
                    <w:t>t</w:t>
                  </w:r>
                </w:p>
              </w:tc>
              <w:tc>
                <w:tcPr>
                  <w:tcW w:w="1025" w:type="dxa"/>
                  <w:vAlign w:val="center"/>
                </w:tcPr>
                <w:p w14:paraId="1A4BB51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656FB6AE">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20</w:t>
                  </w:r>
                  <w:r>
                    <w:rPr>
                      <w:rFonts w:hint="default" w:ascii="Times New Roman" w:hAnsi="Times New Roman" w:cs="Times New Roman"/>
                      <w:color w:val="auto"/>
                      <w:szCs w:val="21"/>
                      <w:highlight w:val="none"/>
                      <w:lang w:val="en-US" w:eastAsia="zh-CN"/>
                    </w:rPr>
                    <w:t>t</w:t>
                  </w:r>
                </w:p>
              </w:tc>
            </w:tr>
            <w:tr w14:paraId="1C95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2B3D77D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12</w:t>
                  </w:r>
                </w:p>
              </w:tc>
              <w:tc>
                <w:tcPr>
                  <w:tcW w:w="1916" w:type="dxa"/>
                  <w:vAlign w:val="center"/>
                </w:tcPr>
                <w:p w14:paraId="702A383B">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石英砂</w:t>
                  </w:r>
                </w:p>
              </w:tc>
              <w:tc>
                <w:tcPr>
                  <w:tcW w:w="1300" w:type="dxa"/>
                  <w:vAlign w:val="center"/>
                </w:tcPr>
                <w:p w14:paraId="1EBC2F3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200</w:t>
                  </w:r>
                  <w:r>
                    <w:rPr>
                      <w:rFonts w:hint="default" w:ascii="Times New Roman" w:hAnsi="Times New Roman" w:cs="Times New Roman"/>
                      <w:color w:val="auto"/>
                      <w:szCs w:val="21"/>
                      <w:highlight w:val="none"/>
                    </w:rPr>
                    <w:t>t</w:t>
                  </w:r>
                </w:p>
              </w:tc>
              <w:tc>
                <w:tcPr>
                  <w:tcW w:w="1213" w:type="dxa"/>
                  <w:vAlign w:val="center"/>
                </w:tcPr>
                <w:p w14:paraId="346B12B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0ABAAF6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200</w:t>
                  </w:r>
                  <w:r>
                    <w:rPr>
                      <w:rFonts w:hint="default" w:ascii="Times New Roman" w:hAnsi="Times New Roman" w:cs="Times New Roman"/>
                      <w:color w:val="auto"/>
                      <w:szCs w:val="21"/>
                      <w:highlight w:val="none"/>
                    </w:rPr>
                    <w:t>t</w:t>
                  </w:r>
                </w:p>
              </w:tc>
              <w:tc>
                <w:tcPr>
                  <w:tcW w:w="1025" w:type="dxa"/>
                  <w:vAlign w:val="center"/>
                </w:tcPr>
                <w:p w14:paraId="36E70A7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58890BC2">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15</w:t>
                  </w:r>
                  <w:r>
                    <w:rPr>
                      <w:rFonts w:hint="default" w:ascii="Times New Roman" w:hAnsi="Times New Roman" w:cs="Times New Roman"/>
                      <w:color w:val="auto"/>
                      <w:szCs w:val="21"/>
                      <w:highlight w:val="none"/>
                      <w:lang w:val="en-US" w:eastAsia="zh-CN"/>
                    </w:rPr>
                    <w:t>t</w:t>
                  </w:r>
                </w:p>
              </w:tc>
            </w:tr>
            <w:tr w14:paraId="2B61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1C80E12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13</w:t>
                  </w:r>
                </w:p>
              </w:tc>
              <w:tc>
                <w:tcPr>
                  <w:tcW w:w="1916" w:type="dxa"/>
                  <w:vAlign w:val="center"/>
                </w:tcPr>
                <w:p w14:paraId="174A1565">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膨润土</w:t>
                  </w:r>
                </w:p>
              </w:tc>
              <w:tc>
                <w:tcPr>
                  <w:tcW w:w="1300" w:type="dxa"/>
                  <w:vAlign w:val="center"/>
                </w:tcPr>
                <w:p w14:paraId="10238C1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00t</w:t>
                  </w:r>
                </w:p>
              </w:tc>
              <w:tc>
                <w:tcPr>
                  <w:tcW w:w="1213" w:type="dxa"/>
                  <w:vAlign w:val="center"/>
                </w:tcPr>
                <w:p w14:paraId="3EC17A3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1F7A442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00t</w:t>
                  </w:r>
                </w:p>
              </w:tc>
              <w:tc>
                <w:tcPr>
                  <w:tcW w:w="1025" w:type="dxa"/>
                  <w:vAlign w:val="center"/>
                </w:tcPr>
                <w:p w14:paraId="3094900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4E659DC1">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35</w:t>
                  </w:r>
                  <w:r>
                    <w:rPr>
                      <w:rFonts w:hint="default" w:ascii="Times New Roman" w:hAnsi="Times New Roman" w:cs="Times New Roman"/>
                      <w:color w:val="auto"/>
                      <w:szCs w:val="21"/>
                      <w:highlight w:val="none"/>
                      <w:lang w:val="en-US" w:eastAsia="zh-CN"/>
                    </w:rPr>
                    <w:t>t</w:t>
                  </w:r>
                </w:p>
              </w:tc>
            </w:tr>
            <w:tr w14:paraId="4415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6111068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14</w:t>
                  </w:r>
                </w:p>
              </w:tc>
              <w:tc>
                <w:tcPr>
                  <w:tcW w:w="1916" w:type="dxa"/>
                  <w:vAlign w:val="center"/>
                </w:tcPr>
                <w:p w14:paraId="6534AE7A">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煤灰</w:t>
                  </w:r>
                </w:p>
              </w:tc>
              <w:tc>
                <w:tcPr>
                  <w:tcW w:w="1300" w:type="dxa"/>
                  <w:vAlign w:val="center"/>
                </w:tcPr>
                <w:p w14:paraId="3116701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t</w:t>
                  </w:r>
                </w:p>
              </w:tc>
              <w:tc>
                <w:tcPr>
                  <w:tcW w:w="1213" w:type="dxa"/>
                  <w:vAlign w:val="center"/>
                </w:tcPr>
                <w:p w14:paraId="44D5E55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5CCAFD2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t</w:t>
                  </w:r>
                </w:p>
              </w:tc>
              <w:tc>
                <w:tcPr>
                  <w:tcW w:w="1025" w:type="dxa"/>
                  <w:vAlign w:val="center"/>
                </w:tcPr>
                <w:p w14:paraId="725FED1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651725E1">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1t</w:t>
                  </w:r>
                </w:p>
              </w:tc>
            </w:tr>
            <w:tr w14:paraId="6BE4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76D1254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15</w:t>
                  </w:r>
                </w:p>
              </w:tc>
              <w:tc>
                <w:tcPr>
                  <w:tcW w:w="1916" w:type="dxa"/>
                  <w:vAlign w:val="center"/>
                </w:tcPr>
                <w:p w14:paraId="508F5E05">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固化剂</w:t>
                  </w:r>
                </w:p>
              </w:tc>
              <w:tc>
                <w:tcPr>
                  <w:tcW w:w="1300" w:type="dxa"/>
                  <w:vAlign w:val="center"/>
                </w:tcPr>
                <w:p w14:paraId="2716C83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120</w:t>
                  </w:r>
                  <w:r>
                    <w:rPr>
                      <w:rFonts w:hint="default" w:ascii="Times New Roman" w:hAnsi="Times New Roman" w:cs="Times New Roman"/>
                      <w:color w:val="auto"/>
                      <w:szCs w:val="21"/>
                      <w:highlight w:val="none"/>
                    </w:rPr>
                    <w:t>t</w:t>
                  </w:r>
                </w:p>
              </w:tc>
              <w:tc>
                <w:tcPr>
                  <w:tcW w:w="1213" w:type="dxa"/>
                  <w:vAlign w:val="center"/>
                </w:tcPr>
                <w:p w14:paraId="300B12F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33E3375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120</w:t>
                  </w:r>
                  <w:r>
                    <w:rPr>
                      <w:rFonts w:hint="default" w:ascii="Times New Roman" w:hAnsi="Times New Roman" w:cs="Times New Roman"/>
                      <w:color w:val="auto"/>
                      <w:szCs w:val="21"/>
                      <w:highlight w:val="none"/>
                    </w:rPr>
                    <w:t>t</w:t>
                  </w:r>
                </w:p>
              </w:tc>
              <w:tc>
                <w:tcPr>
                  <w:tcW w:w="1025" w:type="dxa"/>
                  <w:vAlign w:val="center"/>
                </w:tcPr>
                <w:p w14:paraId="2ECDF10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2DA346EC">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10</w:t>
                  </w:r>
                  <w:r>
                    <w:rPr>
                      <w:rFonts w:hint="default" w:ascii="Times New Roman" w:hAnsi="Times New Roman" w:cs="Times New Roman"/>
                      <w:color w:val="auto"/>
                      <w:szCs w:val="21"/>
                      <w:highlight w:val="none"/>
                      <w:lang w:val="en-US" w:eastAsia="zh-CN"/>
                    </w:rPr>
                    <w:t>t</w:t>
                  </w:r>
                </w:p>
              </w:tc>
            </w:tr>
            <w:tr w14:paraId="36C6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3A49D143">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16</w:t>
                  </w:r>
                </w:p>
              </w:tc>
              <w:tc>
                <w:tcPr>
                  <w:tcW w:w="1916" w:type="dxa"/>
                  <w:vAlign w:val="center"/>
                </w:tcPr>
                <w:p w14:paraId="3CEDBF7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钢丸</w:t>
                  </w:r>
                </w:p>
              </w:tc>
              <w:tc>
                <w:tcPr>
                  <w:tcW w:w="1300" w:type="dxa"/>
                  <w:vAlign w:val="center"/>
                </w:tcPr>
                <w:p w14:paraId="07D841E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20t</w:t>
                  </w:r>
                </w:p>
              </w:tc>
              <w:tc>
                <w:tcPr>
                  <w:tcW w:w="1213" w:type="dxa"/>
                  <w:vAlign w:val="center"/>
                </w:tcPr>
                <w:p w14:paraId="0E6521C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58CE51A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20t</w:t>
                  </w:r>
                </w:p>
              </w:tc>
              <w:tc>
                <w:tcPr>
                  <w:tcW w:w="1025" w:type="dxa"/>
                  <w:vAlign w:val="center"/>
                </w:tcPr>
                <w:p w14:paraId="7E1F0C2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0822B6AD">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 w:val="22"/>
                      <w:szCs w:val="22"/>
                      <w:highlight w:val="none"/>
                      <w:lang w:val="en-US" w:eastAsia="zh-CN" w:bidi="ar"/>
                    </w:rPr>
                    <w:t>1</w:t>
                  </w:r>
                  <w:r>
                    <w:rPr>
                      <w:rFonts w:hint="default" w:ascii="Times New Roman" w:hAnsi="Times New Roman" w:cs="Times New Roman"/>
                      <w:color w:val="auto"/>
                      <w:szCs w:val="21"/>
                      <w:highlight w:val="none"/>
                      <w:lang w:val="en-US" w:eastAsia="zh-CN"/>
                    </w:rPr>
                    <w:t>t</w:t>
                  </w:r>
                </w:p>
              </w:tc>
            </w:tr>
            <w:tr w14:paraId="3375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7F91DE11">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17</w:t>
                  </w:r>
                </w:p>
              </w:tc>
              <w:tc>
                <w:tcPr>
                  <w:tcW w:w="1916" w:type="dxa"/>
                  <w:vAlign w:val="center"/>
                </w:tcPr>
                <w:p w14:paraId="1A011DDA">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泡沫</w:t>
                  </w:r>
                </w:p>
              </w:tc>
              <w:tc>
                <w:tcPr>
                  <w:tcW w:w="1300" w:type="dxa"/>
                  <w:vAlign w:val="center"/>
                </w:tcPr>
                <w:p w14:paraId="37E2E86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1t</w:t>
                  </w:r>
                </w:p>
              </w:tc>
              <w:tc>
                <w:tcPr>
                  <w:tcW w:w="1213" w:type="dxa"/>
                  <w:vAlign w:val="center"/>
                </w:tcPr>
                <w:p w14:paraId="16FB41D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401A91D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1t</w:t>
                  </w:r>
                </w:p>
              </w:tc>
              <w:tc>
                <w:tcPr>
                  <w:tcW w:w="1025" w:type="dxa"/>
                  <w:vAlign w:val="center"/>
                </w:tcPr>
                <w:p w14:paraId="565943F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39920FCF">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 w:val="22"/>
                      <w:szCs w:val="22"/>
                      <w:highlight w:val="none"/>
                      <w:lang w:bidi="ar"/>
                    </w:rPr>
                    <w:t>0.1</w:t>
                  </w:r>
                  <w:r>
                    <w:rPr>
                      <w:rFonts w:hint="default" w:ascii="Times New Roman" w:hAnsi="Times New Roman" w:cs="Times New Roman"/>
                      <w:color w:val="auto"/>
                      <w:szCs w:val="21"/>
                      <w:highlight w:val="none"/>
                      <w:lang w:val="en-US" w:eastAsia="zh-CN"/>
                    </w:rPr>
                    <w:t>t</w:t>
                  </w:r>
                </w:p>
              </w:tc>
            </w:tr>
            <w:tr w14:paraId="0D3C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3862E996">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18</w:t>
                  </w:r>
                </w:p>
              </w:tc>
              <w:tc>
                <w:tcPr>
                  <w:tcW w:w="1916" w:type="dxa"/>
                  <w:vAlign w:val="center"/>
                </w:tcPr>
                <w:p w14:paraId="45A803B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耐火材料</w:t>
                  </w:r>
                </w:p>
              </w:tc>
              <w:tc>
                <w:tcPr>
                  <w:tcW w:w="1300" w:type="dxa"/>
                  <w:vAlign w:val="center"/>
                </w:tcPr>
                <w:p w14:paraId="59A4919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20</w:t>
                  </w:r>
                  <w:r>
                    <w:rPr>
                      <w:rFonts w:hint="default" w:ascii="Times New Roman" w:hAnsi="Times New Roman" w:cs="Times New Roman"/>
                      <w:color w:val="auto"/>
                      <w:szCs w:val="21"/>
                      <w:highlight w:val="none"/>
                    </w:rPr>
                    <w:t>t</w:t>
                  </w:r>
                </w:p>
              </w:tc>
              <w:tc>
                <w:tcPr>
                  <w:tcW w:w="1213" w:type="dxa"/>
                  <w:vAlign w:val="center"/>
                </w:tcPr>
                <w:p w14:paraId="1971906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34BE0E7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20</w:t>
                  </w:r>
                  <w:r>
                    <w:rPr>
                      <w:rFonts w:hint="default" w:ascii="Times New Roman" w:hAnsi="Times New Roman" w:cs="Times New Roman"/>
                      <w:color w:val="auto"/>
                      <w:szCs w:val="21"/>
                      <w:highlight w:val="none"/>
                    </w:rPr>
                    <w:t>t</w:t>
                  </w:r>
                </w:p>
              </w:tc>
              <w:tc>
                <w:tcPr>
                  <w:tcW w:w="1025" w:type="dxa"/>
                  <w:vAlign w:val="center"/>
                </w:tcPr>
                <w:p w14:paraId="7A3D006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114488B2">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 w:val="22"/>
                      <w:szCs w:val="22"/>
                      <w:highlight w:val="none"/>
                      <w:lang w:val="en-US" w:eastAsia="zh-CN" w:bidi="ar"/>
                    </w:rPr>
                    <w:t>1</w:t>
                  </w:r>
                  <w:r>
                    <w:rPr>
                      <w:rFonts w:hint="default" w:ascii="Times New Roman" w:hAnsi="Times New Roman" w:cs="Times New Roman"/>
                      <w:color w:val="auto"/>
                      <w:szCs w:val="21"/>
                      <w:highlight w:val="none"/>
                      <w:lang w:val="en-US" w:eastAsia="zh-CN"/>
                    </w:rPr>
                    <w:t>t</w:t>
                  </w:r>
                </w:p>
              </w:tc>
            </w:tr>
            <w:tr w14:paraId="0885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379" w:type="dxa"/>
                  <w:gridSpan w:val="7"/>
                  <w:vAlign w:val="center"/>
                </w:tcPr>
                <w:p w14:paraId="346D0935">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b/>
                      <w:bCs/>
                      <w:color w:val="auto"/>
                      <w:kern w:val="0"/>
                      <w:sz w:val="22"/>
                      <w:szCs w:val="22"/>
                      <w:highlight w:val="none"/>
                      <w:lang w:val="en-US" w:eastAsia="zh-CN" w:bidi="ar"/>
                    </w:rPr>
                    <w:t>三期主要原辅材料</w:t>
                  </w:r>
                </w:p>
              </w:tc>
            </w:tr>
            <w:tr w14:paraId="2D26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5A8C847C">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19</w:t>
                  </w:r>
                </w:p>
              </w:tc>
              <w:tc>
                <w:tcPr>
                  <w:tcW w:w="1916" w:type="dxa"/>
                  <w:vAlign w:val="center"/>
                </w:tcPr>
                <w:p w14:paraId="40CD062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冷轧打包料</w:t>
                  </w:r>
                </w:p>
              </w:tc>
              <w:tc>
                <w:tcPr>
                  <w:tcW w:w="1300" w:type="dxa"/>
                  <w:vAlign w:val="center"/>
                </w:tcPr>
                <w:p w14:paraId="61BC0E0B">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24</w:t>
                  </w:r>
                  <w:r>
                    <w:rPr>
                      <w:rFonts w:hint="default" w:ascii="Times New Roman" w:hAnsi="Times New Roman" w:cs="Times New Roman"/>
                      <w:color w:val="auto"/>
                      <w:szCs w:val="21"/>
                      <w:highlight w:val="none"/>
                    </w:rPr>
                    <w:t>00m</w:t>
                  </w:r>
                  <w:r>
                    <w:rPr>
                      <w:rFonts w:hint="default" w:ascii="Times New Roman" w:hAnsi="Times New Roman" w:cs="Times New Roman"/>
                      <w:color w:val="auto"/>
                      <w:szCs w:val="21"/>
                      <w:highlight w:val="none"/>
                      <w:vertAlign w:val="superscript"/>
                    </w:rPr>
                    <w:t>3</w:t>
                  </w:r>
                </w:p>
              </w:tc>
              <w:tc>
                <w:tcPr>
                  <w:tcW w:w="1213" w:type="dxa"/>
                  <w:vAlign w:val="center"/>
                </w:tcPr>
                <w:p w14:paraId="3E77A13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0C523A78">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24</w:t>
                  </w:r>
                  <w:r>
                    <w:rPr>
                      <w:rFonts w:hint="default" w:ascii="Times New Roman" w:hAnsi="Times New Roman" w:cs="Times New Roman"/>
                      <w:color w:val="auto"/>
                      <w:szCs w:val="21"/>
                      <w:highlight w:val="none"/>
                    </w:rPr>
                    <w:t>00m</w:t>
                  </w:r>
                  <w:r>
                    <w:rPr>
                      <w:rFonts w:hint="default" w:ascii="Times New Roman" w:hAnsi="Times New Roman" w:cs="Times New Roman"/>
                      <w:color w:val="auto"/>
                      <w:szCs w:val="21"/>
                      <w:highlight w:val="none"/>
                      <w:vertAlign w:val="superscript"/>
                    </w:rPr>
                    <w:t>3</w:t>
                  </w:r>
                </w:p>
              </w:tc>
              <w:tc>
                <w:tcPr>
                  <w:tcW w:w="1025" w:type="dxa"/>
                  <w:vAlign w:val="center"/>
                </w:tcPr>
                <w:p w14:paraId="4CB8333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2C544C2B">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180</w:t>
                  </w:r>
                  <w:r>
                    <w:rPr>
                      <w:rFonts w:hint="default" w:ascii="Times New Roman" w:hAnsi="Times New Roman" w:cs="Times New Roman"/>
                      <w:color w:val="auto"/>
                      <w:szCs w:val="21"/>
                      <w:highlight w:val="none"/>
                      <w:lang w:val="en-US" w:eastAsia="zh-CN"/>
                    </w:rPr>
                    <w:t>t</w:t>
                  </w:r>
                </w:p>
              </w:tc>
            </w:tr>
            <w:tr w14:paraId="7191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3500BBAC">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20</w:t>
                  </w:r>
                </w:p>
              </w:tc>
              <w:tc>
                <w:tcPr>
                  <w:tcW w:w="1916" w:type="dxa"/>
                  <w:vAlign w:val="center"/>
                </w:tcPr>
                <w:p w14:paraId="021F9D90">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铁粉</w:t>
                  </w:r>
                </w:p>
              </w:tc>
              <w:tc>
                <w:tcPr>
                  <w:tcW w:w="1300" w:type="dxa"/>
                  <w:vAlign w:val="center"/>
                </w:tcPr>
                <w:p w14:paraId="40CE702C">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1600</w:t>
                  </w:r>
                  <w:r>
                    <w:rPr>
                      <w:rFonts w:hint="default" w:ascii="Times New Roman" w:hAnsi="Times New Roman" w:cs="Times New Roman"/>
                      <w:color w:val="auto"/>
                      <w:szCs w:val="21"/>
                      <w:highlight w:val="none"/>
                    </w:rPr>
                    <w:t>t</w:t>
                  </w:r>
                </w:p>
              </w:tc>
              <w:tc>
                <w:tcPr>
                  <w:tcW w:w="1213" w:type="dxa"/>
                  <w:vAlign w:val="center"/>
                </w:tcPr>
                <w:p w14:paraId="5D4788A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42AC6951">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1600</w:t>
                  </w:r>
                  <w:r>
                    <w:rPr>
                      <w:rFonts w:hint="default" w:ascii="Times New Roman" w:hAnsi="Times New Roman" w:cs="Times New Roman"/>
                      <w:color w:val="auto"/>
                      <w:szCs w:val="21"/>
                      <w:highlight w:val="none"/>
                    </w:rPr>
                    <w:t>t</w:t>
                  </w:r>
                </w:p>
              </w:tc>
              <w:tc>
                <w:tcPr>
                  <w:tcW w:w="1025" w:type="dxa"/>
                  <w:vAlign w:val="center"/>
                </w:tcPr>
                <w:p w14:paraId="4CD95B1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317B1F2A">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150</w:t>
                  </w:r>
                  <w:r>
                    <w:rPr>
                      <w:rFonts w:hint="default" w:ascii="Times New Roman" w:hAnsi="Times New Roman" w:cs="Times New Roman"/>
                      <w:color w:val="auto"/>
                      <w:szCs w:val="21"/>
                      <w:highlight w:val="none"/>
                      <w:lang w:val="en-US" w:eastAsia="zh-CN"/>
                    </w:rPr>
                    <w:t>t</w:t>
                  </w:r>
                </w:p>
              </w:tc>
            </w:tr>
            <w:tr w14:paraId="1003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745CBF8A">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21</w:t>
                  </w:r>
                </w:p>
              </w:tc>
              <w:tc>
                <w:tcPr>
                  <w:tcW w:w="1916" w:type="dxa"/>
                  <w:vAlign w:val="center"/>
                </w:tcPr>
                <w:p w14:paraId="6E49F83D">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原生铁</w:t>
                  </w:r>
                </w:p>
              </w:tc>
              <w:tc>
                <w:tcPr>
                  <w:tcW w:w="1300" w:type="dxa"/>
                  <w:vAlign w:val="center"/>
                </w:tcPr>
                <w:p w14:paraId="41912AC0">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3800</w:t>
                  </w:r>
                  <w:r>
                    <w:rPr>
                      <w:rFonts w:hint="default" w:ascii="Times New Roman" w:hAnsi="Times New Roman" w:cs="Times New Roman"/>
                      <w:color w:val="auto"/>
                      <w:szCs w:val="21"/>
                      <w:highlight w:val="none"/>
                    </w:rPr>
                    <w:t>t</w:t>
                  </w:r>
                </w:p>
              </w:tc>
              <w:tc>
                <w:tcPr>
                  <w:tcW w:w="1213" w:type="dxa"/>
                  <w:vAlign w:val="center"/>
                </w:tcPr>
                <w:p w14:paraId="1E7195A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6FF9975D">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3800</w:t>
                  </w:r>
                  <w:r>
                    <w:rPr>
                      <w:rFonts w:hint="default" w:ascii="Times New Roman" w:hAnsi="Times New Roman" w:cs="Times New Roman"/>
                      <w:color w:val="auto"/>
                      <w:szCs w:val="21"/>
                      <w:highlight w:val="none"/>
                    </w:rPr>
                    <w:t>t</w:t>
                  </w:r>
                </w:p>
              </w:tc>
              <w:tc>
                <w:tcPr>
                  <w:tcW w:w="1025" w:type="dxa"/>
                  <w:vAlign w:val="center"/>
                </w:tcPr>
                <w:p w14:paraId="383A9FD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78C91D3E">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300</w:t>
                  </w:r>
                  <w:r>
                    <w:rPr>
                      <w:rFonts w:hint="default" w:ascii="Times New Roman" w:hAnsi="Times New Roman" w:cs="Times New Roman"/>
                      <w:color w:val="auto"/>
                      <w:szCs w:val="21"/>
                      <w:highlight w:val="none"/>
                      <w:lang w:val="en-US" w:eastAsia="zh-CN"/>
                    </w:rPr>
                    <w:t>t</w:t>
                  </w:r>
                </w:p>
              </w:tc>
            </w:tr>
            <w:tr w14:paraId="0CD0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5668408F">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22</w:t>
                  </w:r>
                </w:p>
              </w:tc>
              <w:tc>
                <w:tcPr>
                  <w:tcW w:w="1916" w:type="dxa"/>
                  <w:vAlign w:val="center"/>
                </w:tcPr>
                <w:p w14:paraId="0CE37AB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球化剂</w:t>
                  </w:r>
                </w:p>
              </w:tc>
              <w:tc>
                <w:tcPr>
                  <w:tcW w:w="1300" w:type="dxa"/>
                  <w:vAlign w:val="center"/>
                </w:tcPr>
                <w:p w14:paraId="73245B3C">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64</w:t>
                  </w:r>
                  <w:r>
                    <w:rPr>
                      <w:rFonts w:hint="default" w:ascii="Times New Roman" w:hAnsi="Times New Roman" w:cs="Times New Roman"/>
                      <w:color w:val="auto"/>
                      <w:szCs w:val="21"/>
                      <w:highlight w:val="none"/>
                    </w:rPr>
                    <w:t>t</w:t>
                  </w:r>
                </w:p>
              </w:tc>
              <w:tc>
                <w:tcPr>
                  <w:tcW w:w="1213" w:type="dxa"/>
                  <w:vAlign w:val="center"/>
                </w:tcPr>
                <w:p w14:paraId="520DFAE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482F9C3F">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64</w:t>
                  </w:r>
                  <w:r>
                    <w:rPr>
                      <w:rFonts w:hint="default" w:ascii="Times New Roman" w:hAnsi="Times New Roman" w:cs="Times New Roman"/>
                      <w:color w:val="auto"/>
                      <w:szCs w:val="21"/>
                      <w:highlight w:val="none"/>
                    </w:rPr>
                    <w:t>t</w:t>
                  </w:r>
                </w:p>
              </w:tc>
              <w:tc>
                <w:tcPr>
                  <w:tcW w:w="1025" w:type="dxa"/>
                  <w:vAlign w:val="center"/>
                </w:tcPr>
                <w:p w14:paraId="3ABB608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70A7839A">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5</w:t>
                  </w:r>
                  <w:r>
                    <w:rPr>
                      <w:rFonts w:hint="default" w:ascii="Times New Roman" w:hAnsi="Times New Roman" w:cs="Times New Roman"/>
                      <w:color w:val="auto"/>
                      <w:szCs w:val="21"/>
                      <w:highlight w:val="none"/>
                      <w:lang w:val="en-US" w:eastAsia="zh-CN"/>
                    </w:rPr>
                    <w:t>t</w:t>
                  </w:r>
                </w:p>
              </w:tc>
            </w:tr>
            <w:tr w14:paraId="1781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42F024C4">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23</w:t>
                  </w:r>
                </w:p>
              </w:tc>
              <w:tc>
                <w:tcPr>
                  <w:tcW w:w="1916" w:type="dxa"/>
                  <w:vAlign w:val="center"/>
                </w:tcPr>
                <w:p w14:paraId="4DA3E42B">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孕育剂</w:t>
                  </w:r>
                </w:p>
              </w:tc>
              <w:tc>
                <w:tcPr>
                  <w:tcW w:w="1300" w:type="dxa"/>
                  <w:vAlign w:val="center"/>
                </w:tcPr>
                <w:p w14:paraId="66A83C04">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48</w:t>
                  </w:r>
                  <w:r>
                    <w:rPr>
                      <w:rFonts w:hint="default" w:ascii="Times New Roman" w:hAnsi="Times New Roman" w:cs="Times New Roman"/>
                      <w:color w:val="auto"/>
                      <w:szCs w:val="21"/>
                      <w:highlight w:val="none"/>
                    </w:rPr>
                    <w:t>t</w:t>
                  </w:r>
                </w:p>
              </w:tc>
              <w:tc>
                <w:tcPr>
                  <w:tcW w:w="1213" w:type="dxa"/>
                  <w:vAlign w:val="center"/>
                </w:tcPr>
                <w:p w14:paraId="13F9D89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5268AE50">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48</w:t>
                  </w:r>
                  <w:r>
                    <w:rPr>
                      <w:rFonts w:hint="default" w:ascii="Times New Roman" w:hAnsi="Times New Roman" w:cs="Times New Roman"/>
                      <w:color w:val="auto"/>
                      <w:szCs w:val="21"/>
                      <w:highlight w:val="none"/>
                    </w:rPr>
                    <w:t>t</w:t>
                  </w:r>
                </w:p>
              </w:tc>
              <w:tc>
                <w:tcPr>
                  <w:tcW w:w="1025" w:type="dxa"/>
                  <w:vAlign w:val="center"/>
                </w:tcPr>
                <w:p w14:paraId="3FA4363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30E54AF4">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5</w:t>
                  </w:r>
                  <w:r>
                    <w:rPr>
                      <w:rFonts w:hint="default" w:ascii="Times New Roman" w:hAnsi="Times New Roman" w:cs="Times New Roman"/>
                      <w:color w:val="auto"/>
                      <w:szCs w:val="21"/>
                      <w:highlight w:val="none"/>
                      <w:lang w:val="en-US" w:eastAsia="zh-CN"/>
                    </w:rPr>
                    <w:t>t</w:t>
                  </w:r>
                </w:p>
              </w:tc>
            </w:tr>
            <w:tr w14:paraId="5079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20101F0B">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24</w:t>
                  </w:r>
                </w:p>
              </w:tc>
              <w:tc>
                <w:tcPr>
                  <w:tcW w:w="1916" w:type="dxa"/>
                  <w:vAlign w:val="center"/>
                </w:tcPr>
                <w:p w14:paraId="6138199E">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增碳剂</w:t>
                  </w:r>
                </w:p>
              </w:tc>
              <w:tc>
                <w:tcPr>
                  <w:tcW w:w="1300" w:type="dxa"/>
                  <w:vAlign w:val="center"/>
                </w:tcPr>
                <w:p w14:paraId="73BD88A5">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420</w:t>
                  </w:r>
                  <w:r>
                    <w:rPr>
                      <w:rFonts w:hint="default" w:ascii="Times New Roman" w:hAnsi="Times New Roman" w:cs="Times New Roman"/>
                      <w:color w:val="auto"/>
                      <w:szCs w:val="21"/>
                      <w:highlight w:val="none"/>
                    </w:rPr>
                    <w:t>t</w:t>
                  </w:r>
                </w:p>
              </w:tc>
              <w:tc>
                <w:tcPr>
                  <w:tcW w:w="1213" w:type="dxa"/>
                  <w:vAlign w:val="center"/>
                </w:tcPr>
                <w:p w14:paraId="2ED3018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467B925C">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420</w:t>
                  </w:r>
                  <w:r>
                    <w:rPr>
                      <w:rFonts w:hint="default" w:ascii="Times New Roman" w:hAnsi="Times New Roman" w:cs="Times New Roman"/>
                      <w:color w:val="auto"/>
                      <w:szCs w:val="21"/>
                      <w:highlight w:val="none"/>
                    </w:rPr>
                    <w:t>t</w:t>
                  </w:r>
                </w:p>
              </w:tc>
              <w:tc>
                <w:tcPr>
                  <w:tcW w:w="1025" w:type="dxa"/>
                  <w:vAlign w:val="center"/>
                </w:tcPr>
                <w:p w14:paraId="5ACCF2C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3AF41074">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35</w:t>
                  </w:r>
                  <w:r>
                    <w:rPr>
                      <w:rFonts w:hint="default" w:ascii="Times New Roman" w:hAnsi="Times New Roman" w:cs="Times New Roman"/>
                      <w:color w:val="auto"/>
                      <w:szCs w:val="21"/>
                      <w:highlight w:val="none"/>
                      <w:lang w:val="en-US" w:eastAsia="zh-CN"/>
                    </w:rPr>
                    <w:t>t</w:t>
                  </w:r>
                </w:p>
              </w:tc>
            </w:tr>
            <w:tr w14:paraId="7926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0B208347">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w:t>
                  </w:r>
                </w:p>
              </w:tc>
              <w:tc>
                <w:tcPr>
                  <w:tcW w:w="1916" w:type="dxa"/>
                  <w:vAlign w:val="center"/>
                </w:tcPr>
                <w:p w14:paraId="0AF13CFB">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硅铁</w:t>
                  </w:r>
                </w:p>
              </w:tc>
              <w:tc>
                <w:tcPr>
                  <w:tcW w:w="1300" w:type="dxa"/>
                  <w:vAlign w:val="center"/>
                </w:tcPr>
                <w:p w14:paraId="5B37CF26">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224</w:t>
                  </w:r>
                  <w:r>
                    <w:rPr>
                      <w:rFonts w:hint="default" w:ascii="Times New Roman" w:hAnsi="Times New Roman" w:cs="Times New Roman"/>
                      <w:color w:val="auto"/>
                      <w:szCs w:val="21"/>
                      <w:highlight w:val="none"/>
                    </w:rPr>
                    <w:t>t</w:t>
                  </w:r>
                </w:p>
              </w:tc>
              <w:tc>
                <w:tcPr>
                  <w:tcW w:w="1213" w:type="dxa"/>
                  <w:vAlign w:val="center"/>
                </w:tcPr>
                <w:p w14:paraId="3AB33B5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4F43F2F8">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224</w:t>
                  </w:r>
                  <w:r>
                    <w:rPr>
                      <w:rFonts w:hint="default" w:ascii="Times New Roman" w:hAnsi="Times New Roman" w:cs="Times New Roman"/>
                      <w:color w:val="auto"/>
                      <w:szCs w:val="21"/>
                      <w:highlight w:val="none"/>
                    </w:rPr>
                    <w:t>t</w:t>
                  </w:r>
                </w:p>
              </w:tc>
              <w:tc>
                <w:tcPr>
                  <w:tcW w:w="1025" w:type="dxa"/>
                  <w:vAlign w:val="center"/>
                </w:tcPr>
                <w:p w14:paraId="166D66B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01016D61">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20</w:t>
                  </w:r>
                  <w:r>
                    <w:rPr>
                      <w:rFonts w:hint="default" w:ascii="Times New Roman" w:hAnsi="Times New Roman" w:cs="Times New Roman"/>
                      <w:color w:val="auto"/>
                      <w:szCs w:val="21"/>
                      <w:highlight w:val="none"/>
                      <w:lang w:val="en-US" w:eastAsia="zh-CN"/>
                    </w:rPr>
                    <w:t>t</w:t>
                  </w:r>
                </w:p>
              </w:tc>
            </w:tr>
            <w:tr w14:paraId="7B59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24BFEA14">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26</w:t>
                  </w:r>
                </w:p>
              </w:tc>
              <w:tc>
                <w:tcPr>
                  <w:tcW w:w="1916" w:type="dxa"/>
                  <w:vAlign w:val="center"/>
                </w:tcPr>
                <w:p w14:paraId="66E52E95">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石英砂</w:t>
                  </w:r>
                </w:p>
              </w:tc>
              <w:tc>
                <w:tcPr>
                  <w:tcW w:w="1300" w:type="dxa"/>
                  <w:vAlign w:val="center"/>
                </w:tcPr>
                <w:p w14:paraId="2E007189">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200</w:t>
                  </w:r>
                  <w:r>
                    <w:rPr>
                      <w:rFonts w:hint="default" w:ascii="Times New Roman" w:hAnsi="Times New Roman" w:cs="Times New Roman"/>
                      <w:color w:val="auto"/>
                      <w:szCs w:val="21"/>
                      <w:highlight w:val="none"/>
                    </w:rPr>
                    <w:t>t</w:t>
                  </w:r>
                </w:p>
              </w:tc>
              <w:tc>
                <w:tcPr>
                  <w:tcW w:w="1213" w:type="dxa"/>
                  <w:vAlign w:val="center"/>
                </w:tcPr>
                <w:p w14:paraId="4AD04EB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2381D418">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200</w:t>
                  </w:r>
                  <w:r>
                    <w:rPr>
                      <w:rFonts w:hint="default" w:ascii="Times New Roman" w:hAnsi="Times New Roman" w:cs="Times New Roman"/>
                      <w:color w:val="auto"/>
                      <w:szCs w:val="21"/>
                      <w:highlight w:val="none"/>
                    </w:rPr>
                    <w:t>t</w:t>
                  </w:r>
                </w:p>
              </w:tc>
              <w:tc>
                <w:tcPr>
                  <w:tcW w:w="1025" w:type="dxa"/>
                  <w:vAlign w:val="center"/>
                </w:tcPr>
                <w:p w14:paraId="1D03FB7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1AA07ECA">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15</w:t>
                  </w:r>
                  <w:r>
                    <w:rPr>
                      <w:rFonts w:hint="default" w:ascii="Times New Roman" w:hAnsi="Times New Roman" w:cs="Times New Roman"/>
                      <w:color w:val="auto"/>
                      <w:szCs w:val="21"/>
                      <w:highlight w:val="none"/>
                      <w:lang w:val="en-US" w:eastAsia="zh-CN"/>
                    </w:rPr>
                    <w:t>t</w:t>
                  </w:r>
                </w:p>
              </w:tc>
            </w:tr>
            <w:tr w14:paraId="3158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6A52E374">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27</w:t>
                  </w:r>
                </w:p>
              </w:tc>
              <w:tc>
                <w:tcPr>
                  <w:tcW w:w="1916" w:type="dxa"/>
                  <w:vAlign w:val="center"/>
                </w:tcPr>
                <w:p w14:paraId="20AD45E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膨润土</w:t>
                  </w:r>
                </w:p>
              </w:tc>
              <w:tc>
                <w:tcPr>
                  <w:tcW w:w="1300" w:type="dxa"/>
                  <w:vAlign w:val="center"/>
                </w:tcPr>
                <w:p w14:paraId="0F4FF458">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00t</w:t>
                  </w:r>
                </w:p>
              </w:tc>
              <w:tc>
                <w:tcPr>
                  <w:tcW w:w="1213" w:type="dxa"/>
                  <w:vAlign w:val="center"/>
                </w:tcPr>
                <w:p w14:paraId="0F013A5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04CE9F55">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00t</w:t>
                  </w:r>
                </w:p>
              </w:tc>
              <w:tc>
                <w:tcPr>
                  <w:tcW w:w="1025" w:type="dxa"/>
                  <w:vAlign w:val="center"/>
                </w:tcPr>
                <w:p w14:paraId="0236EE2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17DB4D5D">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35</w:t>
                  </w:r>
                  <w:r>
                    <w:rPr>
                      <w:rFonts w:hint="default" w:ascii="Times New Roman" w:hAnsi="Times New Roman" w:cs="Times New Roman"/>
                      <w:color w:val="auto"/>
                      <w:szCs w:val="21"/>
                      <w:highlight w:val="none"/>
                      <w:lang w:val="en-US" w:eastAsia="zh-CN"/>
                    </w:rPr>
                    <w:t>t</w:t>
                  </w:r>
                </w:p>
              </w:tc>
            </w:tr>
            <w:tr w14:paraId="5B22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78DEE6E8">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28</w:t>
                  </w:r>
                </w:p>
              </w:tc>
              <w:tc>
                <w:tcPr>
                  <w:tcW w:w="1916" w:type="dxa"/>
                  <w:vAlign w:val="center"/>
                </w:tcPr>
                <w:p w14:paraId="3A3686BE">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煤灰</w:t>
                  </w:r>
                </w:p>
              </w:tc>
              <w:tc>
                <w:tcPr>
                  <w:tcW w:w="1300" w:type="dxa"/>
                  <w:vAlign w:val="center"/>
                </w:tcPr>
                <w:p w14:paraId="6E45EC2C">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t</w:t>
                  </w:r>
                </w:p>
              </w:tc>
              <w:tc>
                <w:tcPr>
                  <w:tcW w:w="1213" w:type="dxa"/>
                  <w:vAlign w:val="center"/>
                </w:tcPr>
                <w:p w14:paraId="345E5C5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5B4FC1C4">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t</w:t>
                  </w:r>
                </w:p>
              </w:tc>
              <w:tc>
                <w:tcPr>
                  <w:tcW w:w="1025" w:type="dxa"/>
                  <w:vAlign w:val="center"/>
                </w:tcPr>
                <w:p w14:paraId="548EFF8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00C4E448">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szCs w:val="21"/>
                      <w:highlight w:val="none"/>
                      <w:lang w:val="en-US" w:eastAsia="zh-CN"/>
                    </w:rPr>
                    <w:t>1t</w:t>
                  </w:r>
                </w:p>
              </w:tc>
            </w:tr>
            <w:tr w14:paraId="5DBF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64D67F70">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29</w:t>
                  </w:r>
                </w:p>
              </w:tc>
              <w:tc>
                <w:tcPr>
                  <w:tcW w:w="1916" w:type="dxa"/>
                  <w:vAlign w:val="center"/>
                </w:tcPr>
                <w:p w14:paraId="0933574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固化剂</w:t>
                  </w:r>
                </w:p>
              </w:tc>
              <w:tc>
                <w:tcPr>
                  <w:tcW w:w="1300" w:type="dxa"/>
                  <w:vAlign w:val="center"/>
                </w:tcPr>
                <w:p w14:paraId="7DE37295">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120</w:t>
                  </w:r>
                  <w:r>
                    <w:rPr>
                      <w:rFonts w:hint="default" w:ascii="Times New Roman" w:hAnsi="Times New Roman" w:cs="Times New Roman"/>
                      <w:color w:val="auto"/>
                      <w:szCs w:val="21"/>
                      <w:highlight w:val="none"/>
                    </w:rPr>
                    <w:t>t</w:t>
                  </w:r>
                </w:p>
              </w:tc>
              <w:tc>
                <w:tcPr>
                  <w:tcW w:w="1213" w:type="dxa"/>
                  <w:vAlign w:val="center"/>
                </w:tcPr>
                <w:p w14:paraId="531E4A1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312" w:type="dxa"/>
                  <w:vAlign w:val="center"/>
                </w:tcPr>
                <w:p w14:paraId="47488138">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120</w:t>
                  </w:r>
                  <w:r>
                    <w:rPr>
                      <w:rFonts w:hint="default" w:ascii="Times New Roman" w:hAnsi="Times New Roman" w:cs="Times New Roman"/>
                      <w:color w:val="auto"/>
                      <w:szCs w:val="21"/>
                      <w:highlight w:val="none"/>
                    </w:rPr>
                    <w:t>t</w:t>
                  </w:r>
                </w:p>
              </w:tc>
              <w:tc>
                <w:tcPr>
                  <w:tcW w:w="1025" w:type="dxa"/>
                  <w:vAlign w:val="center"/>
                </w:tcPr>
                <w:p w14:paraId="5CC83A3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991" w:type="dxa"/>
                  <w:vAlign w:val="center"/>
                </w:tcPr>
                <w:p w14:paraId="19F78322">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10</w:t>
                  </w:r>
                  <w:r>
                    <w:rPr>
                      <w:rFonts w:hint="default" w:ascii="Times New Roman" w:hAnsi="Times New Roman" w:cs="Times New Roman"/>
                      <w:color w:val="auto"/>
                      <w:szCs w:val="21"/>
                      <w:highlight w:val="none"/>
                      <w:lang w:val="en-US" w:eastAsia="zh-CN"/>
                    </w:rPr>
                    <w:t>t</w:t>
                  </w:r>
                </w:p>
              </w:tc>
            </w:tr>
            <w:tr w14:paraId="5692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379" w:type="dxa"/>
                  <w:gridSpan w:val="7"/>
                  <w:vAlign w:val="center"/>
                </w:tcPr>
                <w:p w14:paraId="3573FEAB">
                  <w:pPr>
                    <w:adjustRightInd w:val="0"/>
                    <w:snapToGrid w:val="0"/>
                    <w:spacing w:before="120" w:beforeLines="50"/>
                    <w:jc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b/>
                      <w:bCs/>
                      <w:color w:val="auto"/>
                      <w:kern w:val="0"/>
                      <w:sz w:val="22"/>
                      <w:szCs w:val="22"/>
                      <w:highlight w:val="none"/>
                      <w:lang w:val="en-US" w:eastAsia="zh-CN" w:bidi="ar"/>
                    </w:rPr>
                    <w:t>本项目主要原辅材料</w:t>
                  </w:r>
                </w:p>
              </w:tc>
            </w:tr>
            <w:tr w14:paraId="5C3F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22" w:type="dxa"/>
                  <w:vAlign w:val="center"/>
                </w:tcPr>
                <w:p w14:paraId="6FAEA08F">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30</w:t>
                  </w:r>
                </w:p>
              </w:tc>
              <w:tc>
                <w:tcPr>
                  <w:tcW w:w="1916" w:type="dxa"/>
                  <w:vAlign w:val="center"/>
                </w:tcPr>
                <w:p w14:paraId="19527AAC">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耐高温漆</w:t>
                  </w:r>
                </w:p>
              </w:tc>
              <w:tc>
                <w:tcPr>
                  <w:tcW w:w="1300" w:type="dxa"/>
                  <w:vAlign w:val="center"/>
                </w:tcPr>
                <w:p w14:paraId="0C38E18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213" w:type="dxa"/>
                  <w:vAlign w:val="center"/>
                </w:tcPr>
                <w:p w14:paraId="7D3148C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3.9</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6t</w:t>
                  </w:r>
                </w:p>
              </w:tc>
              <w:tc>
                <w:tcPr>
                  <w:tcW w:w="1312" w:type="dxa"/>
                  <w:vAlign w:val="center"/>
                </w:tcPr>
                <w:p w14:paraId="66C26F8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3.9</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6t</w:t>
                  </w:r>
                </w:p>
              </w:tc>
              <w:tc>
                <w:tcPr>
                  <w:tcW w:w="1025" w:type="dxa"/>
                  <w:vAlign w:val="center"/>
                </w:tcPr>
                <w:p w14:paraId="4C3DA1E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+3.9</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6t</w:t>
                  </w:r>
                </w:p>
              </w:tc>
              <w:tc>
                <w:tcPr>
                  <w:tcW w:w="991" w:type="dxa"/>
                  <w:vAlign w:val="center"/>
                </w:tcPr>
                <w:p w14:paraId="7377F6AC">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 w:val="22"/>
                      <w:szCs w:val="22"/>
                      <w:highlight w:val="none"/>
                      <w:lang w:bidi="ar"/>
                    </w:rPr>
                    <w:t>0.5</w:t>
                  </w:r>
                  <w:r>
                    <w:rPr>
                      <w:rFonts w:hint="default" w:ascii="Times New Roman" w:hAnsi="Times New Roman" w:cs="Times New Roman"/>
                      <w:color w:val="auto"/>
                      <w:szCs w:val="21"/>
                      <w:highlight w:val="none"/>
                      <w:lang w:val="en-US" w:eastAsia="zh-CN"/>
                    </w:rPr>
                    <w:t>t</w:t>
                  </w:r>
                </w:p>
              </w:tc>
            </w:tr>
            <w:tr w14:paraId="08B9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7C895007">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31</w:t>
                  </w:r>
                </w:p>
              </w:tc>
              <w:tc>
                <w:tcPr>
                  <w:tcW w:w="1916" w:type="dxa"/>
                  <w:vAlign w:val="center"/>
                </w:tcPr>
                <w:p w14:paraId="3AD013AE">
                  <w:pPr>
                    <w:adjustRightInd w:val="0"/>
                    <w:snapToGrid w:val="0"/>
                    <w:spacing w:before="120" w:beforeLines="5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稀释剂</w:t>
                  </w:r>
                  <w:r>
                    <w:rPr>
                      <w:rFonts w:hint="default" w:ascii="Times New Roman" w:hAnsi="Times New Roman" w:cs="Times New Roman"/>
                      <w:color w:val="auto"/>
                      <w:szCs w:val="21"/>
                      <w:highlight w:val="none"/>
                      <w:lang w:val="en-US" w:eastAsia="zh-CN"/>
                    </w:rPr>
                    <w:t>*</w:t>
                  </w:r>
                </w:p>
              </w:tc>
              <w:tc>
                <w:tcPr>
                  <w:tcW w:w="1300" w:type="dxa"/>
                  <w:vAlign w:val="center"/>
                </w:tcPr>
                <w:p w14:paraId="5B8FCCD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213" w:type="dxa"/>
                  <w:vAlign w:val="center"/>
                </w:tcPr>
                <w:p w14:paraId="36B2D4D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0.99</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t</w:t>
                  </w:r>
                </w:p>
              </w:tc>
              <w:tc>
                <w:tcPr>
                  <w:tcW w:w="1312" w:type="dxa"/>
                  <w:vAlign w:val="center"/>
                </w:tcPr>
                <w:p w14:paraId="059AEE9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0.99</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t</w:t>
                  </w:r>
                </w:p>
              </w:tc>
              <w:tc>
                <w:tcPr>
                  <w:tcW w:w="1025" w:type="dxa"/>
                  <w:vAlign w:val="center"/>
                </w:tcPr>
                <w:p w14:paraId="23BF746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+0.99</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t</w:t>
                  </w:r>
                </w:p>
              </w:tc>
              <w:tc>
                <w:tcPr>
                  <w:tcW w:w="991" w:type="dxa"/>
                  <w:vAlign w:val="center"/>
                </w:tcPr>
                <w:p w14:paraId="02E0E4E4">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 w:val="22"/>
                      <w:szCs w:val="22"/>
                      <w:highlight w:val="none"/>
                      <w:lang w:bidi="ar"/>
                    </w:rPr>
                    <w:t>1</w:t>
                  </w:r>
                  <w:r>
                    <w:rPr>
                      <w:rFonts w:hint="default" w:ascii="Times New Roman" w:hAnsi="Times New Roman" w:cs="Times New Roman"/>
                      <w:color w:val="auto"/>
                      <w:szCs w:val="21"/>
                      <w:highlight w:val="none"/>
                      <w:lang w:val="en-US" w:eastAsia="zh-CN"/>
                    </w:rPr>
                    <w:t>t</w:t>
                  </w:r>
                </w:p>
              </w:tc>
            </w:tr>
            <w:tr w14:paraId="2520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 w:type="dxa"/>
                  <w:vAlign w:val="center"/>
                </w:tcPr>
                <w:p w14:paraId="58223EB0">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32</w:t>
                  </w:r>
                </w:p>
              </w:tc>
              <w:tc>
                <w:tcPr>
                  <w:tcW w:w="1916" w:type="dxa"/>
                  <w:vAlign w:val="center"/>
                </w:tcPr>
                <w:p w14:paraId="34CBD3D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热固性粉末涂料</w:t>
                  </w:r>
                </w:p>
              </w:tc>
              <w:tc>
                <w:tcPr>
                  <w:tcW w:w="1300" w:type="dxa"/>
                  <w:vAlign w:val="center"/>
                </w:tcPr>
                <w:p w14:paraId="0A8B084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213" w:type="dxa"/>
                  <w:vAlign w:val="center"/>
                </w:tcPr>
                <w:p w14:paraId="12CA04A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1.997t</w:t>
                  </w:r>
                </w:p>
              </w:tc>
              <w:tc>
                <w:tcPr>
                  <w:tcW w:w="1312" w:type="dxa"/>
                  <w:vAlign w:val="center"/>
                </w:tcPr>
                <w:p w14:paraId="6B20771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1.997t</w:t>
                  </w:r>
                </w:p>
              </w:tc>
              <w:tc>
                <w:tcPr>
                  <w:tcW w:w="1025" w:type="dxa"/>
                  <w:vAlign w:val="center"/>
                </w:tcPr>
                <w:p w14:paraId="5785AF0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+1.997t</w:t>
                  </w:r>
                </w:p>
              </w:tc>
              <w:tc>
                <w:tcPr>
                  <w:tcW w:w="991" w:type="dxa"/>
                  <w:vAlign w:val="center"/>
                </w:tcPr>
                <w:p w14:paraId="3E99961C">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 w:val="22"/>
                      <w:szCs w:val="22"/>
                      <w:highlight w:val="none"/>
                      <w:lang w:bidi="ar"/>
                    </w:rPr>
                    <w:t>0.2</w:t>
                  </w:r>
                  <w:r>
                    <w:rPr>
                      <w:rFonts w:hint="default" w:ascii="Times New Roman" w:hAnsi="Times New Roman" w:cs="Times New Roman"/>
                      <w:color w:val="auto"/>
                      <w:szCs w:val="21"/>
                      <w:highlight w:val="none"/>
                      <w:lang w:val="en-US" w:eastAsia="zh-CN"/>
                    </w:rPr>
                    <w:t>t</w:t>
                  </w:r>
                </w:p>
              </w:tc>
            </w:tr>
            <w:tr w14:paraId="1FFC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22" w:type="dxa"/>
                  <w:vAlign w:val="center"/>
                </w:tcPr>
                <w:p w14:paraId="6C7B0556">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33</w:t>
                  </w:r>
                </w:p>
              </w:tc>
              <w:tc>
                <w:tcPr>
                  <w:tcW w:w="1916" w:type="dxa"/>
                  <w:vAlign w:val="center"/>
                </w:tcPr>
                <w:p w14:paraId="4688AD0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铸铁件</w:t>
                  </w:r>
                </w:p>
              </w:tc>
              <w:tc>
                <w:tcPr>
                  <w:tcW w:w="1300" w:type="dxa"/>
                  <w:vAlign w:val="center"/>
                </w:tcPr>
                <w:p w14:paraId="0462B7E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213" w:type="dxa"/>
                  <w:vAlign w:val="center"/>
                </w:tcPr>
                <w:p w14:paraId="5A35713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11000t</w:t>
                  </w:r>
                </w:p>
              </w:tc>
              <w:tc>
                <w:tcPr>
                  <w:tcW w:w="1312" w:type="dxa"/>
                  <w:vAlign w:val="center"/>
                </w:tcPr>
                <w:p w14:paraId="4F44CDC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11000t</w:t>
                  </w:r>
                </w:p>
              </w:tc>
              <w:tc>
                <w:tcPr>
                  <w:tcW w:w="1025" w:type="dxa"/>
                  <w:vMerge w:val="restart"/>
                  <w:vAlign w:val="center"/>
                </w:tcPr>
                <w:p w14:paraId="1D96343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使用原项目生产的铸铁件、铸碳钢件</w:t>
                  </w:r>
                </w:p>
              </w:tc>
              <w:tc>
                <w:tcPr>
                  <w:tcW w:w="991" w:type="dxa"/>
                  <w:vAlign w:val="center"/>
                </w:tcPr>
                <w:p w14:paraId="265EDACF">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 w:val="22"/>
                      <w:szCs w:val="22"/>
                      <w:highlight w:val="none"/>
                      <w:lang w:bidi="ar"/>
                    </w:rPr>
                    <w:t>1000</w:t>
                  </w:r>
                </w:p>
              </w:tc>
            </w:tr>
            <w:tr w14:paraId="0436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22" w:type="dxa"/>
                  <w:vAlign w:val="center"/>
                </w:tcPr>
                <w:p w14:paraId="46C6495F">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34</w:t>
                  </w:r>
                </w:p>
              </w:tc>
              <w:tc>
                <w:tcPr>
                  <w:tcW w:w="1916" w:type="dxa"/>
                  <w:vAlign w:val="center"/>
                </w:tcPr>
                <w:p w14:paraId="3FF9922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铸碳钢件</w:t>
                  </w:r>
                </w:p>
              </w:tc>
              <w:tc>
                <w:tcPr>
                  <w:tcW w:w="1300" w:type="dxa"/>
                  <w:vAlign w:val="center"/>
                </w:tcPr>
                <w:p w14:paraId="64680D4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0t</w:t>
                  </w:r>
                </w:p>
              </w:tc>
              <w:tc>
                <w:tcPr>
                  <w:tcW w:w="1213" w:type="dxa"/>
                  <w:vAlign w:val="center"/>
                </w:tcPr>
                <w:p w14:paraId="06D217F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2000t</w:t>
                  </w:r>
                </w:p>
              </w:tc>
              <w:tc>
                <w:tcPr>
                  <w:tcW w:w="1312" w:type="dxa"/>
                  <w:vAlign w:val="center"/>
                </w:tcPr>
                <w:p w14:paraId="44EF0B6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2000t</w:t>
                  </w:r>
                </w:p>
              </w:tc>
              <w:tc>
                <w:tcPr>
                  <w:tcW w:w="1025" w:type="dxa"/>
                  <w:vMerge w:val="continue"/>
                  <w:vAlign w:val="center"/>
                </w:tcPr>
                <w:p w14:paraId="2195DECA">
                  <w:pPr>
                    <w:jc w:val="center"/>
                    <w:rPr>
                      <w:rFonts w:hint="default" w:ascii="Times New Roman" w:hAnsi="Times New Roman" w:cs="Times New Roman"/>
                      <w:color w:val="auto"/>
                      <w:szCs w:val="21"/>
                      <w:highlight w:val="none"/>
                    </w:rPr>
                  </w:pPr>
                </w:p>
              </w:tc>
              <w:tc>
                <w:tcPr>
                  <w:tcW w:w="991" w:type="dxa"/>
                  <w:vAlign w:val="center"/>
                </w:tcPr>
                <w:p w14:paraId="0D90B9D6">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 w:val="22"/>
                      <w:szCs w:val="22"/>
                      <w:highlight w:val="none"/>
                      <w:lang w:bidi="ar"/>
                    </w:rPr>
                    <w:t>200</w:t>
                  </w:r>
                </w:p>
              </w:tc>
            </w:tr>
            <w:tr w14:paraId="7F72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379" w:type="dxa"/>
                  <w:gridSpan w:val="7"/>
                  <w:vAlign w:val="center"/>
                </w:tcPr>
                <w:p w14:paraId="574C3385">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备注：*表中稀释剂用量包含了耐高温漆调制用量、洗枪用量。</w:t>
                  </w:r>
                </w:p>
              </w:tc>
            </w:tr>
          </w:tbl>
          <w:p w14:paraId="26D29C40">
            <w:pPr>
              <w:pStyle w:val="8"/>
              <w:spacing w:line="360" w:lineRule="auto"/>
              <w:ind w:firstLine="482" w:firstLineChars="200"/>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b/>
                <w:bCs/>
                <w:color w:val="auto"/>
                <w:highlight w:val="none"/>
              </w:rPr>
              <w:t>耐高温漆：</w:t>
            </w:r>
            <w:r>
              <w:rPr>
                <w:rFonts w:hint="default" w:ascii="Times New Roman" w:hAnsi="Times New Roman" w:eastAsia="宋体" w:cs="Times New Roman"/>
                <w:color w:val="auto"/>
                <w:highlight w:val="none"/>
              </w:rPr>
              <w:t>油性漆，</w:t>
            </w:r>
            <w:r>
              <w:rPr>
                <w:rFonts w:hint="default" w:ascii="Times New Roman" w:hAnsi="Times New Roman" w:eastAsia="宋体" w:cs="Times New Roman"/>
                <w:color w:val="auto"/>
                <w:highlight w:val="none"/>
                <w:shd w:val="clear" w:color="auto" w:fill="FFFFFF"/>
              </w:rPr>
              <w:t>是一种专门设计用于在高温环境下长期使用而不失效的特种涂料，主要成分为有机硅树脂52%、二甲苯8%、丙二醇甲醚醋酸酯3%、醋酸正丁酯4%、耐热颜料33%，相对密度</w:t>
            </w:r>
            <w:r>
              <w:rPr>
                <w:rFonts w:hint="default" w:ascii="Times New Roman" w:hAnsi="Times New Roman" w:eastAsia="宋体" w:cs="Times New Roman"/>
                <w:color w:val="auto"/>
                <w:highlight w:val="none"/>
              </w:rPr>
              <w:t>（水=1）</w:t>
            </w:r>
            <w:r>
              <w:rPr>
                <w:rFonts w:hint="default" w:ascii="Times New Roman" w:hAnsi="Times New Roman" w:eastAsia="宋体" w:cs="Times New Roman"/>
                <w:color w:val="auto"/>
                <w:highlight w:val="none"/>
                <w:shd w:val="clear" w:color="auto" w:fill="FFFFFF"/>
              </w:rPr>
              <w:t>为1.2g/cm</w:t>
            </w:r>
            <w:r>
              <w:rPr>
                <w:rFonts w:hint="default" w:ascii="Times New Roman" w:hAnsi="Times New Roman" w:eastAsia="宋体" w:cs="Times New Roman"/>
                <w:color w:val="auto"/>
                <w:highlight w:val="none"/>
                <w:shd w:val="clear" w:color="auto" w:fill="FFFFFF"/>
                <w:vertAlign w:val="superscript"/>
              </w:rPr>
              <w:t>3</w:t>
            </w:r>
            <w:r>
              <w:rPr>
                <w:rFonts w:hint="default" w:ascii="Times New Roman" w:hAnsi="Times New Roman" w:eastAsia="宋体" w:cs="Times New Roman"/>
                <w:color w:val="auto"/>
                <w:highlight w:val="none"/>
                <w:shd w:val="clear" w:color="auto" w:fill="FFFFFF"/>
              </w:rPr>
              <w:t>，闪点＞23℃。其MSDS见附件9。</w:t>
            </w:r>
          </w:p>
          <w:p w14:paraId="78C0FEE4">
            <w:pPr>
              <w:pStyle w:val="8"/>
              <w:spacing w:line="360" w:lineRule="auto"/>
              <w:ind w:firstLine="482" w:firstLineChars="200"/>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b/>
                <w:bCs/>
                <w:color w:val="auto"/>
                <w:highlight w:val="none"/>
                <w:shd w:val="clear" w:color="auto" w:fill="FFFFFF"/>
              </w:rPr>
              <w:t>稀释剂：</w:t>
            </w:r>
            <w:r>
              <w:rPr>
                <w:rFonts w:hint="default" w:ascii="Times New Roman" w:hAnsi="Times New Roman" w:eastAsia="宋体" w:cs="Times New Roman"/>
                <w:color w:val="auto"/>
                <w:highlight w:val="none"/>
                <w:shd w:val="clear" w:color="auto" w:fill="FFFFFF"/>
              </w:rPr>
              <w:t>是一种用于降低涂料、油墨、胶粘剂等体系黏度的液体添加剂，使其更易于施工（如喷涂、刷涂、辊涂等）。它主要作用是调节施工性能，在施工成型过程中会挥发掉。</w:t>
            </w:r>
            <w:r>
              <w:rPr>
                <w:rFonts w:hint="default" w:ascii="Times New Roman" w:hAnsi="Times New Roman" w:eastAsia="宋体" w:cs="Times New Roman"/>
                <w:color w:val="auto"/>
                <w:highlight w:val="none"/>
              </w:rPr>
              <w:t>主要成分：二甲苯70%，丁酯15%、环己酮15%。外观与性状：无色液体。沸点</w:t>
            </w:r>
            <w:r>
              <w:rPr>
                <w:rFonts w:hint="default" w:ascii="Times New Roman" w:hAnsi="Times New Roman" w:eastAsia="宋体" w:cs="Times New Roman"/>
                <w:color w:val="auto"/>
                <w:highlight w:val="none"/>
                <w:shd w:val="clear" w:color="auto" w:fill="FFFFFF"/>
              </w:rPr>
              <w:t>＞235℃</w:t>
            </w:r>
            <w:r>
              <w:rPr>
                <w:rFonts w:hint="default" w:ascii="Times New Roman" w:hAnsi="Times New Roman" w:eastAsia="宋体" w:cs="Times New Roman"/>
                <w:color w:val="auto"/>
                <w:highlight w:val="none"/>
              </w:rPr>
              <w:t>，相对密度（水=1）为1.049，</w:t>
            </w:r>
            <w:r>
              <w:rPr>
                <w:rFonts w:hint="default" w:ascii="Times New Roman" w:hAnsi="Times New Roman" w:eastAsia="宋体" w:cs="Times New Roman"/>
                <w:color w:val="auto"/>
                <w:highlight w:val="none"/>
                <w:shd w:val="clear" w:color="auto" w:fill="FFFFFF"/>
              </w:rPr>
              <w:t>闪点：2℃，</w:t>
            </w:r>
            <w:r>
              <w:rPr>
                <w:rFonts w:hint="default" w:ascii="Times New Roman" w:hAnsi="Times New Roman" w:eastAsia="宋体" w:cs="Times New Roman"/>
                <w:color w:val="auto"/>
                <w:highlight w:val="none"/>
              </w:rPr>
              <w:t>燃点温度为54</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rPr>
              <w:t>，属于易燃品。</w:t>
            </w:r>
            <w:r>
              <w:rPr>
                <w:rFonts w:hint="default" w:ascii="Times New Roman" w:hAnsi="Times New Roman" w:eastAsia="宋体" w:cs="Times New Roman"/>
                <w:color w:val="auto"/>
                <w:highlight w:val="none"/>
                <w:shd w:val="clear" w:color="auto" w:fill="FFFFFF"/>
              </w:rPr>
              <w:t>其MSDS见附件10。</w:t>
            </w:r>
          </w:p>
          <w:p w14:paraId="1EFF6126">
            <w:pPr>
              <w:spacing w:line="360" w:lineRule="auto"/>
              <w:ind w:firstLine="482" w:firstLineChars="200"/>
              <w:jc w:val="left"/>
              <w:rPr>
                <w:rFonts w:hint="default" w:ascii="Times New Roman" w:hAnsi="Times New Roman" w:cs="Times New Roman"/>
                <w:color w:val="auto"/>
                <w:sz w:val="24"/>
                <w:highlight w:val="none"/>
                <w:shd w:val="clear" w:color="auto" w:fill="FFFFFF"/>
              </w:rPr>
            </w:pPr>
            <w:r>
              <w:rPr>
                <w:rFonts w:hint="default" w:ascii="Times New Roman" w:hAnsi="Times New Roman" w:cs="Times New Roman"/>
                <w:b/>
                <w:bCs/>
                <w:color w:val="auto"/>
                <w:sz w:val="24"/>
                <w:highlight w:val="none"/>
                <w:shd w:val="clear" w:color="auto" w:fill="FFFFFF"/>
              </w:rPr>
              <w:t>热固性粉末涂料：</w:t>
            </w:r>
            <w:r>
              <w:rPr>
                <w:rFonts w:hint="default" w:ascii="Times New Roman" w:hAnsi="Times New Roman" w:cs="Times New Roman"/>
                <w:color w:val="auto"/>
                <w:sz w:val="24"/>
                <w:highlight w:val="none"/>
                <w:shd w:val="clear" w:color="auto" w:fill="FFFFFF"/>
              </w:rPr>
              <w:t>是一类在加热固化过程中发生不可逆化学反应，形成三维交联网络结构的固体涂料。它以粉末形式喷涂于工件表面，经高温烘烤后熔融、流平并固化成膜，广泛应用于金属制品的表面涂装。主要成分：环氧树脂25%、聚酯树脂28%、钛白粉18.5%、硫酸钡25%、铬黄1.3%、群青蓝1.7%、炭黑0.5%。其MSDS见附件11。</w:t>
            </w:r>
          </w:p>
          <w:p w14:paraId="463EAD12">
            <w:pPr>
              <w:widowControl/>
              <w:spacing w:before="120" w:beforeLines="50" w:line="360" w:lineRule="auto"/>
              <w:ind w:firstLine="482" w:firstLineChars="200"/>
              <w:jc w:val="left"/>
              <w:rPr>
                <w:rFonts w:hint="default" w:ascii="Times New Roman" w:hAnsi="Times New Roman" w:cs="Times New Roman"/>
                <w:b/>
                <w:bCs/>
                <w:color w:val="auto"/>
                <w:kern w:val="0"/>
                <w:sz w:val="24"/>
                <w:highlight w:val="none"/>
                <w:lang w:bidi="ar"/>
              </w:rPr>
            </w:pPr>
            <w:r>
              <w:rPr>
                <w:rFonts w:hint="default" w:ascii="Times New Roman" w:hAnsi="Times New Roman" w:cs="Times New Roman"/>
                <w:b/>
                <w:bCs/>
                <w:color w:val="auto"/>
                <w:sz w:val="24"/>
                <w:highlight w:val="none"/>
                <w:shd w:val="clear" w:color="auto" w:fill="FFFFFF"/>
              </w:rPr>
              <w:t>（2）</w:t>
            </w:r>
            <w:r>
              <w:rPr>
                <w:rFonts w:hint="default" w:ascii="Times New Roman" w:hAnsi="Times New Roman" w:cs="Times New Roman"/>
                <w:b/>
                <w:bCs/>
                <w:color w:val="auto"/>
                <w:kern w:val="0"/>
                <w:sz w:val="24"/>
                <w:highlight w:val="none"/>
                <w:lang w:bidi="ar"/>
              </w:rPr>
              <w:t>油性漆、稀释剂用量核算</w:t>
            </w:r>
          </w:p>
          <w:p w14:paraId="6D826334">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项目所用油性漆、稀释剂成分如下表所示：</w:t>
            </w:r>
          </w:p>
          <w:p w14:paraId="3E24AFA9">
            <w:pPr>
              <w:widowControl/>
              <w:adjustRightInd w:val="0"/>
              <w:snapToGrid w:val="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表2-</w:t>
            </w:r>
            <w:r>
              <w:rPr>
                <w:rFonts w:hint="default" w:ascii="Times New Roman" w:hAnsi="Times New Roman" w:cs="Times New Roman"/>
                <w:b/>
                <w:color w:val="auto"/>
                <w:sz w:val="24"/>
                <w:highlight w:val="none"/>
                <w:lang w:val="en-US" w:eastAsia="zh-CN"/>
              </w:rPr>
              <w:t>7</w:t>
            </w:r>
            <w:r>
              <w:rPr>
                <w:rFonts w:hint="default" w:ascii="Times New Roman" w:hAnsi="Times New Roman" w:cs="Times New Roman"/>
                <w:b/>
                <w:color w:val="auto"/>
                <w:sz w:val="24"/>
                <w:highlight w:val="none"/>
              </w:rPr>
              <w:t xml:space="preserve"> 漆料组分含量一览表</w:t>
            </w:r>
          </w:p>
          <w:tbl>
            <w:tblPr>
              <w:tblStyle w:val="26"/>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2580"/>
              <w:gridCol w:w="1295"/>
              <w:gridCol w:w="2485"/>
              <w:gridCol w:w="904"/>
            </w:tblGrid>
            <w:tr w14:paraId="5C99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9" w:type="dxa"/>
                  <w:vAlign w:val="center"/>
                </w:tcPr>
                <w:p w14:paraId="2073C448">
                  <w:pPr>
                    <w:widowControl/>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名称</w:t>
                  </w:r>
                </w:p>
              </w:tc>
              <w:tc>
                <w:tcPr>
                  <w:tcW w:w="3875" w:type="dxa"/>
                  <w:gridSpan w:val="2"/>
                  <w:vAlign w:val="center"/>
                </w:tcPr>
                <w:p w14:paraId="143DC87D">
                  <w:pPr>
                    <w:widowControl/>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主要组分成分</w:t>
                  </w:r>
                </w:p>
              </w:tc>
              <w:tc>
                <w:tcPr>
                  <w:tcW w:w="2485" w:type="dxa"/>
                  <w:vAlign w:val="center"/>
                </w:tcPr>
                <w:p w14:paraId="21411E15">
                  <w:pPr>
                    <w:widowControl/>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挥发分含量</w:t>
                  </w:r>
                </w:p>
              </w:tc>
              <w:tc>
                <w:tcPr>
                  <w:tcW w:w="904" w:type="dxa"/>
                  <w:vAlign w:val="center"/>
                </w:tcPr>
                <w:p w14:paraId="5A2BC7B8">
                  <w:pPr>
                    <w:widowControl/>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调配后固含量</w:t>
                  </w:r>
                </w:p>
              </w:tc>
            </w:tr>
            <w:tr w14:paraId="580A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9" w:type="dxa"/>
                  <w:vMerge w:val="restart"/>
                  <w:vAlign w:val="center"/>
                </w:tcPr>
                <w:p w14:paraId="140B1981">
                  <w:pPr>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耐高温漆</w:t>
                  </w:r>
                </w:p>
              </w:tc>
              <w:tc>
                <w:tcPr>
                  <w:tcW w:w="2580" w:type="dxa"/>
                  <w:vAlign w:val="center"/>
                </w:tcPr>
                <w:p w14:paraId="08DE1673">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有机硅树脂</w:t>
                  </w:r>
                </w:p>
              </w:tc>
              <w:tc>
                <w:tcPr>
                  <w:tcW w:w="1295" w:type="dxa"/>
                  <w:vAlign w:val="center"/>
                </w:tcPr>
                <w:p w14:paraId="4B0FF02D">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52%</w:t>
                  </w:r>
                </w:p>
              </w:tc>
              <w:tc>
                <w:tcPr>
                  <w:tcW w:w="2485" w:type="dxa"/>
                  <w:vMerge w:val="restart"/>
                  <w:vAlign w:val="center"/>
                </w:tcPr>
                <w:p w14:paraId="3D7DC33E">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szCs w:val="21"/>
                      <w:highlight w:val="none"/>
                      <w:lang w:bidi="ar"/>
                    </w:rPr>
                    <w:t>耐高温漆漆与稀释剂的调配比例为4:1（质量比），</w:t>
                  </w:r>
                  <w:r>
                    <w:rPr>
                      <w:rFonts w:hint="default" w:ascii="Times New Roman" w:hAnsi="Times New Roman" w:cs="Times New Roman"/>
                      <w:bCs/>
                      <w:color w:val="auto"/>
                      <w:szCs w:val="21"/>
                      <w:highlight w:val="none"/>
                    </w:rPr>
                    <w:t>根据检测报告（附件12），</w:t>
                  </w:r>
                  <w:r>
                    <w:rPr>
                      <w:rFonts w:hint="default" w:ascii="Times New Roman" w:hAnsi="Times New Roman" w:cs="Times New Roman"/>
                      <w:color w:val="auto"/>
                      <w:kern w:val="0"/>
                      <w:szCs w:val="21"/>
                      <w:highlight w:val="none"/>
                      <w:lang w:bidi="ar"/>
                    </w:rPr>
                    <w:t>VOCs含量为384g/L。折算VOCs含量为32.93%。</w:t>
                  </w:r>
                </w:p>
              </w:tc>
              <w:tc>
                <w:tcPr>
                  <w:tcW w:w="904" w:type="dxa"/>
                  <w:vMerge w:val="restart"/>
                  <w:vAlign w:val="center"/>
                </w:tcPr>
                <w:p w14:paraId="1CB7F3A6">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67.07%</w:t>
                  </w:r>
                </w:p>
              </w:tc>
            </w:tr>
            <w:tr w14:paraId="5BCA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9" w:type="dxa"/>
                  <w:vMerge w:val="continue"/>
                  <w:vAlign w:val="center"/>
                </w:tcPr>
                <w:p w14:paraId="33EAF728">
                  <w:pPr>
                    <w:widowControl/>
                    <w:adjustRightInd w:val="0"/>
                    <w:snapToGrid w:val="0"/>
                    <w:jc w:val="center"/>
                    <w:rPr>
                      <w:rFonts w:hint="default" w:ascii="Times New Roman" w:hAnsi="Times New Roman" w:cs="Times New Roman"/>
                      <w:bCs/>
                      <w:color w:val="auto"/>
                      <w:szCs w:val="21"/>
                      <w:highlight w:val="none"/>
                    </w:rPr>
                  </w:pPr>
                </w:p>
              </w:tc>
              <w:tc>
                <w:tcPr>
                  <w:tcW w:w="2580" w:type="dxa"/>
                  <w:vAlign w:val="center"/>
                </w:tcPr>
                <w:p w14:paraId="58188788">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二甲苯</w:t>
                  </w:r>
                </w:p>
              </w:tc>
              <w:tc>
                <w:tcPr>
                  <w:tcW w:w="1295" w:type="dxa"/>
                  <w:vAlign w:val="center"/>
                </w:tcPr>
                <w:p w14:paraId="4014499E">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8%</w:t>
                  </w:r>
                </w:p>
              </w:tc>
              <w:tc>
                <w:tcPr>
                  <w:tcW w:w="2485" w:type="dxa"/>
                  <w:vMerge w:val="continue"/>
                  <w:vAlign w:val="center"/>
                </w:tcPr>
                <w:p w14:paraId="65590ABD">
                  <w:pPr>
                    <w:adjustRightInd w:val="0"/>
                    <w:snapToGrid w:val="0"/>
                    <w:jc w:val="center"/>
                    <w:rPr>
                      <w:rFonts w:hint="default" w:ascii="Times New Roman" w:hAnsi="Times New Roman" w:cs="Times New Roman"/>
                      <w:bCs/>
                      <w:color w:val="auto"/>
                      <w:szCs w:val="21"/>
                      <w:highlight w:val="none"/>
                    </w:rPr>
                  </w:pPr>
                </w:p>
              </w:tc>
              <w:tc>
                <w:tcPr>
                  <w:tcW w:w="904" w:type="dxa"/>
                  <w:vMerge w:val="continue"/>
                  <w:vAlign w:val="center"/>
                </w:tcPr>
                <w:p w14:paraId="23FDD46C">
                  <w:pPr>
                    <w:adjustRightInd w:val="0"/>
                    <w:snapToGrid w:val="0"/>
                    <w:jc w:val="center"/>
                    <w:rPr>
                      <w:rFonts w:hint="default" w:ascii="Times New Roman" w:hAnsi="Times New Roman" w:cs="Times New Roman"/>
                      <w:bCs/>
                      <w:color w:val="auto"/>
                      <w:szCs w:val="21"/>
                      <w:highlight w:val="none"/>
                    </w:rPr>
                  </w:pPr>
                </w:p>
              </w:tc>
            </w:tr>
            <w:tr w14:paraId="0A51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9" w:type="dxa"/>
                  <w:vMerge w:val="continue"/>
                  <w:vAlign w:val="center"/>
                </w:tcPr>
                <w:p w14:paraId="12CADCBD">
                  <w:pPr>
                    <w:widowControl/>
                    <w:adjustRightInd w:val="0"/>
                    <w:snapToGrid w:val="0"/>
                    <w:jc w:val="center"/>
                    <w:rPr>
                      <w:rFonts w:hint="default" w:ascii="Times New Roman" w:hAnsi="Times New Roman" w:cs="Times New Roman"/>
                      <w:bCs/>
                      <w:color w:val="auto"/>
                      <w:szCs w:val="21"/>
                      <w:highlight w:val="none"/>
                    </w:rPr>
                  </w:pPr>
                </w:p>
              </w:tc>
              <w:tc>
                <w:tcPr>
                  <w:tcW w:w="2580" w:type="dxa"/>
                  <w:vAlign w:val="center"/>
                </w:tcPr>
                <w:p w14:paraId="0B83041F">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丙二醇甲醚醋酸酯（PMA）</w:t>
                  </w:r>
                </w:p>
              </w:tc>
              <w:tc>
                <w:tcPr>
                  <w:tcW w:w="1295" w:type="dxa"/>
                  <w:vAlign w:val="center"/>
                </w:tcPr>
                <w:p w14:paraId="3C41DB59">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w:t>
                  </w:r>
                </w:p>
              </w:tc>
              <w:tc>
                <w:tcPr>
                  <w:tcW w:w="2485" w:type="dxa"/>
                  <w:vMerge w:val="continue"/>
                  <w:vAlign w:val="center"/>
                </w:tcPr>
                <w:p w14:paraId="4588C71D">
                  <w:pPr>
                    <w:adjustRightInd w:val="0"/>
                    <w:snapToGrid w:val="0"/>
                    <w:jc w:val="center"/>
                    <w:rPr>
                      <w:rFonts w:hint="default" w:ascii="Times New Roman" w:hAnsi="Times New Roman" w:cs="Times New Roman"/>
                      <w:bCs/>
                      <w:color w:val="auto"/>
                      <w:szCs w:val="21"/>
                      <w:highlight w:val="none"/>
                    </w:rPr>
                  </w:pPr>
                </w:p>
              </w:tc>
              <w:tc>
                <w:tcPr>
                  <w:tcW w:w="904" w:type="dxa"/>
                  <w:vMerge w:val="continue"/>
                  <w:vAlign w:val="center"/>
                </w:tcPr>
                <w:p w14:paraId="2B4B7EF3">
                  <w:pPr>
                    <w:adjustRightInd w:val="0"/>
                    <w:snapToGrid w:val="0"/>
                    <w:jc w:val="center"/>
                    <w:rPr>
                      <w:rFonts w:hint="default" w:ascii="Times New Roman" w:hAnsi="Times New Roman" w:cs="Times New Roman"/>
                      <w:bCs/>
                      <w:color w:val="auto"/>
                      <w:szCs w:val="21"/>
                      <w:highlight w:val="none"/>
                    </w:rPr>
                  </w:pPr>
                </w:p>
              </w:tc>
            </w:tr>
            <w:tr w14:paraId="6B1B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119" w:type="dxa"/>
                  <w:vMerge w:val="continue"/>
                  <w:vAlign w:val="center"/>
                </w:tcPr>
                <w:p w14:paraId="06108CF5">
                  <w:pPr>
                    <w:widowControl/>
                    <w:adjustRightInd w:val="0"/>
                    <w:snapToGrid w:val="0"/>
                    <w:jc w:val="center"/>
                    <w:rPr>
                      <w:rFonts w:hint="default" w:ascii="Times New Roman" w:hAnsi="Times New Roman" w:cs="Times New Roman"/>
                      <w:bCs/>
                      <w:color w:val="auto"/>
                      <w:szCs w:val="21"/>
                      <w:highlight w:val="none"/>
                    </w:rPr>
                  </w:pPr>
                </w:p>
              </w:tc>
              <w:tc>
                <w:tcPr>
                  <w:tcW w:w="2580" w:type="dxa"/>
                  <w:vAlign w:val="center"/>
                </w:tcPr>
                <w:p w14:paraId="43FC42BC">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醋酸正丁酯</w:t>
                  </w:r>
                </w:p>
              </w:tc>
              <w:tc>
                <w:tcPr>
                  <w:tcW w:w="1295" w:type="dxa"/>
                  <w:vAlign w:val="center"/>
                </w:tcPr>
                <w:p w14:paraId="3F98F4D2">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w:t>
                  </w:r>
                </w:p>
              </w:tc>
              <w:tc>
                <w:tcPr>
                  <w:tcW w:w="2485" w:type="dxa"/>
                  <w:vMerge w:val="continue"/>
                  <w:vAlign w:val="center"/>
                </w:tcPr>
                <w:p w14:paraId="69F503EA">
                  <w:pPr>
                    <w:adjustRightInd w:val="0"/>
                    <w:snapToGrid w:val="0"/>
                    <w:jc w:val="center"/>
                    <w:rPr>
                      <w:rFonts w:hint="default" w:ascii="Times New Roman" w:hAnsi="Times New Roman" w:cs="Times New Roman"/>
                      <w:bCs/>
                      <w:color w:val="auto"/>
                      <w:szCs w:val="21"/>
                      <w:highlight w:val="none"/>
                    </w:rPr>
                  </w:pPr>
                </w:p>
              </w:tc>
              <w:tc>
                <w:tcPr>
                  <w:tcW w:w="904" w:type="dxa"/>
                  <w:vMerge w:val="continue"/>
                  <w:vAlign w:val="center"/>
                </w:tcPr>
                <w:p w14:paraId="77A409DC">
                  <w:pPr>
                    <w:adjustRightInd w:val="0"/>
                    <w:snapToGrid w:val="0"/>
                    <w:jc w:val="center"/>
                    <w:rPr>
                      <w:rFonts w:hint="default" w:ascii="Times New Roman" w:hAnsi="Times New Roman" w:cs="Times New Roman"/>
                      <w:bCs/>
                      <w:color w:val="auto"/>
                      <w:szCs w:val="21"/>
                      <w:highlight w:val="none"/>
                    </w:rPr>
                  </w:pPr>
                </w:p>
              </w:tc>
            </w:tr>
            <w:tr w14:paraId="230D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119" w:type="dxa"/>
                  <w:vMerge w:val="continue"/>
                  <w:vAlign w:val="center"/>
                </w:tcPr>
                <w:p w14:paraId="104C77A2">
                  <w:pPr>
                    <w:widowControl/>
                    <w:adjustRightInd w:val="0"/>
                    <w:snapToGrid w:val="0"/>
                    <w:jc w:val="center"/>
                    <w:rPr>
                      <w:rFonts w:hint="default" w:ascii="Times New Roman" w:hAnsi="Times New Roman" w:cs="Times New Roman"/>
                      <w:bCs/>
                      <w:color w:val="auto"/>
                      <w:szCs w:val="21"/>
                      <w:highlight w:val="none"/>
                    </w:rPr>
                  </w:pPr>
                </w:p>
              </w:tc>
              <w:tc>
                <w:tcPr>
                  <w:tcW w:w="2580" w:type="dxa"/>
                  <w:vAlign w:val="center"/>
                </w:tcPr>
                <w:p w14:paraId="6096327A">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耐热颜料</w:t>
                  </w:r>
                </w:p>
              </w:tc>
              <w:tc>
                <w:tcPr>
                  <w:tcW w:w="1295" w:type="dxa"/>
                  <w:vAlign w:val="center"/>
                </w:tcPr>
                <w:p w14:paraId="7D1B6E19">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33%</w:t>
                  </w:r>
                </w:p>
              </w:tc>
              <w:tc>
                <w:tcPr>
                  <w:tcW w:w="2485" w:type="dxa"/>
                  <w:vMerge w:val="continue"/>
                  <w:vAlign w:val="center"/>
                </w:tcPr>
                <w:p w14:paraId="205BB7FC">
                  <w:pPr>
                    <w:adjustRightInd w:val="0"/>
                    <w:snapToGrid w:val="0"/>
                    <w:jc w:val="center"/>
                    <w:rPr>
                      <w:rFonts w:hint="default" w:ascii="Times New Roman" w:hAnsi="Times New Roman" w:cs="Times New Roman"/>
                      <w:bCs/>
                      <w:color w:val="auto"/>
                      <w:szCs w:val="21"/>
                      <w:highlight w:val="none"/>
                    </w:rPr>
                  </w:pPr>
                </w:p>
              </w:tc>
              <w:tc>
                <w:tcPr>
                  <w:tcW w:w="904" w:type="dxa"/>
                  <w:vMerge w:val="continue"/>
                  <w:vAlign w:val="center"/>
                </w:tcPr>
                <w:p w14:paraId="79ADFE9B">
                  <w:pPr>
                    <w:adjustRightInd w:val="0"/>
                    <w:snapToGrid w:val="0"/>
                    <w:jc w:val="center"/>
                    <w:rPr>
                      <w:rFonts w:hint="default" w:ascii="Times New Roman" w:hAnsi="Times New Roman" w:cs="Times New Roman"/>
                      <w:bCs/>
                      <w:color w:val="auto"/>
                      <w:szCs w:val="21"/>
                      <w:highlight w:val="none"/>
                    </w:rPr>
                  </w:pPr>
                </w:p>
              </w:tc>
            </w:tr>
            <w:tr w14:paraId="4EFA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9" w:type="dxa"/>
                  <w:vMerge w:val="restart"/>
                  <w:vAlign w:val="center"/>
                </w:tcPr>
                <w:p w14:paraId="59C57F5D">
                  <w:pPr>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稀释剂</w:t>
                  </w:r>
                </w:p>
              </w:tc>
              <w:tc>
                <w:tcPr>
                  <w:tcW w:w="2580" w:type="dxa"/>
                  <w:vAlign w:val="center"/>
                </w:tcPr>
                <w:p w14:paraId="08B40787">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position w:val="-4"/>
                      <w:szCs w:val="21"/>
                      <w:highlight w:val="none"/>
                    </w:rPr>
                    <w:t>二甲苯</w:t>
                  </w:r>
                </w:p>
              </w:tc>
              <w:tc>
                <w:tcPr>
                  <w:tcW w:w="1295" w:type="dxa"/>
                  <w:vAlign w:val="center"/>
                </w:tcPr>
                <w:p w14:paraId="7D91795E">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70%</w:t>
                  </w:r>
                </w:p>
              </w:tc>
              <w:tc>
                <w:tcPr>
                  <w:tcW w:w="2485" w:type="dxa"/>
                  <w:vMerge w:val="continue"/>
                  <w:vAlign w:val="center"/>
                </w:tcPr>
                <w:p w14:paraId="50E9F53F">
                  <w:pPr>
                    <w:widowControl/>
                    <w:adjustRightInd w:val="0"/>
                    <w:snapToGrid w:val="0"/>
                    <w:jc w:val="center"/>
                    <w:rPr>
                      <w:rFonts w:hint="default" w:ascii="Times New Roman" w:hAnsi="Times New Roman" w:cs="Times New Roman"/>
                      <w:bCs/>
                      <w:color w:val="auto"/>
                      <w:szCs w:val="21"/>
                      <w:highlight w:val="none"/>
                    </w:rPr>
                  </w:pPr>
                </w:p>
              </w:tc>
              <w:tc>
                <w:tcPr>
                  <w:tcW w:w="904" w:type="dxa"/>
                  <w:vMerge w:val="continue"/>
                  <w:vAlign w:val="center"/>
                </w:tcPr>
                <w:p w14:paraId="3A725385">
                  <w:pPr>
                    <w:widowControl/>
                    <w:adjustRightInd w:val="0"/>
                    <w:snapToGrid w:val="0"/>
                    <w:jc w:val="center"/>
                    <w:rPr>
                      <w:rFonts w:hint="default" w:ascii="Times New Roman" w:hAnsi="Times New Roman" w:cs="Times New Roman"/>
                      <w:bCs/>
                      <w:color w:val="auto"/>
                      <w:szCs w:val="21"/>
                      <w:highlight w:val="none"/>
                    </w:rPr>
                  </w:pPr>
                </w:p>
              </w:tc>
            </w:tr>
            <w:tr w14:paraId="100D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9" w:type="dxa"/>
                  <w:vMerge w:val="continue"/>
                  <w:vAlign w:val="center"/>
                </w:tcPr>
                <w:p w14:paraId="09DB588C">
                  <w:pPr>
                    <w:widowControl/>
                    <w:adjustRightInd w:val="0"/>
                    <w:snapToGrid w:val="0"/>
                    <w:jc w:val="center"/>
                    <w:rPr>
                      <w:rFonts w:hint="default" w:ascii="Times New Roman" w:hAnsi="Times New Roman" w:cs="Times New Roman"/>
                      <w:bCs/>
                      <w:color w:val="auto"/>
                      <w:szCs w:val="21"/>
                      <w:highlight w:val="none"/>
                    </w:rPr>
                  </w:pPr>
                </w:p>
              </w:tc>
              <w:tc>
                <w:tcPr>
                  <w:tcW w:w="2580" w:type="dxa"/>
                  <w:vAlign w:val="center"/>
                </w:tcPr>
                <w:p w14:paraId="3EE09B52">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丁酯</w:t>
                  </w:r>
                </w:p>
              </w:tc>
              <w:tc>
                <w:tcPr>
                  <w:tcW w:w="1295" w:type="dxa"/>
                  <w:vAlign w:val="center"/>
                </w:tcPr>
                <w:p w14:paraId="49B375ED">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15%</w:t>
                  </w:r>
                </w:p>
              </w:tc>
              <w:tc>
                <w:tcPr>
                  <w:tcW w:w="2485" w:type="dxa"/>
                  <w:vMerge w:val="continue"/>
                  <w:vAlign w:val="center"/>
                </w:tcPr>
                <w:p w14:paraId="04BFD679">
                  <w:pPr>
                    <w:widowControl/>
                    <w:adjustRightInd w:val="0"/>
                    <w:snapToGrid w:val="0"/>
                    <w:jc w:val="center"/>
                    <w:rPr>
                      <w:rFonts w:hint="default" w:ascii="Times New Roman" w:hAnsi="Times New Roman" w:cs="Times New Roman"/>
                      <w:bCs/>
                      <w:color w:val="auto"/>
                      <w:szCs w:val="21"/>
                      <w:highlight w:val="none"/>
                    </w:rPr>
                  </w:pPr>
                </w:p>
              </w:tc>
              <w:tc>
                <w:tcPr>
                  <w:tcW w:w="904" w:type="dxa"/>
                  <w:vMerge w:val="continue"/>
                  <w:vAlign w:val="center"/>
                </w:tcPr>
                <w:p w14:paraId="4E939D79">
                  <w:pPr>
                    <w:widowControl/>
                    <w:adjustRightInd w:val="0"/>
                    <w:snapToGrid w:val="0"/>
                    <w:jc w:val="center"/>
                    <w:rPr>
                      <w:rFonts w:hint="default" w:ascii="Times New Roman" w:hAnsi="Times New Roman" w:cs="Times New Roman"/>
                      <w:bCs/>
                      <w:color w:val="auto"/>
                      <w:szCs w:val="21"/>
                      <w:highlight w:val="none"/>
                    </w:rPr>
                  </w:pPr>
                </w:p>
              </w:tc>
            </w:tr>
            <w:tr w14:paraId="1F3F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9" w:type="dxa"/>
                  <w:vMerge w:val="continue"/>
                  <w:vAlign w:val="center"/>
                </w:tcPr>
                <w:p w14:paraId="5F38AF60">
                  <w:pPr>
                    <w:widowControl/>
                    <w:adjustRightInd w:val="0"/>
                    <w:snapToGrid w:val="0"/>
                    <w:jc w:val="center"/>
                    <w:rPr>
                      <w:rFonts w:hint="default" w:ascii="Times New Roman" w:hAnsi="Times New Roman" w:cs="Times New Roman"/>
                      <w:bCs/>
                      <w:color w:val="auto"/>
                      <w:szCs w:val="21"/>
                      <w:highlight w:val="none"/>
                    </w:rPr>
                  </w:pPr>
                </w:p>
              </w:tc>
              <w:tc>
                <w:tcPr>
                  <w:tcW w:w="2580" w:type="dxa"/>
                  <w:vAlign w:val="center"/>
                </w:tcPr>
                <w:p w14:paraId="1CACCFF1">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环己酮</w:t>
                  </w:r>
                </w:p>
              </w:tc>
              <w:tc>
                <w:tcPr>
                  <w:tcW w:w="1295" w:type="dxa"/>
                  <w:vAlign w:val="center"/>
                </w:tcPr>
                <w:p w14:paraId="2CB210C4">
                  <w:pPr>
                    <w:widowControl/>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15%</w:t>
                  </w:r>
                </w:p>
              </w:tc>
              <w:tc>
                <w:tcPr>
                  <w:tcW w:w="2485" w:type="dxa"/>
                  <w:vMerge w:val="continue"/>
                  <w:vAlign w:val="center"/>
                </w:tcPr>
                <w:p w14:paraId="4639FC3B">
                  <w:pPr>
                    <w:widowControl/>
                    <w:adjustRightInd w:val="0"/>
                    <w:snapToGrid w:val="0"/>
                    <w:jc w:val="center"/>
                    <w:rPr>
                      <w:rFonts w:hint="default" w:ascii="Times New Roman" w:hAnsi="Times New Roman" w:cs="Times New Roman"/>
                      <w:bCs/>
                      <w:color w:val="auto"/>
                      <w:szCs w:val="21"/>
                      <w:highlight w:val="none"/>
                    </w:rPr>
                  </w:pPr>
                </w:p>
              </w:tc>
              <w:tc>
                <w:tcPr>
                  <w:tcW w:w="904" w:type="dxa"/>
                  <w:vMerge w:val="continue"/>
                  <w:vAlign w:val="center"/>
                </w:tcPr>
                <w:p w14:paraId="398E32C9">
                  <w:pPr>
                    <w:widowControl/>
                    <w:adjustRightInd w:val="0"/>
                    <w:snapToGrid w:val="0"/>
                    <w:jc w:val="center"/>
                    <w:rPr>
                      <w:rFonts w:hint="default" w:ascii="Times New Roman" w:hAnsi="Times New Roman" w:cs="Times New Roman"/>
                      <w:bCs/>
                      <w:color w:val="auto"/>
                      <w:szCs w:val="21"/>
                      <w:highlight w:val="none"/>
                    </w:rPr>
                  </w:pPr>
                </w:p>
              </w:tc>
            </w:tr>
            <w:tr w14:paraId="10C9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3" w:type="dxa"/>
                  <w:gridSpan w:val="5"/>
                  <w:vAlign w:val="center"/>
                </w:tcPr>
                <w:p w14:paraId="50776E24">
                  <w:pPr>
                    <w:widowControl/>
                    <w:adjustRightInd w:val="0"/>
                    <w:snapToGrid w:val="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备注：耐高温漆中二甲苯、丙二醇甲醚醋酸酯（PMA）、醋酸正丁酯为挥发分，稀释剂中</w:t>
                  </w:r>
                  <w:r>
                    <w:rPr>
                      <w:rFonts w:hint="default" w:ascii="Times New Roman" w:hAnsi="Times New Roman" w:cs="Times New Roman"/>
                      <w:color w:val="auto"/>
                      <w:position w:val="-4"/>
                      <w:szCs w:val="21"/>
                      <w:highlight w:val="none"/>
                    </w:rPr>
                    <w:t>二甲苯、</w:t>
                  </w:r>
                  <w:r>
                    <w:rPr>
                      <w:rFonts w:hint="default" w:ascii="Times New Roman" w:hAnsi="Times New Roman" w:cs="Times New Roman"/>
                      <w:bCs/>
                      <w:color w:val="auto"/>
                      <w:szCs w:val="21"/>
                      <w:highlight w:val="none"/>
                    </w:rPr>
                    <w:t>丁酯、环己酮为挥发分。</w:t>
                  </w:r>
                </w:p>
              </w:tc>
            </w:tr>
          </w:tbl>
          <w:p w14:paraId="13E5B731">
            <w:pPr>
              <w:pStyle w:val="7"/>
              <w:rPr>
                <w:rFonts w:hint="default" w:ascii="Times New Roman" w:hAnsi="Times New Roman" w:cs="Times New Roman"/>
                <w:color w:val="auto"/>
                <w:highlight w:val="none"/>
              </w:rPr>
            </w:pPr>
          </w:p>
          <w:p w14:paraId="6EB17FE8">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①油漆用量计算公式</w:t>
            </w:r>
          </w:p>
          <w:p w14:paraId="2A84CE76">
            <w:pPr>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项目油漆用量采用以下公式进行计算：</w:t>
            </w:r>
          </w:p>
          <w:p w14:paraId="43F13CFD">
            <w:pPr>
              <w:pStyle w:val="102"/>
              <w:spacing w:line="36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m=ρδs×10</w:t>
            </w:r>
            <w:r>
              <w:rPr>
                <w:rFonts w:hint="default" w:ascii="Times New Roman" w:hAnsi="Times New Roman" w:cs="Times New Roman"/>
                <w:color w:val="auto"/>
                <w:sz w:val="24"/>
                <w:szCs w:val="24"/>
                <w:highlight w:val="none"/>
                <w:vertAlign w:val="superscript"/>
              </w:rPr>
              <w:t>-6</w:t>
            </w:r>
            <w:r>
              <w:rPr>
                <w:rFonts w:hint="default" w:ascii="Times New Roman" w:hAnsi="Times New Roman" w:cs="Times New Roman"/>
                <w:color w:val="auto"/>
                <w:sz w:val="24"/>
                <w:szCs w:val="24"/>
                <w:highlight w:val="none"/>
              </w:rPr>
              <w:t>/(NV·ε)</w:t>
            </w:r>
          </w:p>
          <w:p w14:paraId="18BD91A0">
            <w:pPr>
              <w:pStyle w:val="102"/>
              <w:spacing w:line="288" w:lineRule="auto"/>
              <w:ind w:firstLine="1440" w:firstLineChars="6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其中：m——油漆总用量（t/a）；</w:t>
            </w:r>
          </w:p>
          <w:p w14:paraId="3B886730">
            <w:pPr>
              <w:pStyle w:val="102"/>
              <w:spacing w:line="288" w:lineRule="auto"/>
              <w:ind w:firstLine="1440" w:firstLineChars="6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ρ——油漆密度（g/cm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 xml:space="preserve">）； </w:t>
            </w:r>
          </w:p>
          <w:p w14:paraId="7AEB81E3">
            <w:pPr>
              <w:pStyle w:val="102"/>
              <w:spacing w:line="288" w:lineRule="auto"/>
              <w:ind w:firstLine="1440" w:firstLineChars="6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δ——涂层厚度（μm）； </w:t>
            </w:r>
          </w:p>
          <w:p w14:paraId="37E2DF6C">
            <w:pPr>
              <w:pStyle w:val="102"/>
              <w:spacing w:line="288" w:lineRule="auto"/>
              <w:ind w:firstLine="1440" w:firstLineChars="6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s——喷漆总面积（m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 xml:space="preserve">/年）； </w:t>
            </w:r>
          </w:p>
          <w:p w14:paraId="15A1F2C0">
            <w:pPr>
              <w:pStyle w:val="102"/>
              <w:spacing w:line="288" w:lineRule="auto"/>
              <w:ind w:firstLine="1440" w:firstLineChars="6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Nv——油漆的体积固体份（%）； </w:t>
            </w:r>
          </w:p>
          <w:p w14:paraId="00EA724A">
            <w:pPr>
              <w:adjustRightInd w:val="0"/>
              <w:snapToGrid w:val="0"/>
              <w:spacing w:line="288" w:lineRule="auto"/>
              <w:ind w:firstLine="1440" w:firstLineChars="600"/>
              <w:rPr>
                <w:rFonts w:hint="default" w:ascii="Times New Roman" w:hAnsi="Times New Roman" w:cs="Times New Roman"/>
                <w:bCs/>
                <w:color w:val="auto"/>
                <w:sz w:val="24"/>
                <w:highlight w:val="none"/>
              </w:rPr>
            </w:pPr>
            <w:r>
              <w:rPr>
                <w:rFonts w:hint="default" w:ascii="Times New Roman" w:hAnsi="Times New Roman" w:cs="Times New Roman"/>
                <w:color w:val="auto"/>
                <w:kern w:val="0"/>
                <w:sz w:val="24"/>
                <w:highlight w:val="none"/>
              </w:rPr>
              <w:t>ε——喷涂涂着率</w:t>
            </w:r>
            <w:r>
              <w:rPr>
                <w:rFonts w:hint="default" w:ascii="Times New Roman" w:hAnsi="Times New Roman" w:cs="Times New Roman"/>
                <w:color w:val="auto"/>
                <w:sz w:val="24"/>
                <w:highlight w:val="none"/>
              </w:rPr>
              <w:t>（%）。</w:t>
            </w:r>
          </w:p>
          <w:p w14:paraId="3D2F3FC0">
            <w:pPr>
              <w:adjustRightInd w:val="0"/>
              <w:snapToGrid w:val="0"/>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②参数选取</w:t>
            </w:r>
          </w:p>
          <w:p w14:paraId="58AD6B70">
            <w:pPr>
              <w:adjustRightInd w:val="0"/>
              <w:snapToGrid w:val="0"/>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a、根据前文可知，本项目对7700t/a的铸铁件喷漆，对1400t/a的铸碳钢件喷漆。由于本项目需要进行喷涂的铸铁件、铸碳钢件形状不规则，故项目需喷涂的工件面积为企业根据实际喷涂各工件核算出的均值，详见下表：</w:t>
            </w:r>
          </w:p>
          <w:p w14:paraId="0FFF7FF5">
            <w:pPr>
              <w:adjustRightInd w:val="0"/>
              <w:snapToGri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sz w:val="24"/>
                <w:highlight w:val="none"/>
              </w:rPr>
              <w:t>表2-</w:t>
            </w:r>
            <w:r>
              <w:rPr>
                <w:rFonts w:hint="default" w:ascii="Times New Roman" w:hAnsi="Times New Roman" w:cs="Times New Roman"/>
                <w:b/>
                <w:bCs/>
                <w:color w:val="auto"/>
                <w:sz w:val="24"/>
                <w:highlight w:val="none"/>
                <w:lang w:val="en-US" w:eastAsia="zh-CN"/>
              </w:rPr>
              <w:t>8</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kern w:val="0"/>
                <w:sz w:val="24"/>
                <w:highlight w:val="none"/>
              </w:rPr>
              <w:t>喷涂面积计算</w:t>
            </w:r>
          </w:p>
          <w:tbl>
            <w:tblPr>
              <w:tblStyle w:val="26"/>
              <w:tblW w:w="8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1215"/>
              <w:gridCol w:w="1605"/>
              <w:gridCol w:w="1285"/>
              <w:gridCol w:w="1628"/>
              <w:gridCol w:w="1597"/>
            </w:tblGrid>
            <w:tr w14:paraId="3D15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57DC8C6E">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产品名称</w:t>
                  </w:r>
                </w:p>
              </w:tc>
              <w:tc>
                <w:tcPr>
                  <w:tcW w:w="1215" w:type="dxa"/>
                  <w:vAlign w:val="center"/>
                </w:tcPr>
                <w:p w14:paraId="43043B2B">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产量（件）</w:t>
                  </w:r>
                </w:p>
              </w:tc>
              <w:tc>
                <w:tcPr>
                  <w:tcW w:w="1605" w:type="dxa"/>
                  <w:vAlign w:val="center"/>
                </w:tcPr>
                <w:p w14:paraId="145EA6FB">
                  <w:pPr>
                    <w:adjustRightInd w:val="0"/>
                    <w:snapToGrid w:val="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单件重量（kg）</w:t>
                  </w:r>
                </w:p>
              </w:tc>
              <w:tc>
                <w:tcPr>
                  <w:tcW w:w="1285" w:type="dxa"/>
                  <w:vAlign w:val="center"/>
                </w:tcPr>
                <w:p w14:paraId="0E38B42B">
                  <w:pPr>
                    <w:adjustRightInd w:val="0"/>
                    <w:snapToGrid w:val="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总重量（t）</w:t>
                  </w:r>
                </w:p>
              </w:tc>
              <w:tc>
                <w:tcPr>
                  <w:tcW w:w="1628" w:type="dxa"/>
                  <w:vAlign w:val="center"/>
                </w:tcPr>
                <w:p w14:paraId="306485F3">
                  <w:pPr>
                    <w:adjustRightInd w:val="0"/>
                    <w:snapToGrid w:val="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单件面积（c</w:t>
                  </w:r>
                  <w:r>
                    <w:rPr>
                      <w:rFonts w:hint="default" w:ascii="Times New Roman" w:hAnsi="Times New Roman" w:cs="Times New Roman"/>
                      <w:b/>
                      <w:bCs/>
                      <w:color w:val="auto"/>
                      <w:sz w:val="21"/>
                      <w:szCs w:val="21"/>
                      <w:highlight w:val="none"/>
                      <w:shd w:val="clear" w:color="auto" w:fill="FFFFFF"/>
                    </w:rPr>
                    <w:t>m</w:t>
                  </w:r>
                  <w:r>
                    <w:rPr>
                      <w:rFonts w:hint="default" w:ascii="Times New Roman" w:hAnsi="Times New Roman" w:cs="Times New Roman"/>
                      <w:b/>
                      <w:bCs/>
                      <w:color w:val="auto"/>
                      <w:sz w:val="21"/>
                      <w:szCs w:val="21"/>
                      <w:highlight w:val="none"/>
                      <w:shd w:val="clear" w:color="auto" w:fill="FFFFFF"/>
                      <w:vertAlign w:val="superscript"/>
                    </w:rPr>
                    <w:t>2</w:t>
                  </w:r>
                  <w:r>
                    <w:rPr>
                      <w:rFonts w:hint="default" w:ascii="Times New Roman" w:hAnsi="Times New Roman" w:cs="Times New Roman"/>
                      <w:b/>
                      <w:bCs/>
                      <w:color w:val="auto"/>
                      <w:kern w:val="0"/>
                      <w:sz w:val="21"/>
                      <w:szCs w:val="21"/>
                      <w:highlight w:val="none"/>
                    </w:rPr>
                    <w:t>）</w:t>
                  </w:r>
                </w:p>
              </w:tc>
              <w:tc>
                <w:tcPr>
                  <w:tcW w:w="1597" w:type="dxa"/>
                  <w:vAlign w:val="center"/>
                </w:tcPr>
                <w:p w14:paraId="1B739B30">
                  <w:pPr>
                    <w:adjustRightInd w:val="0"/>
                    <w:snapToGrid w:val="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总表面积（m</w:t>
                  </w:r>
                  <w:r>
                    <w:rPr>
                      <w:rFonts w:hint="default" w:ascii="Times New Roman" w:hAnsi="Times New Roman" w:cs="Times New Roman"/>
                      <w:b/>
                      <w:bCs/>
                      <w:color w:val="auto"/>
                      <w:kern w:val="0"/>
                      <w:sz w:val="21"/>
                      <w:szCs w:val="21"/>
                      <w:highlight w:val="none"/>
                      <w:vertAlign w:val="superscript"/>
                    </w:rPr>
                    <w:t>2</w:t>
                  </w:r>
                  <w:r>
                    <w:rPr>
                      <w:rFonts w:hint="default" w:ascii="Times New Roman" w:hAnsi="Times New Roman" w:cs="Times New Roman"/>
                      <w:b/>
                      <w:bCs/>
                      <w:color w:val="auto"/>
                      <w:kern w:val="0"/>
                      <w:sz w:val="21"/>
                      <w:szCs w:val="21"/>
                      <w:highlight w:val="none"/>
                    </w:rPr>
                    <w:t>）</w:t>
                  </w:r>
                </w:p>
              </w:tc>
            </w:tr>
            <w:tr w14:paraId="6D00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6" w:type="dxa"/>
                  <w:vAlign w:val="center"/>
                </w:tcPr>
                <w:p w14:paraId="74554892">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铸碳钢件</w:t>
                  </w:r>
                </w:p>
              </w:tc>
              <w:tc>
                <w:tcPr>
                  <w:tcW w:w="1215" w:type="dxa"/>
                  <w:vAlign w:val="center"/>
                </w:tcPr>
                <w:p w14:paraId="06CDF59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20400</w:t>
                  </w:r>
                </w:p>
              </w:tc>
              <w:tc>
                <w:tcPr>
                  <w:tcW w:w="1605" w:type="dxa"/>
                  <w:vAlign w:val="center"/>
                </w:tcPr>
                <w:p w14:paraId="26544328">
                  <w:pPr>
                    <w:widowControl/>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28.75</w:t>
                  </w:r>
                </w:p>
              </w:tc>
              <w:tc>
                <w:tcPr>
                  <w:tcW w:w="1285" w:type="dxa"/>
                  <w:vAlign w:val="center"/>
                </w:tcPr>
                <w:p w14:paraId="09A11513">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586.5</w:t>
                  </w:r>
                </w:p>
              </w:tc>
              <w:tc>
                <w:tcPr>
                  <w:tcW w:w="1628" w:type="dxa"/>
                  <w:vAlign w:val="center"/>
                </w:tcPr>
                <w:p w14:paraId="03B22E95">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890</w:t>
                  </w:r>
                </w:p>
              </w:tc>
              <w:tc>
                <w:tcPr>
                  <w:tcW w:w="1597" w:type="dxa"/>
                  <w:shd w:val="clear" w:color="auto" w:fill="auto"/>
                  <w:vAlign w:val="center"/>
                </w:tcPr>
                <w:p w14:paraId="65B1B1D7">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1815.6</w:t>
                  </w:r>
                </w:p>
              </w:tc>
            </w:tr>
            <w:tr w14:paraId="19B7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43D3E9BD">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铸碳钢件</w:t>
                  </w:r>
                </w:p>
              </w:tc>
              <w:tc>
                <w:tcPr>
                  <w:tcW w:w="1215" w:type="dxa"/>
                  <w:vAlign w:val="center"/>
                </w:tcPr>
                <w:p w14:paraId="33BAD7C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8000</w:t>
                  </w:r>
                </w:p>
              </w:tc>
              <w:tc>
                <w:tcPr>
                  <w:tcW w:w="1605" w:type="dxa"/>
                  <w:vAlign w:val="center"/>
                </w:tcPr>
                <w:p w14:paraId="21F56250">
                  <w:pPr>
                    <w:widowControl/>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36</w:t>
                  </w:r>
                </w:p>
              </w:tc>
              <w:tc>
                <w:tcPr>
                  <w:tcW w:w="1285" w:type="dxa"/>
                  <w:vAlign w:val="center"/>
                </w:tcPr>
                <w:p w14:paraId="5DC94930">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288</w:t>
                  </w:r>
                </w:p>
              </w:tc>
              <w:tc>
                <w:tcPr>
                  <w:tcW w:w="1628" w:type="dxa"/>
                  <w:vAlign w:val="center"/>
                </w:tcPr>
                <w:p w14:paraId="0E09A423">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1435</w:t>
                  </w:r>
                </w:p>
              </w:tc>
              <w:tc>
                <w:tcPr>
                  <w:tcW w:w="1597" w:type="dxa"/>
                  <w:vAlign w:val="center"/>
                </w:tcPr>
                <w:p w14:paraId="22EA8332">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1148</w:t>
                  </w:r>
                </w:p>
              </w:tc>
            </w:tr>
            <w:tr w14:paraId="68D4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6" w:type="dxa"/>
                  <w:vAlign w:val="center"/>
                </w:tcPr>
                <w:p w14:paraId="3D988AB8">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铸碳钢件</w:t>
                  </w:r>
                </w:p>
              </w:tc>
              <w:tc>
                <w:tcPr>
                  <w:tcW w:w="1215" w:type="dxa"/>
                  <w:vAlign w:val="center"/>
                </w:tcPr>
                <w:p w14:paraId="200E9A7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26275</w:t>
                  </w:r>
                </w:p>
              </w:tc>
              <w:tc>
                <w:tcPr>
                  <w:tcW w:w="1605" w:type="dxa"/>
                  <w:vAlign w:val="center"/>
                </w:tcPr>
                <w:p w14:paraId="6B47ECF1">
                  <w:pPr>
                    <w:widowControl/>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20</w:t>
                  </w:r>
                </w:p>
              </w:tc>
              <w:tc>
                <w:tcPr>
                  <w:tcW w:w="1285" w:type="dxa"/>
                  <w:vAlign w:val="center"/>
                </w:tcPr>
                <w:p w14:paraId="4159B81C">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525.5</w:t>
                  </w:r>
                </w:p>
              </w:tc>
              <w:tc>
                <w:tcPr>
                  <w:tcW w:w="1628" w:type="dxa"/>
                  <w:vAlign w:val="center"/>
                </w:tcPr>
                <w:p w14:paraId="29F8ED01">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745</w:t>
                  </w:r>
                </w:p>
              </w:tc>
              <w:tc>
                <w:tcPr>
                  <w:tcW w:w="1597" w:type="dxa"/>
                  <w:vAlign w:val="center"/>
                </w:tcPr>
                <w:p w14:paraId="4DA9093E">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1957.5</w:t>
                  </w:r>
                </w:p>
              </w:tc>
            </w:tr>
            <w:tr w14:paraId="4308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386A9FFE">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1215" w:type="dxa"/>
                  <w:vAlign w:val="center"/>
                </w:tcPr>
                <w:p w14:paraId="6D889E6D">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21000</w:t>
                  </w:r>
                </w:p>
              </w:tc>
              <w:tc>
                <w:tcPr>
                  <w:tcW w:w="1605" w:type="dxa"/>
                  <w:vAlign w:val="center"/>
                </w:tcPr>
                <w:p w14:paraId="2D329C8E">
                  <w:pPr>
                    <w:widowControl/>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27.5</w:t>
                  </w:r>
                </w:p>
              </w:tc>
              <w:tc>
                <w:tcPr>
                  <w:tcW w:w="1285" w:type="dxa"/>
                  <w:vAlign w:val="center"/>
                </w:tcPr>
                <w:p w14:paraId="09ACCF3A">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577.5</w:t>
                  </w:r>
                </w:p>
              </w:tc>
              <w:tc>
                <w:tcPr>
                  <w:tcW w:w="1628" w:type="dxa"/>
                  <w:vAlign w:val="center"/>
                </w:tcPr>
                <w:p w14:paraId="45969D2A">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886</w:t>
                  </w:r>
                </w:p>
              </w:tc>
              <w:tc>
                <w:tcPr>
                  <w:tcW w:w="1597" w:type="dxa"/>
                  <w:shd w:val="clear" w:color="auto" w:fill="auto"/>
                  <w:vAlign w:val="center"/>
                </w:tcPr>
                <w:p w14:paraId="3E183DD5">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1860.6</w:t>
                  </w:r>
                </w:p>
              </w:tc>
            </w:tr>
            <w:tr w14:paraId="6C0A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4843108B">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1215" w:type="dxa"/>
                  <w:vAlign w:val="center"/>
                </w:tcPr>
                <w:p w14:paraId="4FDE74AB">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12800</w:t>
                  </w:r>
                </w:p>
              </w:tc>
              <w:tc>
                <w:tcPr>
                  <w:tcW w:w="1605" w:type="dxa"/>
                  <w:vAlign w:val="center"/>
                </w:tcPr>
                <w:p w14:paraId="242EAB99">
                  <w:pPr>
                    <w:widowControl/>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35</w:t>
                  </w:r>
                </w:p>
              </w:tc>
              <w:tc>
                <w:tcPr>
                  <w:tcW w:w="1285" w:type="dxa"/>
                  <w:vAlign w:val="center"/>
                </w:tcPr>
                <w:p w14:paraId="2D79E081">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448</w:t>
                  </w:r>
                </w:p>
              </w:tc>
              <w:tc>
                <w:tcPr>
                  <w:tcW w:w="1628" w:type="dxa"/>
                  <w:vAlign w:val="center"/>
                </w:tcPr>
                <w:p w14:paraId="37A67920">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1430</w:t>
                  </w:r>
                </w:p>
              </w:tc>
              <w:tc>
                <w:tcPr>
                  <w:tcW w:w="1597" w:type="dxa"/>
                  <w:vAlign w:val="center"/>
                </w:tcPr>
                <w:p w14:paraId="08818650">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1830.4</w:t>
                  </w:r>
                </w:p>
              </w:tc>
            </w:tr>
            <w:tr w14:paraId="12E9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646C6AB8">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1215" w:type="dxa"/>
                  <w:vAlign w:val="center"/>
                </w:tcPr>
                <w:p w14:paraId="2E46F162">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120000</w:t>
                  </w:r>
                </w:p>
              </w:tc>
              <w:tc>
                <w:tcPr>
                  <w:tcW w:w="1605" w:type="dxa"/>
                  <w:vAlign w:val="center"/>
                </w:tcPr>
                <w:p w14:paraId="72A6FC96">
                  <w:pPr>
                    <w:widowControl/>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19</w:t>
                  </w:r>
                </w:p>
              </w:tc>
              <w:tc>
                <w:tcPr>
                  <w:tcW w:w="1285" w:type="dxa"/>
                  <w:vAlign w:val="center"/>
                </w:tcPr>
                <w:p w14:paraId="0B350B58">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2280</w:t>
                  </w:r>
                </w:p>
              </w:tc>
              <w:tc>
                <w:tcPr>
                  <w:tcW w:w="1628" w:type="dxa"/>
                  <w:vAlign w:val="center"/>
                </w:tcPr>
                <w:p w14:paraId="0D00E465">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740</w:t>
                  </w:r>
                </w:p>
              </w:tc>
              <w:tc>
                <w:tcPr>
                  <w:tcW w:w="1597" w:type="dxa"/>
                  <w:vAlign w:val="center"/>
                </w:tcPr>
                <w:p w14:paraId="7646BDB8">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8880</w:t>
                  </w:r>
                </w:p>
              </w:tc>
            </w:tr>
            <w:tr w14:paraId="231A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9D0DD2D">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1215" w:type="dxa"/>
                  <w:vAlign w:val="center"/>
                </w:tcPr>
                <w:p w14:paraId="7CC1CB3B">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69000</w:t>
                  </w:r>
                </w:p>
              </w:tc>
              <w:tc>
                <w:tcPr>
                  <w:tcW w:w="1605" w:type="dxa"/>
                  <w:vAlign w:val="center"/>
                </w:tcPr>
                <w:p w14:paraId="319E8601">
                  <w:pPr>
                    <w:widowControl/>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31</w:t>
                  </w:r>
                </w:p>
              </w:tc>
              <w:tc>
                <w:tcPr>
                  <w:tcW w:w="1285" w:type="dxa"/>
                  <w:vAlign w:val="center"/>
                </w:tcPr>
                <w:p w14:paraId="298799AC">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2139</w:t>
                  </w:r>
                </w:p>
              </w:tc>
              <w:tc>
                <w:tcPr>
                  <w:tcW w:w="1628" w:type="dxa"/>
                  <w:vAlign w:val="center"/>
                </w:tcPr>
                <w:p w14:paraId="521F35FF">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1100</w:t>
                  </w:r>
                </w:p>
              </w:tc>
              <w:tc>
                <w:tcPr>
                  <w:tcW w:w="1597" w:type="dxa"/>
                  <w:vAlign w:val="center"/>
                </w:tcPr>
                <w:p w14:paraId="126761AA">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7590</w:t>
                  </w:r>
                </w:p>
              </w:tc>
            </w:tr>
            <w:tr w14:paraId="558F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4789F00C">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1215" w:type="dxa"/>
                  <w:vAlign w:val="center"/>
                </w:tcPr>
                <w:p w14:paraId="11CACEC9">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80000</w:t>
                  </w:r>
                </w:p>
              </w:tc>
              <w:tc>
                <w:tcPr>
                  <w:tcW w:w="1605" w:type="dxa"/>
                  <w:vAlign w:val="center"/>
                </w:tcPr>
                <w:p w14:paraId="2C6BA101">
                  <w:pPr>
                    <w:widowControl/>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14.6</w:t>
                  </w:r>
                </w:p>
              </w:tc>
              <w:tc>
                <w:tcPr>
                  <w:tcW w:w="1285" w:type="dxa"/>
                  <w:vAlign w:val="center"/>
                </w:tcPr>
                <w:p w14:paraId="380C6EBE">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1168</w:t>
                  </w:r>
                </w:p>
              </w:tc>
              <w:tc>
                <w:tcPr>
                  <w:tcW w:w="1628" w:type="dxa"/>
                  <w:vAlign w:val="center"/>
                </w:tcPr>
                <w:p w14:paraId="50013E86">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545</w:t>
                  </w:r>
                </w:p>
              </w:tc>
              <w:tc>
                <w:tcPr>
                  <w:tcW w:w="1597" w:type="dxa"/>
                  <w:vAlign w:val="center"/>
                </w:tcPr>
                <w:p w14:paraId="5AC869CD">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4360</w:t>
                  </w:r>
                </w:p>
              </w:tc>
            </w:tr>
            <w:tr w14:paraId="180B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0A2413F0">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1215" w:type="dxa"/>
                  <w:vAlign w:val="center"/>
                </w:tcPr>
                <w:p w14:paraId="251D9D34">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108750</w:t>
                  </w:r>
                </w:p>
              </w:tc>
              <w:tc>
                <w:tcPr>
                  <w:tcW w:w="1605" w:type="dxa"/>
                  <w:vAlign w:val="center"/>
                </w:tcPr>
                <w:p w14:paraId="7C24A483">
                  <w:pPr>
                    <w:widowControl/>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10</w:t>
                  </w:r>
                </w:p>
              </w:tc>
              <w:tc>
                <w:tcPr>
                  <w:tcW w:w="1285" w:type="dxa"/>
                  <w:vAlign w:val="center"/>
                </w:tcPr>
                <w:p w14:paraId="24C82084">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1087.5</w:t>
                  </w:r>
                </w:p>
              </w:tc>
              <w:tc>
                <w:tcPr>
                  <w:tcW w:w="1628" w:type="dxa"/>
                  <w:vAlign w:val="center"/>
                </w:tcPr>
                <w:p w14:paraId="2C942339">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415</w:t>
                  </w:r>
                </w:p>
              </w:tc>
              <w:tc>
                <w:tcPr>
                  <w:tcW w:w="1597" w:type="dxa"/>
                  <w:vAlign w:val="center"/>
                </w:tcPr>
                <w:p w14:paraId="4A180F2F">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4513.1</w:t>
                  </w:r>
                </w:p>
              </w:tc>
            </w:tr>
            <w:tr w14:paraId="323E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052A49D7">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合计</w:t>
                  </w:r>
                </w:p>
              </w:tc>
              <w:tc>
                <w:tcPr>
                  <w:tcW w:w="1215" w:type="dxa"/>
                  <w:vAlign w:val="center"/>
                </w:tcPr>
                <w:p w14:paraId="425F73E1">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w:t>
                  </w:r>
                </w:p>
              </w:tc>
              <w:tc>
                <w:tcPr>
                  <w:tcW w:w="1605" w:type="dxa"/>
                  <w:vAlign w:val="center"/>
                </w:tcPr>
                <w:p w14:paraId="62ED501C">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w:t>
                  </w:r>
                </w:p>
              </w:tc>
              <w:tc>
                <w:tcPr>
                  <w:tcW w:w="1285" w:type="dxa"/>
                  <w:shd w:val="clear" w:color="auto" w:fill="auto"/>
                  <w:vAlign w:val="center"/>
                </w:tcPr>
                <w:p w14:paraId="4527260D">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9100</w:t>
                  </w:r>
                </w:p>
              </w:tc>
              <w:tc>
                <w:tcPr>
                  <w:tcW w:w="1628" w:type="dxa"/>
                  <w:vAlign w:val="center"/>
                </w:tcPr>
                <w:p w14:paraId="09EB9F70">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w:t>
                  </w:r>
                </w:p>
              </w:tc>
              <w:tc>
                <w:tcPr>
                  <w:tcW w:w="1597" w:type="dxa"/>
                  <w:shd w:val="clear" w:color="auto" w:fill="auto"/>
                  <w:vAlign w:val="center"/>
                </w:tcPr>
                <w:p w14:paraId="2F502F9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33955.2</w:t>
                  </w:r>
                </w:p>
              </w:tc>
            </w:tr>
          </w:tbl>
          <w:p w14:paraId="13981D98">
            <w:pPr>
              <w:widowControl/>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b、根据建设单位提供的资料，铸件喷漆的厚度为50μm</w:t>
            </w:r>
            <w:r>
              <w:rPr>
                <w:rFonts w:hint="default" w:ascii="Times New Roman" w:hAnsi="Times New Roman" w:cs="Times New Roman"/>
                <w:color w:val="auto"/>
                <w:kern w:val="0"/>
                <w:sz w:val="24"/>
                <w:highlight w:val="none"/>
                <w:lang w:bidi="ar"/>
              </w:rPr>
              <w:t>；</w:t>
            </w:r>
          </w:p>
          <w:p w14:paraId="4DB41D3F">
            <w:pPr>
              <w:adjustRightInd w:val="0"/>
              <w:snapToGrid w:val="0"/>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c、项目喷涂采用空气辅助高压雾化喷涂方式，根据《涂装工艺学》（张学敏编著）以及《涂装技术实用手册》（叶杨祥、番肇基主编），高压喷涂油漆利用率为60%～85%，附着率</w:t>
            </w:r>
            <w:r>
              <w:rPr>
                <w:rFonts w:hint="default" w:ascii="Times New Roman" w:hAnsi="Times New Roman" w:cs="Times New Roman"/>
                <w:color w:val="auto"/>
                <w:kern w:val="0"/>
                <w:sz w:val="24"/>
                <w:highlight w:val="none"/>
                <w:lang w:val="en-US" w:eastAsia="zh-CN"/>
              </w:rPr>
              <w:t>保守取值</w:t>
            </w:r>
            <w:r>
              <w:rPr>
                <w:rFonts w:hint="default" w:ascii="Times New Roman" w:hAnsi="Times New Roman" w:cs="Times New Roman"/>
                <w:color w:val="auto"/>
                <w:kern w:val="0"/>
                <w:sz w:val="24"/>
                <w:highlight w:val="none"/>
              </w:rPr>
              <w:t>按</w:t>
            </w:r>
            <w:r>
              <w:rPr>
                <w:rFonts w:hint="default" w:ascii="Times New Roman" w:hAnsi="Times New Roman" w:cs="Times New Roman"/>
                <w:color w:val="auto"/>
                <w:kern w:val="0"/>
                <w:sz w:val="24"/>
                <w:highlight w:val="none"/>
                <w:lang w:val="en-US" w:eastAsia="zh-CN"/>
              </w:rPr>
              <w:t>60</w:t>
            </w:r>
            <w:r>
              <w:rPr>
                <w:rFonts w:hint="default" w:ascii="Times New Roman" w:hAnsi="Times New Roman" w:cs="Times New Roman"/>
                <w:color w:val="auto"/>
                <w:kern w:val="0"/>
                <w:sz w:val="24"/>
                <w:highlight w:val="none"/>
              </w:rPr>
              <w:t>%计算；</w:t>
            </w:r>
          </w:p>
          <w:p w14:paraId="11D2C93D">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d、项目油性漆需进行调配后进行使用，耐高温漆：稀释剂=4:1（质量比）；根据MSDS报告，耐高温漆密度为</w:t>
            </w:r>
            <w:r>
              <w:rPr>
                <w:rFonts w:hint="default" w:ascii="Times New Roman" w:hAnsi="Times New Roman" w:cs="Times New Roman"/>
                <w:color w:val="auto"/>
                <w:sz w:val="24"/>
                <w:highlight w:val="none"/>
              </w:rPr>
              <w:t>1.2g/cm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kern w:val="0"/>
                <w:sz w:val="24"/>
                <w:highlight w:val="none"/>
              </w:rPr>
              <w:t>，稀释剂密度为1.049</w:t>
            </w:r>
            <w:r>
              <w:rPr>
                <w:rFonts w:hint="default" w:ascii="Times New Roman" w:hAnsi="Times New Roman" w:cs="Times New Roman"/>
                <w:color w:val="auto"/>
                <w:highlight w:val="none"/>
              </w:rPr>
              <w:t xml:space="preserve"> </w:t>
            </w:r>
            <w:r>
              <w:rPr>
                <w:rFonts w:hint="default" w:ascii="Times New Roman" w:hAnsi="Times New Roman" w:cs="Times New Roman"/>
                <w:color w:val="auto"/>
                <w:kern w:val="0"/>
                <w:sz w:val="24"/>
                <w:highlight w:val="none"/>
              </w:rPr>
              <w:t>g/</w:t>
            </w:r>
            <w:r>
              <w:rPr>
                <w:rFonts w:hint="default" w:ascii="Times New Roman" w:hAnsi="Times New Roman" w:cs="Times New Roman"/>
                <w:color w:val="auto"/>
                <w:sz w:val="24"/>
                <w:highlight w:val="none"/>
              </w:rPr>
              <w:t xml:space="preserve"> cm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。经换算，油漆</w:t>
            </w:r>
            <w:r>
              <w:rPr>
                <w:rFonts w:hint="default" w:ascii="Times New Roman" w:hAnsi="Times New Roman" w:cs="Times New Roman"/>
                <w:color w:val="auto"/>
                <w:kern w:val="0"/>
                <w:sz w:val="24"/>
                <w:highlight w:val="none"/>
              </w:rPr>
              <w:t>与稀释剂的</w:t>
            </w:r>
            <w:r>
              <w:rPr>
                <w:rFonts w:hint="default" w:ascii="Times New Roman" w:hAnsi="Times New Roman" w:cs="Times New Roman"/>
                <w:color w:val="auto"/>
                <w:sz w:val="24"/>
                <w:highlight w:val="none"/>
              </w:rPr>
              <w:t>体积比为3.497:1</w:t>
            </w:r>
            <w:r>
              <w:rPr>
                <w:rFonts w:hint="default" w:ascii="Times New Roman" w:hAnsi="Times New Roman" w:cs="Times New Roman"/>
                <w:color w:val="auto"/>
                <w:kern w:val="0"/>
                <w:sz w:val="24"/>
                <w:highlight w:val="none"/>
              </w:rPr>
              <w:t>；</w:t>
            </w:r>
          </w:p>
          <w:p w14:paraId="5E7EEA59">
            <w:pPr>
              <w:adjustRightInd w:val="0"/>
              <w:snapToGrid w:val="0"/>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调配后油性漆密度=（油</w:t>
            </w:r>
            <w:r>
              <w:rPr>
                <w:rFonts w:hint="default" w:ascii="Times New Roman" w:hAnsi="Times New Roman" w:cs="Times New Roman"/>
                <w:color w:val="auto"/>
                <w:sz w:val="24"/>
                <w:highlight w:val="none"/>
              </w:rPr>
              <w:t>漆</w:t>
            </w:r>
            <w:r>
              <w:rPr>
                <w:rFonts w:hint="default" w:ascii="Times New Roman" w:hAnsi="Times New Roman" w:cs="Times New Roman"/>
                <w:color w:val="auto"/>
                <w:kern w:val="0"/>
                <w:sz w:val="24"/>
                <w:highlight w:val="none"/>
              </w:rPr>
              <w:t>密度×3.497+稀释剂密度×1）÷4.497=（1.2g/</w:t>
            </w:r>
            <w:r>
              <w:rPr>
                <w:rFonts w:hint="default" w:ascii="Times New Roman" w:hAnsi="Times New Roman" w:cs="Times New Roman"/>
                <w:color w:val="auto"/>
                <w:sz w:val="24"/>
                <w:highlight w:val="none"/>
              </w:rPr>
              <w:t>cm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kern w:val="0"/>
                <w:sz w:val="24"/>
                <w:highlight w:val="none"/>
              </w:rPr>
              <w:t>×3.497+1.049g/cm</w:t>
            </w:r>
            <w:r>
              <w:rPr>
                <w:rFonts w:hint="default" w:ascii="Times New Roman" w:hAnsi="Times New Roman" w:cs="Times New Roman"/>
                <w:color w:val="auto"/>
                <w:kern w:val="0"/>
                <w:sz w:val="24"/>
                <w:highlight w:val="none"/>
                <w:vertAlign w:val="superscript"/>
              </w:rPr>
              <w:t>3</w:t>
            </w:r>
            <w:r>
              <w:rPr>
                <w:rFonts w:hint="default" w:ascii="Times New Roman" w:hAnsi="Times New Roman" w:cs="Times New Roman"/>
                <w:color w:val="auto"/>
                <w:kern w:val="0"/>
                <w:sz w:val="24"/>
                <w:highlight w:val="none"/>
              </w:rPr>
              <w:t>×</w:t>
            </w:r>
            <w:r>
              <w:rPr>
                <w:rFonts w:hint="default" w:ascii="Times New Roman" w:hAnsi="Times New Roman" w:cs="Times New Roman"/>
                <w:color w:val="auto"/>
                <w:sz w:val="24"/>
                <w:highlight w:val="none"/>
              </w:rPr>
              <w:t>1</w:t>
            </w:r>
            <w:r>
              <w:rPr>
                <w:rFonts w:hint="default" w:ascii="Times New Roman" w:hAnsi="Times New Roman" w:cs="Times New Roman"/>
                <w:color w:val="auto"/>
                <w:kern w:val="0"/>
                <w:sz w:val="24"/>
                <w:highlight w:val="none"/>
              </w:rPr>
              <w:t>）÷4.497=1.166g/</w:t>
            </w:r>
            <w:r>
              <w:rPr>
                <w:rFonts w:hint="default" w:ascii="Times New Roman" w:hAnsi="Times New Roman" w:cs="Times New Roman"/>
                <w:color w:val="auto"/>
                <w:sz w:val="24"/>
                <w:highlight w:val="none"/>
              </w:rPr>
              <w:t>cm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调配后油性漆VOCs含量=384g/L</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(1L</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1.166g/</w:t>
            </w:r>
            <w:r>
              <w:rPr>
                <w:rFonts w:hint="default" w:ascii="Times New Roman" w:hAnsi="Times New Roman" w:cs="Times New Roman"/>
                <w:color w:val="auto"/>
                <w:sz w:val="24"/>
                <w:highlight w:val="none"/>
              </w:rPr>
              <w:t>cm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1000)</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100%=32.93%。</w:t>
            </w:r>
            <w:r>
              <w:rPr>
                <w:rFonts w:hint="default" w:ascii="Times New Roman" w:hAnsi="Times New Roman" w:cs="Times New Roman"/>
                <w:color w:val="auto"/>
                <w:kern w:val="0"/>
                <w:sz w:val="24"/>
                <w:highlight w:val="none"/>
              </w:rPr>
              <w:t>调配后油性漆固含量=</w:t>
            </w:r>
            <w:r>
              <w:rPr>
                <w:rFonts w:hint="default" w:ascii="Times New Roman" w:hAnsi="Times New Roman" w:cs="Times New Roman"/>
                <w:color w:val="auto"/>
                <w:sz w:val="24"/>
                <w:highlight w:val="none"/>
              </w:rPr>
              <w:t>1-32.93%（VOCs含量）</w:t>
            </w:r>
            <w:r>
              <w:rPr>
                <w:rFonts w:hint="default" w:ascii="Times New Roman" w:hAnsi="Times New Roman" w:cs="Times New Roman"/>
                <w:color w:val="auto"/>
                <w:kern w:val="0"/>
                <w:sz w:val="24"/>
                <w:highlight w:val="none"/>
              </w:rPr>
              <w:t>=67.07%。</w:t>
            </w:r>
          </w:p>
          <w:p w14:paraId="45F13338">
            <w:pPr>
              <w:adjustRightInd w:val="0"/>
              <w:snapToGrid w:val="0"/>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本项目涂料使用量计算参数及计算结果详见下表。</w:t>
            </w:r>
          </w:p>
          <w:p w14:paraId="5146D1D8">
            <w:pPr>
              <w:snapToGrid w:val="0"/>
              <w:spacing w:before="120" w:beforeLines="50"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表2-</w:t>
            </w:r>
            <w:r>
              <w:rPr>
                <w:rFonts w:hint="default" w:ascii="Times New Roman" w:hAnsi="Times New Roman" w:cs="Times New Roman"/>
                <w:b/>
                <w:bCs/>
                <w:color w:val="auto"/>
                <w:sz w:val="24"/>
                <w:highlight w:val="none"/>
                <w:lang w:val="en-US" w:eastAsia="zh-CN"/>
              </w:rPr>
              <w:t>9</w:t>
            </w:r>
            <w:r>
              <w:rPr>
                <w:rFonts w:hint="default" w:ascii="Times New Roman" w:hAnsi="Times New Roman" w:cs="Times New Roman"/>
                <w:b/>
                <w:bCs/>
                <w:color w:val="auto"/>
                <w:sz w:val="24"/>
                <w:highlight w:val="none"/>
              </w:rPr>
              <w:t xml:space="preserve">  油漆（喷漆工序）用量计算参数及计算结果一览表</w:t>
            </w:r>
          </w:p>
          <w:tbl>
            <w:tblPr>
              <w:tblStyle w:val="26"/>
              <w:tblW w:w="8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914"/>
              <w:gridCol w:w="705"/>
              <w:gridCol w:w="870"/>
              <w:gridCol w:w="960"/>
              <w:gridCol w:w="645"/>
              <w:gridCol w:w="1095"/>
              <w:gridCol w:w="720"/>
              <w:gridCol w:w="765"/>
              <w:gridCol w:w="778"/>
            </w:tblGrid>
            <w:tr w14:paraId="5FF8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969" w:type="dxa"/>
                  <w:vAlign w:val="center"/>
                </w:tcPr>
                <w:p w14:paraId="24ED37E4">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产品名称</w:t>
                  </w:r>
                </w:p>
              </w:tc>
              <w:tc>
                <w:tcPr>
                  <w:tcW w:w="914" w:type="dxa"/>
                  <w:vAlign w:val="center"/>
                </w:tcPr>
                <w:p w14:paraId="3B85F94D">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产量（件）</w:t>
                  </w:r>
                </w:p>
              </w:tc>
              <w:tc>
                <w:tcPr>
                  <w:tcW w:w="705" w:type="dxa"/>
                  <w:vAlign w:val="center"/>
                </w:tcPr>
                <w:p w14:paraId="1DB9BFCA">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油漆</w:t>
                  </w:r>
                </w:p>
                <w:p w14:paraId="79FF606D">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类型</w:t>
                  </w:r>
                </w:p>
              </w:tc>
              <w:tc>
                <w:tcPr>
                  <w:tcW w:w="870" w:type="dxa"/>
                  <w:vAlign w:val="center"/>
                </w:tcPr>
                <w:p w14:paraId="552330B4">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单件喷涂面积cm</w:t>
                  </w:r>
                  <w:r>
                    <w:rPr>
                      <w:rFonts w:hint="default" w:ascii="Times New Roman" w:hAnsi="Times New Roman" w:cs="Times New Roman"/>
                      <w:b/>
                      <w:bCs/>
                      <w:color w:val="auto"/>
                      <w:sz w:val="21"/>
                      <w:szCs w:val="21"/>
                      <w:highlight w:val="none"/>
                      <w:vertAlign w:val="superscript"/>
                    </w:rPr>
                    <w:t>2</w:t>
                  </w:r>
                </w:p>
              </w:tc>
              <w:tc>
                <w:tcPr>
                  <w:tcW w:w="960" w:type="dxa"/>
                  <w:vAlign w:val="center"/>
                </w:tcPr>
                <w:p w14:paraId="42105404">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喷涂总表面积m</w:t>
                  </w:r>
                  <w:r>
                    <w:rPr>
                      <w:rFonts w:hint="default" w:ascii="Times New Roman" w:hAnsi="Times New Roman" w:cs="Times New Roman"/>
                      <w:b/>
                      <w:bCs/>
                      <w:color w:val="auto"/>
                      <w:sz w:val="21"/>
                      <w:szCs w:val="21"/>
                      <w:highlight w:val="none"/>
                      <w:vertAlign w:val="superscript"/>
                    </w:rPr>
                    <w:t>2</w:t>
                  </w:r>
                </w:p>
              </w:tc>
              <w:tc>
                <w:tcPr>
                  <w:tcW w:w="645" w:type="dxa"/>
                  <w:vAlign w:val="center"/>
                </w:tcPr>
                <w:p w14:paraId="0773E324">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喷涂厚度</w:t>
                  </w:r>
                </w:p>
                <w:p w14:paraId="03DD8CB6">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μm</w:t>
                  </w:r>
                </w:p>
              </w:tc>
              <w:tc>
                <w:tcPr>
                  <w:tcW w:w="1095" w:type="dxa"/>
                  <w:vAlign w:val="center"/>
                </w:tcPr>
                <w:p w14:paraId="656BD12C">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调配后油漆密度g/ cm</w:t>
                  </w:r>
                  <w:r>
                    <w:rPr>
                      <w:rFonts w:hint="default" w:ascii="Times New Roman" w:hAnsi="Times New Roman" w:cs="Times New Roman"/>
                      <w:b/>
                      <w:bCs/>
                      <w:color w:val="auto"/>
                      <w:sz w:val="21"/>
                      <w:szCs w:val="21"/>
                      <w:highlight w:val="none"/>
                      <w:vertAlign w:val="superscript"/>
                    </w:rPr>
                    <w:t>3</w:t>
                  </w:r>
                </w:p>
              </w:tc>
              <w:tc>
                <w:tcPr>
                  <w:tcW w:w="720" w:type="dxa"/>
                  <w:vAlign w:val="center"/>
                </w:tcPr>
                <w:p w14:paraId="74446185">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附着率</w:t>
                  </w:r>
                </w:p>
                <w:p w14:paraId="7E5E11AA">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w:t>
                  </w:r>
                </w:p>
              </w:tc>
              <w:tc>
                <w:tcPr>
                  <w:tcW w:w="765" w:type="dxa"/>
                  <w:vAlign w:val="center"/>
                </w:tcPr>
                <w:p w14:paraId="79D8ABC1">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调配后固含量</w:t>
                  </w:r>
                </w:p>
                <w:p w14:paraId="0841F4D7">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w:t>
                  </w:r>
                </w:p>
              </w:tc>
              <w:tc>
                <w:tcPr>
                  <w:tcW w:w="778" w:type="dxa"/>
                  <w:vAlign w:val="center"/>
                </w:tcPr>
                <w:p w14:paraId="655A9AF8">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油性漆使用量t/a</w:t>
                  </w:r>
                </w:p>
              </w:tc>
            </w:tr>
            <w:tr w14:paraId="1A3C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69" w:type="dxa"/>
                  <w:vAlign w:val="center"/>
                </w:tcPr>
                <w:p w14:paraId="48EA293E">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铸碳钢件</w:t>
                  </w:r>
                </w:p>
              </w:tc>
              <w:tc>
                <w:tcPr>
                  <w:tcW w:w="914" w:type="dxa"/>
                  <w:vAlign w:val="center"/>
                </w:tcPr>
                <w:p w14:paraId="5A3D105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20400</w:t>
                  </w:r>
                </w:p>
              </w:tc>
              <w:tc>
                <w:tcPr>
                  <w:tcW w:w="705" w:type="dxa"/>
                  <w:vMerge w:val="restart"/>
                  <w:vAlign w:val="center"/>
                </w:tcPr>
                <w:p w14:paraId="73A85A6D">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油性漆（调制后）</w:t>
                  </w:r>
                </w:p>
              </w:tc>
              <w:tc>
                <w:tcPr>
                  <w:tcW w:w="870" w:type="dxa"/>
                  <w:shd w:val="clear" w:color="auto" w:fill="auto"/>
                  <w:vAlign w:val="center"/>
                </w:tcPr>
                <w:p w14:paraId="1CA207BA">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890</w:t>
                  </w:r>
                </w:p>
              </w:tc>
              <w:tc>
                <w:tcPr>
                  <w:tcW w:w="960" w:type="dxa"/>
                  <w:shd w:val="clear" w:color="auto" w:fill="auto"/>
                  <w:vAlign w:val="center"/>
                </w:tcPr>
                <w:p w14:paraId="0F0F356D">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1815.6</w:t>
                  </w:r>
                </w:p>
              </w:tc>
              <w:tc>
                <w:tcPr>
                  <w:tcW w:w="645" w:type="dxa"/>
                  <w:vAlign w:val="center"/>
                </w:tcPr>
                <w:p w14:paraId="55815BAE">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95" w:type="dxa"/>
                  <w:vAlign w:val="center"/>
                </w:tcPr>
                <w:p w14:paraId="5EA70E2E">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1.166</w:t>
                  </w:r>
                </w:p>
              </w:tc>
              <w:tc>
                <w:tcPr>
                  <w:tcW w:w="720" w:type="dxa"/>
                  <w:vAlign w:val="center"/>
                </w:tcPr>
                <w:p w14:paraId="49D7F119">
                  <w:pPr>
                    <w:pStyle w:val="23"/>
                    <w:adjustRightInd w:val="0"/>
                    <w:snapToGrid w:val="0"/>
                    <w:spacing w:before="0" w:beforeAutospacing="0" w:after="0" w:afterAutospacing="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60</w:t>
                  </w:r>
                </w:p>
              </w:tc>
              <w:tc>
                <w:tcPr>
                  <w:tcW w:w="765" w:type="dxa"/>
                  <w:vAlign w:val="center"/>
                </w:tcPr>
                <w:p w14:paraId="7C49259E">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67.07</w:t>
                  </w:r>
                </w:p>
              </w:tc>
              <w:tc>
                <w:tcPr>
                  <w:tcW w:w="778" w:type="dxa"/>
                  <w:vAlign w:val="center"/>
                </w:tcPr>
                <w:p w14:paraId="1D3520ED">
                  <w:pPr>
                    <w:keepNext w:val="0"/>
                    <w:keepLines w:val="0"/>
                    <w:widowControl/>
                    <w:suppressLineNumbers w:val="0"/>
                    <w:jc w:val="right"/>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0.263</w:t>
                  </w:r>
                </w:p>
              </w:tc>
            </w:tr>
            <w:tr w14:paraId="403B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vAlign w:val="center"/>
                </w:tcPr>
                <w:p w14:paraId="2D93D824">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铸碳钢件</w:t>
                  </w:r>
                </w:p>
              </w:tc>
              <w:tc>
                <w:tcPr>
                  <w:tcW w:w="914" w:type="dxa"/>
                  <w:vAlign w:val="center"/>
                </w:tcPr>
                <w:p w14:paraId="1BD7AEA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8000</w:t>
                  </w:r>
                </w:p>
              </w:tc>
              <w:tc>
                <w:tcPr>
                  <w:tcW w:w="705" w:type="dxa"/>
                  <w:vMerge w:val="continue"/>
                  <w:vAlign w:val="center"/>
                </w:tcPr>
                <w:p w14:paraId="3C54F545">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p>
              </w:tc>
              <w:tc>
                <w:tcPr>
                  <w:tcW w:w="870" w:type="dxa"/>
                  <w:vAlign w:val="center"/>
                </w:tcPr>
                <w:p w14:paraId="22522A6A">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1435</w:t>
                  </w:r>
                </w:p>
              </w:tc>
              <w:tc>
                <w:tcPr>
                  <w:tcW w:w="960" w:type="dxa"/>
                  <w:vAlign w:val="center"/>
                </w:tcPr>
                <w:p w14:paraId="4531EFE3">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1148</w:t>
                  </w:r>
                </w:p>
              </w:tc>
              <w:tc>
                <w:tcPr>
                  <w:tcW w:w="645" w:type="dxa"/>
                  <w:vAlign w:val="center"/>
                </w:tcPr>
                <w:p w14:paraId="27CCA6F7">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95" w:type="dxa"/>
                  <w:vAlign w:val="center"/>
                </w:tcPr>
                <w:p w14:paraId="712E20DA">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1.166</w:t>
                  </w:r>
                </w:p>
              </w:tc>
              <w:tc>
                <w:tcPr>
                  <w:tcW w:w="720" w:type="dxa"/>
                  <w:vAlign w:val="center"/>
                </w:tcPr>
                <w:p w14:paraId="11AF4435">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60</w:t>
                  </w:r>
                </w:p>
              </w:tc>
              <w:tc>
                <w:tcPr>
                  <w:tcW w:w="765" w:type="dxa"/>
                  <w:vAlign w:val="center"/>
                </w:tcPr>
                <w:p w14:paraId="0BD8663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67.07</w:t>
                  </w:r>
                </w:p>
              </w:tc>
              <w:tc>
                <w:tcPr>
                  <w:tcW w:w="778" w:type="dxa"/>
                  <w:vAlign w:val="center"/>
                </w:tcPr>
                <w:p w14:paraId="07D63855">
                  <w:pPr>
                    <w:keepNext w:val="0"/>
                    <w:keepLines w:val="0"/>
                    <w:widowControl/>
                    <w:suppressLineNumbers w:val="0"/>
                    <w:jc w:val="right"/>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0.166</w:t>
                  </w:r>
                </w:p>
              </w:tc>
            </w:tr>
            <w:tr w14:paraId="10CE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69" w:type="dxa"/>
                  <w:vAlign w:val="center"/>
                </w:tcPr>
                <w:p w14:paraId="4E8273C0">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铸碳钢件</w:t>
                  </w:r>
                </w:p>
              </w:tc>
              <w:tc>
                <w:tcPr>
                  <w:tcW w:w="914" w:type="dxa"/>
                  <w:vAlign w:val="center"/>
                </w:tcPr>
                <w:p w14:paraId="7D9F6AC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26275</w:t>
                  </w:r>
                </w:p>
              </w:tc>
              <w:tc>
                <w:tcPr>
                  <w:tcW w:w="705" w:type="dxa"/>
                  <w:vMerge w:val="continue"/>
                  <w:vAlign w:val="center"/>
                </w:tcPr>
                <w:p w14:paraId="67D07948">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p>
              </w:tc>
              <w:tc>
                <w:tcPr>
                  <w:tcW w:w="870" w:type="dxa"/>
                  <w:vAlign w:val="center"/>
                </w:tcPr>
                <w:p w14:paraId="43C9BE76">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745</w:t>
                  </w:r>
                </w:p>
              </w:tc>
              <w:tc>
                <w:tcPr>
                  <w:tcW w:w="960" w:type="dxa"/>
                  <w:vAlign w:val="center"/>
                </w:tcPr>
                <w:p w14:paraId="2D9C7FA6">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1957.5</w:t>
                  </w:r>
                </w:p>
              </w:tc>
              <w:tc>
                <w:tcPr>
                  <w:tcW w:w="645" w:type="dxa"/>
                  <w:vAlign w:val="center"/>
                </w:tcPr>
                <w:p w14:paraId="67D9C16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95" w:type="dxa"/>
                  <w:vAlign w:val="center"/>
                </w:tcPr>
                <w:p w14:paraId="27DE15F7">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1.166</w:t>
                  </w:r>
                </w:p>
              </w:tc>
              <w:tc>
                <w:tcPr>
                  <w:tcW w:w="720" w:type="dxa"/>
                  <w:vAlign w:val="center"/>
                </w:tcPr>
                <w:p w14:paraId="0DFD7462">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60</w:t>
                  </w:r>
                </w:p>
              </w:tc>
              <w:tc>
                <w:tcPr>
                  <w:tcW w:w="765" w:type="dxa"/>
                  <w:vAlign w:val="center"/>
                </w:tcPr>
                <w:p w14:paraId="4F668A4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67.07</w:t>
                  </w:r>
                </w:p>
              </w:tc>
              <w:tc>
                <w:tcPr>
                  <w:tcW w:w="778" w:type="dxa"/>
                  <w:vAlign w:val="center"/>
                </w:tcPr>
                <w:p w14:paraId="2BD47661">
                  <w:pPr>
                    <w:keepNext w:val="0"/>
                    <w:keepLines w:val="0"/>
                    <w:widowControl/>
                    <w:suppressLineNumbers w:val="0"/>
                    <w:jc w:val="right"/>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0.284</w:t>
                  </w:r>
                </w:p>
              </w:tc>
            </w:tr>
            <w:tr w14:paraId="6467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69" w:type="dxa"/>
                  <w:vAlign w:val="center"/>
                </w:tcPr>
                <w:p w14:paraId="5002F7B6">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914" w:type="dxa"/>
                  <w:vAlign w:val="center"/>
                </w:tcPr>
                <w:p w14:paraId="1CE5CEE5">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21000</w:t>
                  </w:r>
                </w:p>
              </w:tc>
              <w:tc>
                <w:tcPr>
                  <w:tcW w:w="705" w:type="dxa"/>
                  <w:vMerge w:val="continue"/>
                  <w:vAlign w:val="center"/>
                </w:tcPr>
                <w:p w14:paraId="373EEF80">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p>
              </w:tc>
              <w:tc>
                <w:tcPr>
                  <w:tcW w:w="870" w:type="dxa"/>
                  <w:shd w:val="clear" w:color="auto" w:fill="auto"/>
                  <w:vAlign w:val="center"/>
                </w:tcPr>
                <w:p w14:paraId="0476BFD8">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886</w:t>
                  </w:r>
                </w:p>
              </w:tc>
              <w:tc>
                <w:tcPr>
                  <w:tcW w:w="960" w:type="dxa"/>
                  <w:shd w:val="clear" w:color="auto" w:fill="auto"/>
                  <w:vAlign w:val="center"/>
                </w:tcPr>
                <w:p w14:paraId="5AAA79BD">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1860.6</w:t>
                  </w:r>
                </w:p>
              </w:tc>
              <w:tc>
                <w:tcPr>
                  <w:tcW w:w="645" w:type="dxa"/>
                  <w:vAlign w:val="center"/>
                </w:tcPr>
                <w:p w14:paraId="590D314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95" w:type="dxa"/>
                  <w:vAlign w:val="center"/>
                </w:tcPr>
                <w:p w14:paraId="6A2981E2">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1.166</w:t>
                  </w:r>
                </w:p>
              </w:tc>
              <w:tc>
                <w:tcPr>
                  <w:tcW w:w="720" w:type="dxa"/>
                  <w:vAlign w:val="center"/>
                </w:tcPr>
                <w:p w14:paraId="5568A14E">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60</w:t>
                  </w:r>
                </w:p>
              </w:tc>
              <w:tc>
                <w:tcPr>
                  <w:tcW w:w="765" w:type="dxa"/>
                  <w:vAlign w:val="center"/>
                </w:tcPr>
                <w:p w14:paraId="2A00FDE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67.07</w:t>
                  </w:r>
                </w:p>
              </w:tc>
              <w:tc>
                <w:tcPr>
                  <w:tcW w:w="778" w:type="dxa"/>
                  <w:vAlign w:val="center"/>
                </w:tcPr>
                <w:p w14:paraId="0318AB0F">
                  <w:pPr>
                    <w:keepNext w:val="0"/>
                    <w:keepLines w:val="0"/>
                    <w:widowControl/>
                    <w:suppressLineNumbers w:val="0"/>
                    <w:jc w:val="right"/>
                    <w:textAlignment w:val="center"/>
                    <w:rPr>
                      <w:rFonts w:hint="default" w:ascii="Times New Roman" w:hAnsi="Times New Roman" w:cs="Times New Roman"/>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0.270</w:t>
                  </w:r>
                </w:p>
              </w:tc>
            </w:tr>
            <w:tr w14:paraId="5498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69" w:type="dxa"/>
                  <w:vAlign w:val="center"/>
                </w:tcPr>
                <w:p w14:paraId="62EDAE56">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914" w:type="dxa"/>
                  <w:vAlign w:val="center"/>
                </w:tcPr>
                <w:p w14:paraId="53460AAF">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12800</w:t>
                  </w:r>
                </w:p>
              </w:tc>
              <w:tc>
                <w:tcPr>
                  <w:tcW w:w="705" w:type="dxa"/>
                  <w:vMerge w:val="continue"/>
                  <w:vAlign w:val="center"/>
                </w:tcPr>
                <w:p w14:paraId="4114B590">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p>
              </w:tc>
              <w:tc>
                <w:tcPr>
                  <w:tcW w:w="870" w:type="dxa"/>
                  <w:vAlign w:val="center"/>
                </w:tcPr>
                <w:p w14:paraId="528634EC">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1430</w:t>
                  </w:r>
                </w:p>
              </w:tc>
              <w:tc>
                <w:tcPr>
                  <w:tcW w:w="960" w:type="dxa"/>
                  <w:vAlign w:val="center"/>
                </w:tcPr>
                <w:p w14:paraId="01A912E3">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1830.4</w:t>
                  </w:r>
                </w:p>
              </w:tc>
              <w:tc>
                <w:tcPr>
                  <w:tcW w:w="645" w:type="dxa"/>
                  <w:vAlign w:val="center"/>
                </w:tcPr>
                <w:p w14:paraId="4E46371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95" w:type="dxa"/>
                  <w:vAlign w:val="center"/>
                </w:tcPr>
                <w:p w14:paraId="76BBBEF9">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1.166</w:t>
                  </w:r>
                </w:p>
              </w:tc>
              <w:tc>
                <w:tcPr>
                  <w:tcW w:w="720" w:type="dxa"/>
                  <w:vAlign w:val="center"/>
                </w:tcPr>
                <w:p w14:paraId="1B9A516B">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60</w:t>
                  </w:r>
                </w:p>
              </w:tc>
              <w:tc>
                <w:tcPr>
                  <w:tcW w:w="765" w:type="dxa"/>
                  <w:vAlign w:val="center"/>
                </w:tcPr>
                <w:p w14:paraId="0A322C3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67.07</w:t>
                  </w:r>
                </w:p>
              </w:tc>
              <w:tc>
                <w:tcPr>
                  <w:tcW w:w="778" w:type="dxa"/>
                  <w:vAlign w:val="center"/>
                </w:tcPr>
                <w:p w14:paraId="41D64817">
                  <w:pPr>
                    <w:keepNext w:val="0"/>
                    <w:keepLines w:val="0"/>
                    <w:widowControl/>
                    <w:suppressLineNumbers w:val="0"/>
                    <w:jc w:val="right"/>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0.265</w:t>
                  </w:r>
                </w:p>
              </w:tc>
            </w:tr>
            <w:tr w14:paraId="6BC2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69" w:type="dxa"/>
                  <w:vAlign w:val="center"/>
                </w:tcPr>
                <w:p w14:paraId="77247A0A">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914" w:type="dxa"/>
                  <w:vAlign w:val="center"/>
                </w:tcPr>
                <w:p w14:paraId="4D6AD761">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120000</w:t>
                  </w:r>
                </w:p>
              </w:tc>
              <w:tc>
                <w:tcPr>
                  <w:tcW w:w="705" w:type="dxa"/>
                  <w:vMerge w:val="continue"/>
                  <w:vAlign w:val="center"/>
                </w:tcPr>
                <w:p w14:paraId="16D586EC">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p>
              </w:tc>
              <w:tc>
                <w:tcPr>
                  <w:tcW w:w="870" w:type="dxa"/>
                  <w:vAlign w:val="center"/>
                </w:tcPr>
                <w:p w14:paraId="18A5C7AE">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740</w:t>
                  </w:r>
                </w:p>
              </w:tc>
              <w:tc>
                <w:tcPr>
                  <w:tcW w:w="960" w:type="dxa"/>
                  <w:vAlign w:val="center"/>
                </w:tcPr>
                <w:p w14:paraId="2AEA1DAD">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8880</w:t>
                  </w:r>
                </w:p>
              </w:tc>
              <w:tc>
                <w:tcPr>
                  <w:tcW w:w="645" w:type="dxa"/>
                  <w:vAlign w:val="center"/>
                </w:tcPr>
                <w:p w14:paraId="728149E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95" w:type="dxa"/>
                  <w:vAlign w:val="center"/>
                </w:tcPr>
                <w:p w14:paraId="64FD8E91">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1.166</w:t>
                  </w:r>
                </w:p>
              </w:tc>
              <w:tc>
                <w:tcPr>
                  <w:tcW w:w="720" w:type="dxa"/>
                  <w:vAlign w:val="center"/>
                </w:tcPr>
                <w:p w14:paraId="6E53348D">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60</w:t>
                  </w:r>
                </w:p>
              </w:tc>
              <w:tc>
                <w:tcPr>
                  <w:tcW w:w="765" w:type="dxa"/>
                  <w:vAlign w:val="center"/>
                </w:tcPr>
                <w:p w14:paraId="09140A4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67.07</w:t>
                  </w:r>
                </w:p>
              </w:tc>
              <w:tc>
                <w:tcPr>
                  <w:tcW w:w="778" w:type="dxa"/>
                  <w:vAlign w:val="center"/>
                </w:tcPr>
                <w:p w14:paraId="60DBCFDD">
                  <w:pPr>
                    <w:keepNext w:val="0"/>
                    <w:keepLines w:val="0"/>
                    <w:widowControl/>
                    <w:suppressLineNumbers w:val="0"/>
                    <w:jc w:val="right"/>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1.286</w:t>
                  </w:r>
                </w:p>
              </w:tc>
            </w:tr>
            <w:tr w14:paraId="3E07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69" w:type="dxa"/>
                  <w:vAlign w:val="center"/>
                </w:tcPr>
                <w:p w14:paraId="1305DBE9">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914" w:type="dxa"/>
                  <w:vAlign w:val="center"/>
                </w:tcPr>
                <w:p w14:paraId="62D246BE">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69000</w:t>
                  </w:r>
                </w:p>
              </w:tc>
              <w:tc>
                <w:tcPr>
                  <w:tcW w:w="705" w:type="dxa"/>
                  <w:vMerge w:val="continue"/>
                  <w:vAlign w:val="center"/>
                </w:tcPr>
                <w:p w14:paraId="37F0E3B4">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p>
              </w:tc>
              <w:tc>
                <w:tcPr>
                  <w:tcW w:w="870" w:type="dxa"/>
                  <w:vAlign w:val="center"/>
                </w:tcPr>
                <w:p w14:paraId="2F5C53D2">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1100</w:t>
                  </w:r>
                </w:p>
              </w:tc>
              <w:tc>
                <w:tcPr>
                  <w:tcW w:w="960" w:type="dxa"/>
                  <w:vAlign w:val="center"/>
                </w:tcPr>
                <w:p w14:paraId="04087A8E">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7590</w:t>
                  </w:r>
                </w:p>
              </w:tc>
              <w:tc>
                <w:tcPr>
                  <w:tcW w:w="645" w:type="dxa"/>
                  <w:vAlign w:val="center"/>
                </w:tcPr>
                <w:p w14:paraId="5452563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95" w:type="dxa"/>
                  <w:vAlign w:val="center"/>
                </w:tcPr>
                <w:p w14:paraId="75C1E0B4">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1.166</w:t>
                  </w:r>
                </w:p>
              </w:tc>
              <w:tc>
                <w:tcPr>
                  <w:tcW w:w="720" w:type="dxa"/>
                  <w:vAlign w:val="center"/>
                </w:tcPr>
                <w:p w14:paraId="29D65519">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60</w:t>
                  </w:r>
                </w:p>
              </w:tc>
              <w:tc>
                <w:tcPr>
                  <w:tcW w:w="765" w:type="dxa"/>
                  <w:vAlign w:val="center"/>
                </w:tcPr>
                <w:p w14:paraId="1E8B75B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67.07</w:t>
                  </w:r>
                </w:p>
              </w:tc>
              <w:tc>
                <w:tcPr>
                  <w:tcW w:w="778" w:type="dxa"/>
                  <w:vAlign w:val="center"/>
                </w:tcPr>
                <w:p w14:paraId="67302BA5">
                  <w:pPr>
                    <w:keepNext w:val="0"/>
                    <w:keepLines w:val="0"/>
                    <w:widowControl/>
                    <w:suppressLineNumbers w:val="0"/>
                    <w:jc w:val="right"/>
                    <w:textAlignment w:val="center"/>
                    <w:rPr>
                      <w:rFonts w:hint="default" w:ascii="Times New Roman" w:hAnsi="Times New Roman" w:cs="Times New Roman"/>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1.100</w:t>
                  </w:r>
                </w:p>
              </w:tc>
            </w:tr>
            <w:tr w14:paraId="06A3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69" w:type="dxa"/>
                  <w:vAlign w:val="center"/>
                </w:tcPr>
                <w:p w14:paraId="3AF971DB">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914" w:type="dxa"/>
                  <w:vAlign w:val="center"/>
                </w:tcPr>
                <w:p w14:paraId="0E91AFB6">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80000</w:t>
                  </w:r>
                </w:p>
              </w:tc>
              <w:tc>
                <w:tcPr>
                  <w:tcW w:w="705" w:type="dxa"/>
                  <w:vMerge w:val="continue"/>
                  <w:vAlign w:val="center"/>
                </w:tcPr>
                <w:p w14:paraId="060E81BB">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p>
              </w:tc>
              <w:tc>
                <w:tcPr>
                  <w:tcW w:w="870" w:type="dxa"/>
                  <w:vAlign w:val="center"/>
                </w:tcPr>
                <w:p w14:paraId="7593A7A4">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545</w:t>
                  </w:r>
                </w:p>
              </w:tc>
              <w:tc>
                <w:tcPr>
                  <w:tcW w:w="960" w:type="dxa"/>
                  <w:vAlign w:val="center"/>
                </w:tcPr>
                <w:p w14:paraId="3C932E12">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4360</w:t>
                  </w:r>
                </w:p>
              </w:tc>
              <w:tc>
                <w:tcPr>
                  <w:tcW w:w="645" w:type="dxa"/>
                  <w:vAlign w:val="center"/>
                </w:tcPr>
                <w:p w14:paraId="755B4D2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95" w:type="dxa"/>
                  <w:vAlign w:val="center"/>
                </w:tcPr>
                <w:p w14:paraId="4AAC4249">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1.166</w:t>
                  </w:r>
                </w:p>
              </w:tc>
              <w:tc>
                <w:tcPr>
                  <w:tcW w:w="720" w:type="dxa"/>
                  <w:vAlign w:val="center"/>
                </w:tcPr>
                <w:p w14:paraId="4D77D870">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60</w:t>
                  </w:r>
                </w:p>
              </w:tc>
              <w:tc>
                <w:tcPr>
                  <w:tcW w:w="765" w:type="dxa"/>
                  <w:vAlign w:val="center"/>
                </w:tcPr>
                <w:p w14:paraId="09B72C7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67.07</w:t>
                  </w:r>
                </w:p>
              </w:tc>
              <w:tc>
                <w:tcPr>
                  <w:tcW w:w="778" w:type="dxa"/>
                  <w:vAlign w:val="center"/>
                </w:tcPr>
                <w:p w14:paraId="53307FCE">
                  <w:pPr>
                    <w:keepNext w:val="0"/>
                    <w:keepLines w:val="0"/>
                    <w:widowControl/>
                    <w:suppressLineNumbers w:val="0"/>
                    <w:jc w:val="right"/>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0.632</w:t>
                  </w:r>
                </w:p>
              </w:tc>
            </w:tr>
            <w:tr w14:paraId="745F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69" w:type="dxa"/>
                  <w:vAlign w:val="center"/>
                </w:tcPr>
                <w:p w14:paraId="58FE18B2">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铸铁件</w:t>
                  </w:r>
                </w:p>
              </w:tc>
              <w:tc>
                <w:tcPr>
                  <w:tcW w:w="914" w:type="dxa"/>
                  <w:vAlign w:val="center"/>
                </w:tcPr>
                <w:p w14:paraId="2706591B">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108750</w:t>
                  </w:r>
                </w:p>
              </w:tc>
              <w:tc>
                <w:tcPr>
                  <w:tcW w:w="705" w:type="dxa"/>
                  <w:vMerge w:val="continue"/>
                  <w:vAlign w:val="center"/>
                </w:tcPr>
                <w:p w14:paraId="39951EA0">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p>
              </w:tc>
              <w:tc>
                <w:tcPr>
                  <w:tcW w:w="870" w:type="dxa"/>
                  <w:vAlign w:val="center"/>
                </w:tcPr>
                <w:p w14:paraId="28C4B459">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415</w:t>
                  </w:r>
                </w:p>
              </w:tc>
              <w:tc>
                <w:tcPr>
                  <w:tcW w:w="960" w:type="dxa"/>
                  <w:vAlign w:val="center"/>
                </w:tcPr>
                <w:p w14:paraId="1D47741B">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4513.1</w:t>
                  </w:r>
                </w:p>
              </w:tc>
              <w:tc>
                <w:tcPr>
                  <w:tcW w:w="645" w:type="dxa"/>
                  <w:vAlign w:val="center"/>
                </w:tcPr>
                <w:p w14:paraId="593DE50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95" w:type="dxa"/>
                  <w:vAlign w:val="center"/>
                </w:tcPr>
                <w:p w14:paraId="36875638">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1.166</w:t>
                  </w:r>
                </w:p>
              </w:tc>
              <w:tc>
                <w:tcPr>
                  <w:tcW w:w="720" w:type="dxa"/>
                  <w:vAlign w:val="center"/>
                </w:tcPr>
                <w:p w14:paraId="010369AE">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60</w:t>
                  </w:r>
                </w:p>
              </w:tc>
              <w:tc>
                <w:tcPr>
                  <w:tcW w:w="765" w:type="dxa"/>
                  <w:vAlign w:val="center"/>
                </w:tcPr>
                <w:p w14:paraId="7AF9E8B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67.07</w:t>
                  </w:r>
                </w:p>
              </w:tc>
              <w:tc>
                <w:tcPr>
                  <w:tcW w:w="778" w:type="dxa"/>
                  <w:vAlign w:val="center"/>
                </w:tcPr>
                <w:p w14:paraId="606095C8">
                  <w:pPr>
                    <w:keepNext w:val="0"/>
                    <w:keepLines w:val="0"/>
                    <w:widowControl/>
                    <w:suppressLineNumbers w:val="0"/>
                    <w:jc w:val="right"/>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0.654</w:t>
                  </w:r>
                </w:p>
              </w:tc>
            </w:tr>
            <w:tr w14:paraId="4D63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643" w:type="dxa"/>
                  <w:gridSpan w:val="9"/>
                  <w:vAlign w:val="center"/>
                </w:tcPr>
                <w:p w14:paraId="7D0E7A0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油性漆使用量合计</w:t>
                  </w:r>
                </w:p>
              </w:tc>
              <w:tc>
                <w:tcPr>
                  <w:tcW w:w="778" w:type="dxa"/>
                  <w:vAlign w:val="center"/>
                </w:tcPr>
                <w:p w14:paraId="2F6B95F0">
                  <w:pPr>
                    <w:widowControl/>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4.9</w:t>
                  </w:r>
                  <w:r>
                    <w:rPr>
                      <w:rFonts w:hint="default" w:ascii="Times New Roman" w:hAnsi="Times New Roman" w:cs="Times New Roman"/>
                      <w:color w:val="auto"/>
                      <w:sz w:val="21"/>
                      <w:szCs w:val="21"/>
                      <w:highlight w:val="none"/>
                      <w:lang w:val="en-US" w:eastAsia="zh-CN"/>
                    </w:rPr>
                    <w:t>2</w:t>
                  </w:r>
                </w:p>
              </w:tc>
            </w:tr>
            <w:tr w14:paraId="601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21" w:type="dxa"/>
                  <w:gridSpan w:val="10"/>
                  <w:vAlign w:val="center"/>
                </w:tcPr>
                <w:p w14:paraId="0E3D48BC">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备注：耐高温漆：稀释剂=4:1（质量比），则耐高温漆用量为3.9</w:t>
                  </w:r>
                  <w:r>
                    <w:rPr>
                      <w:rFonts w:hint="default" w:ascii="Times New Roman" w:hAnsi="Times New Roman" w:cs="Times New Roman"/>
                      <w:color w:val="auto"/>
                      <w:sz w:val="21"/>
                      <w:szCs w:val="21"/>
                      <w:highlight w:val="none"/>
                      <w:lang w:val="en-US" w:eastAsia="zh-CN"/>
                    </w:rPr>
                    <w:t>36</w:t>
                  </w:r>
                  <w:r>
                    <w:rPr>
                      <w:rFonts w:hint="default" w:ascii="Times New Roman" w:hAnsi="Times New Roman" w:cs="Times New Roman"/>
                      <w:color w:val="auto"/>
                      <w:sz w:val="21"/>
                      <w:szCs w:val="21"/>
                      <w:highlight w:val="none"/>
                    </w:rPr>
                    <w:t>t/a，稀释剂用量为0.98</w:t>
                  </w: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t/a。</w:t>
                  </w:r>
                </w:p>
              </w:tc>
            </w:tr>
          </w:tbl>
          <w:p w14:paraId="30CA2CED">
            <w:pPr>
              <w:pStyle w:val="8"/>
              <w:ind w:firstLine="482" w:firstLineChars="200"/>
              <w:rPr>
                <w:rFonts w:hint="default" w:ascii="Times New Roman" w:hAnsi="Times New Roman" w:eastAsia="宋体" w:cs="Times New Roman"/>
                <w:b/>
                <w:bCs/>
                <w:color w:val="auto"/>
                <w:kern w:val="0"/>
                <w:highlight w:val="none"/>
              </w:rPr>
            </w:pPr>
            <w:r>
              <w:rPr>
                <w:rFonts w:hint="default" w:ascii="Times New Roman" w:hAnsi="Times New Roman" w:eastAsia="宋体" w:cs="Times New Roman"/>
                <w:b/>
                <w:bCs/>
                <w:color w:val="auto"/>
                <w:highlight w:val="none"/>
              </w:rPr>
              <w:t>（3）</w:t>
            </w:r>
            <w:r>
              <w:rPr>
                <w:rFonts w:hint="default" w:ascii="Times New Roman" w:hAnsi="Times New Roman" w:eastAsia="宋体" w:cs="Times New Roman"/>
                <w:b/>
                <w:bCs/>
                <w:color w:val="auto"/>
                <w:kern w:val="0"/>
                <w:highlight w:val="none"/>
              </w:rPr>
              <w:t>热固性粉末涂料</w:t>
            </w:r>
            <w:r>
              <w:rPr>
                <w:rFonts w:hint="default" w:ascii="Times New Roman" w:hAnsi="Times New Roman" w:eastAsia="宋体" w:cs="Times New Roman"/>
                <w:b/>
                <w:bCs/>
                <w:color w:val="auto"/>
                <w:highlight w:val="none"/>
              </w:rPr>
              <w:t>用量计算</w:t>
            </w:r>
          </w:p>
          <w:p w14:paraId="572A59F0">
            <w:pPr>
              <w:spacing w:line="480" w:lineRule="exact"/>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热固性粉末涂料使用量=喷涂面积×厚度×密度/[利用率+（1-利用率）×未利用粉料回用率</w:t>
            </w:r>
            <w:r>
              <w:rPr>
                <w:rFonts w:hint="default" w:ascii="Times New Roman" w:hAnsi="Times New Roman" w:cs="Times New Roman"/>
                <w:color w:val="auto"/>
                <w:kern w:val="0"/>
                <w:sz w:val="24"/>
                <w:highlight w:val="none"/>
                <w:lang w:val="en-US" w:eastAsia="zh-CN"/>
              </w:rPr>
              <w:t>]</w:t>
            </w:r>
            <w:r>
              <w:rPr>
                <w:rFonts w:hint="default" w:ascii="Times New Roman" w:hAnsi="Times New Roman" w:cs="Times New Roman"/>
                <w:color w:val="auto"/>
                <w:kern w:val="0"/>
                <w:sz w:val="24"/>
                <w:highlight w:val="none"/>
              </w:rPr>
              <w:t>。</w:t>
            </w:r>
          </w:p>
          <w:p w14:paraId="0EC91DDD">
            <w:pPr>
              <w:adjustRightInd w:val="0"/>
              <w:snapToGrid w:val="0"/>
              <w:spacing w:before="120" w:beforeLines="50" w:line="360" w:lineRule="auto"/>
              <w:ind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kern w:val="0"/>
                <w:sz w:val="24"/>
                <w:highlight w:val="none"/>
              </w:rPr>
              <w:t>参数选取</w:t>
            </w:r>
          </w:p>
          <w:p w14:paraId="548B5A4F">
            <w:pPr>
              <w:numPr>
                <w:ilvl w:val="0"/>
                <w:numId w:val="4"/>
              </w:numPr>
              <w:adjustRightInd w:val="0"/>
              <w:snapToGrid w:val="0"/>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根据前文可知，本项目对3300t/a的铸铁件喷漆，对600t/a的铸碳钢件喷粉。由于本项目需要进行喷粉的铸铁件、铸碳钢件形状不规则，故项目需喷粉的工件面积为企业根据实际喷粉各工件核算出的均值，详见下表；</w:t>
            </w:r>
          </w:p>
          <w:p w14:paraId="01147D4B">
            <w:pPr>
              <w:adjustRightInd w:val="0"/>
              <w:snapToGri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sz w:val="24"/>
                <w:highlight w:val="none"/>
              </w:rPr>
              <w:t>表2-</w:t>
            </w:r>
            <w:r>
              <w:rPr>
                <w:rFonts w:hint="default" w:ascii="Times New Roman" w:hAnsi="Times New Roman" w:cs="Times New Roman"/>
                <w:b/>
                <w:bCs/>
                <w:color w:val="auto"/>
                <w:sz w:val="24"/>
                <w:highlight w:val="none"/>
                <w:lang w:val="en-US" w:eastAsia="zh-CN"/>
              </w:rPr>
              <w:t>10</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kern w:val="0"/>
                <w:sz w:val="24"/>
                <w:highlight w:val="none"/>
              </w:rPr>
              <w:t>喷粉面积计算</w:t>
            </w:r>
          </w:p>
          <w:tbl>
            <w:tblPr>
              <w:tblStyle w:val="26"/>
              <w:tblW w:w="8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1215"/>
              <w:gridCol w:w="1605"/>
              <w:gridCol w:w="1285"/>
              <w:gridCol w:w="1628"/>
              <w:gridCol w:w="1597"/>
            </w:tblGrid>
            <w:tr w14:paraId="01FB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0A174BA4">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产品名称</w:t>
                  </w:r>
                </w:p>
              </w:tc>
              <w:tc>
                <w:tcPr>
                  <w:tcW w:w="1215" w:type="dxa"/>
                  <w:vAlign w:val="center"/>
                </w:tcPr>
                <w:p w14:paraId="3ABD7832">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产量（件）</w:t>
                  </w:r>
                </w:p>
              </w:tc>
              <w:tc>
                <w:tcPr>
                  <w:tcW w:w="1605" w:type="dxa"/>
                  <w:vAlign w:val="center"/>
                </w:tcPr>
                <w:p w14:paraId="11B8DC30">
                  <w:pPr>
                    <w:adjustRightInd w:val="0"/>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单件重量（kg）</w:t>
                  </w:r>
                </w:p>
              </w:tc>
              <w:tc>
                <w:tcPr>
                  <w:tcW w:w="1285" w:type="dxa"/>
                  <w:vAlign w:val="center"/>
                </w:tcPr>
                <w:p w14:paraId="7BE3DA47">
                  <w:pPr>
                    <w:adjustRightInd w:val="0"/>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总重量（t）</w:t>
                  </w:r>
                </w:p>
              </w:tc>
              <w:tc>
                <w:tcPr>
                  <w:tcW w:w="1628" w:type="dxa"/>
                  <w:vAlign w:val="center"/>
                </w:tcPr>
                <w:p w14:paraId="6F39C283">
                  <w:pPr>
                    <w:adjustRightInd w:val="0"/>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单件面积（c</w:t>
                  </w:r>
                  <w:r>
                    <w:rPr>
                      <w:rFonts w:hint="default" w:ascii="Times New Roman" w:hAnsi="Times New Roman" w:cs="Times New Roman"/>
                      <w:b/>
                      <w:bCs/>
                      <w:color w:val="auto"/>
                      <w:szCs w:val="21"/>
                      <w:highlight w:val="none"/>
                      <w:shd w:val="clear" w:color="auto" w:fill="FFFFFF"/>
                    </w:rPr>
                    <w:t>m</w:t>
                  </w:r>
                  <w:r>
                    <w:rPr>
                      <w:rFonts w:hint="default" w:ascii="Times New Roman" w:hAnsi="Times New Roman" w:cs="Times New Roman"/>
                      <w:b/>
                      <w:bCs/>
                      <w:color w:val="auto"/>
                      <w:szCs w:val="21"/>
                      <w:highlight w:val="none"/>
                      <w:shd w:val="clear" w:color="auto" w:fill="FFFFFF"/>
                      <w:vertAlign w:val="superscript"/>
                    </w:rPr>
                    <w:t>2</w:t>
                  </w:r>
                  <w:r>
                    <w:rPr>
                      <w:rFonts w:hint="default" w:ascii="Times New Roman" w:hAnsi="Times New Roman" w:cs="Times New Roman"/>
                      <w:b/>
                      <w:bCs/>
                      <w:color w:val="auto"/>
                      <w:kern w:val="0"/>
                      <w:szCs w:val="21"/>
                      <w:highlight w:val="none"/>
                    </w:rPr>
                    <w:t>）</w:t>
                  </w:r>
                </w:p>
              </w:tc>
              <w:tc>
                <w:tcPr>
                  <w:tcW w:w="1597" w:type="dxa"/>
                  <w:vAlign w:val="center"/>
                </w:tcPr>
                <w:p w14:paraId="15E80B03">
                  <w:pPr>
                    <w:adjustRightInd w:val="0"/>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总表面积（m</w:t>
                  </w:r>
                  <w:r>
                    <w:rPr>
                      <w:rFonts w:hint="default" w:ascii="Times New Roman" w:hAnsi="Times New Roman" w:cs="Times New Roman"/>
                      <w:b/>
                      <w:bCs/>
                      <w:color w:val="auto"/>
                      <w:kern w:val="0"/>
                      <w:szCs w:val="21"/>
                      <w:highlight w:val="none"/>
                      <w:vertAlign w:val="superscript"/>
                    </w:rPr>
                    <w:t>2</w:t>
                  </w:r>
                  <w:r>
                    <w:rPr>
                      <w:rFonts w:hint="default" w:ascii="Times New Roman" w:hAnsi="Times New Roman" w:cs="Times New Roman"/>
                      <w:b/>
                      <w:bCs/>
                      <w:color w:val="auto"/>
                      <w:kern w:val="0"/>
                      <w:szCs w:val="21"/>
                      <w:highlight w:val="none"/>
                    </w:rPr>
                    <w:t>）</w:t>
                  </w:r>
                </w:p>
              </w:tc>
            </w:tr>
            <w:tr w14:paraId="37B3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6" w:type="dxa"/>
                  <w:vAlign w:val="center"/>
                </w:tcPr>
                <w:p w14:paraId="1B7276A0">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铸铁件</w:t>
                  </w:r>
                </w:p>
              </w:tc>
              <w:tc>
                <w:tcPr>
                  <w:tcW w:w="1215" w:type="dxa"/>
                  <w:vAlign w:val="center"/>
                </w:tcPr>
                <w:p w14:paraId="113D9B0B">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32000</w:t>
                  </w:r>
                </w:p>
              </w:tc>
              <w:tc>
                <w:tcPr>
                  <w:tcW w:w="1605" w:type="dxa"/>
                  <w:vAlign w:val="center"/>
                </w:tcPr>
                <w:p w14:paraId="0371A0FC">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30</w:t>
                  </w:r>
                </w:p>
              </w:tc>
              <w:tc>
                <w:tcPr>
                  <w:tcW w:w="1285" w:type="dxa"/>
                  <w:vAlign w:val="center"/>
                </w:tcPr>
                <w:p w14:paraId="39398890">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960</w:t>
                  </w:r>
                </w:p>
              </w:tc>
              <w:tc>
                <w:tcPr>
                  <w:tcW w:w="1628" w:type="dxa"/>
                  <w:vAlign w:val="center"/>
                </w:tcPr>
                <w:p w14:paraId="6F38CBCF">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340</w:t>
                  </w:r>
                </w:p>
              </w:tc>
              <w:tc>
                <w:tcPr>
                  <w:tcW w:w="1597" w:type="dxa"/>
                  <w:shd w:val="clear" w:color="auto" w:fill="auto"/>
                  <w:vAlign w:val="center"/>
                </w:tcPr>
                <w:p w14:paraId="70EFB9AF">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1088</w:t>
                  </w:r>
                </w:p>
              </w:tc>
            </w:tr>
            <w:tr w14:paraId="4C5A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7899A674">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铸铁件</w:t>
                  </w:r>
                </w:p>
              </w:tc>
              <w:tc>
                <w:tcPr>
                  <w:tcW w:w="1215" w:type="dxa"/>
                  <w:vAlign w:val="center"/>
                </w:tcPr>
                <w:p w14:paraId="39939C7D">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40000</w:t>
                  </w:r>
                </w:p>
              </w:tc>
              <w:tc>
                <w:tcPr>
                  <w:tcW w:w="1605" w:type="dxa"/>
                  <w:vAlign w:val="center"/>
                </w:tcPr>
                <w:p w14:paraId="6EE7340F">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36</w:t>
                  </w:r>
                </w:p>
              </w:tc>
              <w:tc>
                <w:tcPr>
                  <w:tcW w:w="1285" w:type="dxa"/>
                  <w:vAlign w:val="center"/>
                </w:tcPr>
                <w:p w14:paraId="36C51CAF">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1440</w:t>
                  </w:r>
                </w:p>
              </w:tc>
              <w:tc>
                <w:tcPr>
                  <w:tcW w:w="1628" w:type="dxa"/>
                  <w:vAlign w:val="center"/>
                </w:tcPr>
                <w:p w14:paraId="42EA3B84">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370</w:t>
                  </w:r>
                </w:p>
              </w:tc>
              <w:tc>
                <w:tcPr>
                  <w:tcW w:w="1597" w:type="dxa"/>
                  <w:vAlign w:val="center"/>
                </w:tcPr>
                <w:p w14:paraId="2EFA1DE8">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1480</w:t>
                  </w:r>
                </w:p>
              </w:tc>
            </w:tr>
            <w:tr w14:paraId="0A8E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3728FE21">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铸铁件</w:t>
                  </w:r>
                </w:p>
              </w:tc>
              <w:tc>
                <w:tcPr>
                  <w:tcW w:w="1215" w:type="dxa"/>
                  <w:vAlign w:val="center"/>
                </w:tcPr>
                <w:p w14:paraId="3AA9FB0D">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45000</w:t>
                  </w:r>
                </w:p>
              </w:tc>
              <w:tc>
                <w:tcPr>
                  <w:tcW w:w="1605" w:type="dxa"/>
                  <w:vAlign w:val="center"/>
                </w:tcPr>
                <w:p w14:paraId="2610EB01">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20</w:t>
                  </w:r>
                </w:p>
              </w:tc>
              <w:tc>
                <w:tcPr>
                  <w:tcW w:w="1285" w:type="dxa"/>
                  <w:vAlign w:val="center"/>
                </w:tcPr>
                <w:p w14:paraId="72145190">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900</w:t>
                  </w:r>
                </w:p>
              </w:tc>
              <w:tc>
                <w:tcPr>
                  <w:tcW w:w="1628" w:type="dxa"/>
                  <w:vAlign w:val="center"/>
                </w:tcPr>
                <w:p w14:paraId="1089F71A">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315</w:t>
                  </w:r>
                </w:p>
              </w:tc>
              <w:tc>
                <w:tcPr>
                  <w:tcW w:w="1597" w:type="dxa"/>
                  <w:vAlign w:val="center"/>
                </w:tcPr>
                <w:p w14:paraId="17D9689B">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1417.5</w:t>
                  </w:r>
                </w:p>
              </w:tc>
            </w:tr>
            <w:tr w14:paraId="51BB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F6AD6FF">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铸碳钢件</w:t>
                  </w:r>
                </w:p>
              </w:tc>
              <w:tc>
                <w:tcPr>
                  <w:tcW w:w="1215" w:type="dxa"/>
                  <w:vAlign w:val="center"/>
                </w:tcPr>
                <w:p w14:paraId="60C6B72C">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15000</w:t>
                  </w:r>
                </w:p>
              </w:tc>
              <w:tc>
                <w:tcPr>
                  <w:tcW w:w="1605" w:type="dxa"/>
                  <w:vAlign w:val="center"/>
                </w:tcPr>
                <w:p w14:paraId="426DF836">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19</w:t>
                  </w:r>
                </w:p>
              </w:tc>
              <w:tc>
                <w:tcPr>
                  <w:tcW w:w="1285" w:type="dxa"/>
                  <w:vAlign w:val="center"/>
                </w:tcPr>
                <w:p w14:paraId="0FD818AB">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285</w:t>
                  </w:r>
                </w:p>
              </w:tc>
              <w:tc>
                <w:tcPr>
                  <w:tcW w:w="1628" w:type="dxa"/>
                  <w:vAlign w:val="center"/>
                </w:tcPr>
                <w:p w14:paraId="703724EC">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310</w:t>
                  </w:r>
                </w:p>
              </w:tc>
              <w:tc>
                <w:tcPr>
                  <w:tcW w:w="1597" w:type="dxa"/>
                  <w:shd w:val="clear" w:color="auto" w:fill="auto"/>
                  <w:vAlign w:val="center"/>
                </w:tcPr>
                <w:p w14:paraId="0E90528C">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465</w:t>
                  </w:r>
                </w:p>
              </w:tc>
            </w:tr>
            <w:tr w14:paraId="31AF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E2CE220">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铸碳钢件</w:t>
                  </w:r>
                </w:p>
              </w:tc>
              <w:tc>
                <w:tcPr>
                  <w:tcW w:w="1215" w:type="dxa"/>
                  <w:vAlign w:val="center"/>
                </w:tcPr>
                <w:p w14:paraId="3AEBB054">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8000</w:t>
                  </w:r>
                </w:p>
              </w:tc>
              <w:tc>
                <w:tcPr>
                  <w:tcW w:w="1605" w:type="dxa"/>
                  <w:vAlign w:val="center"/>
                </w:tcPr>
                <w:p w14:paraId="7ED86406">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14.6</w:t>
                  </w:r>
                </w:p>
              </w:tc>
              <w:tc>
                <w:tcPr>
                  <w:tcW w:w="1285" w:type="dxa"/>
                  <w:vAlign w:val="center"/>
                </w:tcPr>
                <w:p w14:paraId="4E822E65">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116.8</w:t>
                  </w:r>
                </w:p>
              </w:tc>
              <w:tc>
                <w:tcPr>
                  <w:tcW w:w="1628" w:type="dxa"/>
                  <w:vAlign w:val="center"/>
                </w:tcPr>
                <w:p w14:paraId="733AA80A">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290</w:t>
                  </w:r>
                </w:p>
              </w:tc>
              <w:tc>
                <w:tcPr>
                  <w:tcW w:w="1597" w:type="dxa"/>
                  <w:vAlign w:val="center"/>
                </w:tcPr>
                <w:p w14:paraId="2C4D6F2F">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232</w:t>
                  </w:r>
                </w:p>
              </w:tc>
            </w:tr>
            <w:tr w14:paraId="0DD5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2A2EDB9D">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铸碳钢件</w:t>
                  </w:r>
                </w:p>
              </w:tc>
              <w:tc>
                <w:tcPr>
                  <w:tcW w:w="1215" w:type="dxa"/>
                  <w:vAlign w:val="center"/>
                </w:tcPr>
                <w:p w14:paraId="62ABD3D9">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20180</w:t>
                  </w:r>
                </w:p>
              </w:tc>
              <w:tc>
                <w:tcPr>
                  <w:tcW w:w="1605" w:type="dxa"/>
                  <w:vAlign w:val="center"/>
                </w:tcPr>
                <w:p w14:paraId="74EB2669">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10</w:t>
                  </w:r>
                </w:p>
              </w:tc>
              <w:tc>
                <w:tcPr>
                  <w:tcW w:w="1285" w:type="dxa"/>
                  <w:vAlign w:val="center"/>
                </w:tcPr>
                <w:p w14:paraId="7C2D90A3">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201.8</w:t>
                  </w:r>
                </w:p>
              </w:tc>
              <w:tc>
                <w:tcPr>
                  <w:tcW w:w="1628" w:type="dxa"/>
                  <w:vAlign w:val="center"/>
                </w:tcPr>
                <w:p w14:paraId="7B12BF36">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180</w:t>
                  </w:r>
                </w:p>
              </w:tc>
              <w:tc>
                <w:tcPr>
                  <w:tcW w:w="1597" w:type="dxa"/>
                  <w:vAlign w:val="center"/>
                </w:tcPr>
                <w:p w14:paraId="193E8084">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363.24</w:t>
                  </w:r>
                </w:p>
              </w:tc>
            </w:tr>
            <w:tr w14:paraId="2DA2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6" w:type="dxa"/>
                  <w:vAlign w:val="center"/>
                </w:tcPr>
                <w:p w14:paraId="42285551">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1215" w:type="dxa"/>
                  <w:vAlign w:val="center"/>
                </w:tcPr>
                <w:p w14:paraId="205DEB01">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w:t>
                  </w:r>
                </w:p>
              </w:tc>
              <w:tc>
                <w:tcPr>
                  <w:tcW w:w="1605" w:type="dxa"/>
                  <w:vAlign w:val="center"/>
                </w:tcPr>
                <w:p w14:paraId="4E0D5264">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w:t>
                  </w:r>
                </w:p>
              </w:tc>
              <w:tc>
                <w:tcPr>
                  <w:tcW w:w="1285" w:type="dxa"/>
                  <w:shd w:val="clear" w:color="auto" w:fill="auto"/>
                  <w:vAlign w:val="center"/>
                </w:tcPr>
                <w:p w14:paraId="701E95AD">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3900</w:t>
                  </w:r>
                </w:p>
              </w:tc>
              <w:tc>
                <w:tcPr>
                  <w:tcW w:w="1628" w:type="dxa"/>
                  <w:vAlign w:val="center"/>
                </w:tcPr>
                <w:p w14:paraId="6060F566">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w:t>
                  </w:r>
                </w:p>
              </w:tc>
              <w:tc>
                <w:tcPr>
                  <w:tcW w:w="1597" w:type="dxa"/>
                  <w:shd w:val="clear" w:color="auto" w:fill="auto"/>
                  <w:vAlign w:val="center"/>
                </w:tcPr>
                <w:p w14:paraId="02B32519">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5045.74</w:t>
                  </w:r>
                </w:p>
              </w:tc>
            </w:tr>
          </w:tbl>
          <w:p w14:paraId="5B3D6AED">
            <w:pPr>
              <w:numPr>
                <w:ilvl w:val="0"/>
                <w:numId w:val="4"/>
              </w:numPr>
              <w:tabs>
                <w:tab w:val="left" w:pos="1760"/>
              </w:tabs>
              <w:adjustRightInd w:val="0"/>
              <w:snapToGrid w:val="0"/>
              <w:spacing w:before="120" w:beforeLines="50"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根据建设单位提供的资料，对工件进行粉末喷涂的厚度约为250μm；</w:t>
            </w:r>
          </w:p>
          <w:p w14:paraId="5E3BF152">
            <w:pPr>
              <w:tabs>
                <w:tab w:val="left" w:pos="1760"/>
              </w:tabs>
              <w:adjustRightInd w:val="0"/>
              <w:snapToGrid w:val="0"/>
              <w:spacing w:before="120" w:beforeLines="50" w:line="360" w:lineRule="auto"/>
              <w:ind w:left="420" w:left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c、热固性粉末涂料密度取值为1.45</w:t>
            </w:r>
            <w:r>
              <w:rPr>
                <w:rFonts w:hint="default" w:ascii="Times New Roman" w:hAnsi="Times New Roman" w:cs="Times New Roman"/>
                <w:color w:val="auto"/>
                <w:sz w:val="24"/>
                <w:highlight w:val="none"/>
              </w:rPr>
              <w:t xml:space="preserve"> g/cm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kern w:val="0"/>
                <w:sz w:val="24"/>
                <w:highlight w:val="none"/>
              </w:rPr>
              <w:t>；</w:t>
            </w:r>
          </w:p>
          <w:p w14:paraId="3CA5ADD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d、喷粉房喷粉粉尘（未附着粉料）收集经</w:t>
            </w:r>
            <w:r>
              <w:rPr>
                <w:rFonts w:hint="default" w:ascii="Times New Roman" w:hAnsi="Times New Roman" w:cs="Times New Roman"/>
                <w:bCs/>
                <w:color w:val="auto"/>
                <w:sz w:val="24"/>
                <w:highlight w:val="none"/>
              </w:rPr>
              <w:t>滤筒式除尘装置处理后回用，收集效率为</w:t>
            </w:r>
            <w:r>
              <w:rPr>
                <w:rFonts w:hint="default" w:ascii="Times New Roman" w:hAnsi="Times New Roman" w:cs="Times New Roman"/>
                <w:color w:val="auto"/>
                <w:sz w:val="24"/>
                <w:highlight w:val="none"/>
              </w:rPr>
              <w:t>65%，</w:t>
            </w:r>
            <w:r>
              <w:rPr>
                <w:rFonts w:hint="default" w:ascii="Times New Roman" w:hAnsi="Times New Roman" w:cs="Times New Roman"/>
                <w:bCs/>
                <w:color w:val="auto"/>
                <w:sz w:val="24"/>
                <w:highlight w:val="none"/>
              </w:rPr>
              <w:t>滤筒式除尘装置</w:t>
            </w:r>
            <w:r>
              <w:rPr>
                <w:rFonts w:hint="default" w:ascii="Times New Roman" w:hAnsi="Times New Roman" w:cs="Times New Roman"/>
                <w:color w:val="auto"/>
                <w:sz w:val="24"/>
                <w:highlight w:val="none"/>
              </w:rPr>
              <w:t>处理效率</w:t>
            </w:r>
            <w:r>
              <w:rPr>
                <w:rFonts w:hint="default" w:ascii="Times New Roman" w:hAnsi="Times New Roman" w:cs="Times New Roman"/>
                <w:bCs/>
                <w:color w:val="auto"/>
                <w:sz w:val="24"/>
                <w:highlight w:val="none"/>
              </w:rPr>
              <w:t>为95%（</w:t>
            </w:r>
            <w:r>
              <w:rPr>
                <w:rFonts w:hint="default" w:ascii="Times New Roman" w:hAnsi="Times New Roman" w:cs="Times New Roman"/>
                <w:color w:val="auto"/>
                <w:sz w:val="24"/>
                <w:highlight w:val="none"/>
              </w:rPr>
              <w:t>见后文），即未附着粉料回用率为65%×95%=61.8%。</w:t>
            </w:r>
          </w:p>
          <w:p w14:paraId="3B0B86F2">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e、根据《广东省表面涂装(汽车制造业)挥发性有机废气治理技术指南》（粤环〔2015〕4号），静电喷涂涂料利用约为60~70%，利用率按70%计算。</w:t>
            </w:r>
          </w:p>
          <w:p w14:paraId="4444CA54">
            <w:pPr>
              <w:pStyle w:val="8"/>
              <w:ind w:firstLine="480"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本项目热固性粉末涂料使用量计算参数及计算结果详见下表。</w:t>
            </w:r>
          </w:p>
          <w:p w14:paraId="1E12DF3F">
            <w:pPr>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表2-</w:t>
            </w:r>
            <w:r>
              <w:rPr>
                <w:rFonts w:hint="default" w:ascii="Times New Roman" w:hAnsi="Times New Roman" w:cs="Times New Roman"/>
                <w:b/>
                <w:bCs/>
                <w:color w:val="auto"/>
                <w:sz w:val="24"/>
                <w:highlight w:val="none"/>
                <w:lang w:val="en-US" w:eastAsia="zh-CN"/>
              </w:rPr>
              <w:t>11</w:t>
            </w:r>
            <w:r>
              <w:rPr>
                <w:rFonts w:hint="default" w:ascii="Times New Roman" w:hAnsi="Times New Roman" w:cs="Times New Roman"/>
                <w:b/>
                <w:bCs/>
                <w:color w:val="auto"/>
                <w:sz w:val="24"/>
                <w:highlight w:val="none"/>
              </w:rPr>
              <w:t>项目热固性粉末涂料使用量计算参数及计算结果一览表</w:t>
            </w:r>
          </w:p>
          <w:tbl>
            <w:tblPr>
              <w:tblStyle w:val="26"/>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925"/>
              <w:gridCol w:w="870"/>
              <w:gridCol w:w="948"/>
              <w:gridCol w:w="1140"/>
              <w:gridCol w:w="1050"/>
              <w:gridCol w:w="855"/>
              <w:gridCol w:w="660"/>
              <w:gridCol w:w="961"/>
            </w:tblGrid>
            <w:tr w14:paraId="1442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958" w:type="dxa"/>
                  <w:vAlign w:val="center"/>
                </w:tcPr>
                <w:p w14:paraId="550B287C">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产品名称</w:t>
                  </w:r>
                </w:p>
              </w:tc>
              <w:tc>
                <w:tcPr>
                  <w:tcW w:w="925" w:type="dxa"/>
                  <w:vAlign w:val="center"/>
                </w:tcPr>
                <w:p w14:paraId="281D0A85">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产量（件）</w:t>
                  </w:r>
                </w:p>
              </w:tc>
              <w:tc>
                <w:tcPr>
                  <w:tcW w:w="870" w:type="dxa"/>
                  <w:vAlign w:val="center"/>
                </w:tcPr>
                <w:p w14:paraId="7D295240">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单件喷粉面积cm</w:t>
                  </w:r>
                  <w:r>
                    <w:rPr>
                      <w:rFonts w:hint="default" w:ascii="Times New Roman" w:hAnsi="Times New Roman" w:cs="Times New Roman"/>
                      <w:b/>
                      <w:bCs/>
                      <w:color w:val="auto"/>
                      <w:sz w:val="21"/>
                      <w:szCs w:val="21"/>
                      <w:highlight w:val="none"/>
                      <w:vertAlign w:val="superscript"/>
                    </w:rPr>
                    <w:t>2</w:t>
                  </w:r>
                </w:p>
              </w:tc>
              <w:tc>
                <w:tcPr>
                  <w:tcW w:w="948" w:type="dxa"/>
                  <w:vAlign w:val="center"/>
                </w:tcPr>
                <w:p w14:paraId="35455B76">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喷粉总表面积m</w:t>
                  </w:r>
                  <w:r>
                    <w:rPr>
                      <w:rFonts w:hint="default" w:ascii="Times New Roman" w:hAnsi="Times New Roman" w:cs="Times New Roman"/>
                      <w:b/>
                      <w:bCs/>
                      <w:color w:val="auto"/>
                      <w:sz w:val="21"/>
                      <w:szCs w:val="21"/>
                      <w:highlight w:val="none"/>
                      <w:vertAlign w:val="superscript"/>
                    </w:rPr>
                    <w:t>2</w:t>
                  </w:r>
                  <w:r>
                    <w:rPr>
                      <w:rFonts w:hint="default" w:ascii="Times New Roman" w:hAnsi="Times New Roman" w:cs="Times New Roman"/>
                      <w:b/>
                      <w:bCs/>
                      <w:color w:val="auto"/>
                      <w:sz w:val="21"/>
                      <w:szCs w:val="21"/>
                      <w:highlight w:val="none"/>
                    </w:rPr>
                    <w:t>/a</w:t>
                  </w:r>
                </w:p>
              </w:tc>
              <w:tc>
                <w:tcPr>
                  <w:tcW w:w="1140" w:type="dxa"/>
                  <w:vAlign w:val="center"/>
                </w:tcPr>
                <w:p w14:paraId="40D27B3C">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喷粉厚度</w:t>
                  </w:r>
                </w:p>
                <w:p w14:paraId="65CE7D91">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μm</w:t>
                  </w:r>
                </w:p>
              </w:tc>
              <w:tc>
                <w:tcPr>
                  <w:tcW w:w="1050" w:type="dxa"/>
                  <w:vAlign w:val="center"/>
                </w:tcPr>
                <w:p w14:paraId="3DB41C89">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喷粉密度g/ cm</w:t>
                  </w:r>
                  <w:r>
                    <w:rPr>
                      <w:rFonts w:hint="default" w:ascii="Times New Roman" w:hAnsi="Times New Roman" w:cs="Times New Roman"/>
                      <w:b/>
                      <w:bCs/>
                      <w:color w:val="auto"/>
                      <w:sz w:val="21"/>
                      <w:szCs w:val="21"/>
                      <w:highlight w:val="none"/>
                      <w:vertAlign w:val="superscript"/>
                    </w:rPr>
                    <w:t>3</w:t>
                  </w:r>
                </w:p>
              </w:tc>
              <w:tc>
                <w:tcPr>
                  <w:tcW w:w="855" w:type="dxa"/>
                  <w:vAlign w:val="center"/>
                </w:tcPr>
                <w:p w14:paraId="41B78D16">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利用率</w:t>
                  </w:r>
                </w:p>
                <w:p w14:paraId="39AC4C40">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w:t>
                  </w:r>
                </w:p>
              </w:tc>
              <w:tc>
                <w:tcPr>
                  <w:tcW w:w="660" w:type="dxa"/>
                  <w:vAlign w:val="center"/>
                </w:tcPr>
                <w:p w14:paraId="21F60320">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回用率%</w:t>
                  </w:r>
                </w:p>
              </w:tc>
              <w:tc>
                <w:tcPr>
                  <w:tcW w:w="961" w:type="dxa"/>
                  <w:vAlign w:val="center"/>
                </w:tcPr>
                <w:p w14:paraId="75E2AE3A">
                  <w:pPr>
                    <w:pStyle w:val="23"/>
                    <w:adjustRightInd w:val="0"/>
                    <w:snapToGrid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喷粉使用量t/a</w:t>
                  </w:r>
                </w:p>
              </w:tc>
            </w:tr>
            <w:tr w14:paraId="39C1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58" w:type="dxa"/>
                  <w:vAlign w:val="center"/>
                </w:tcPr>
                <w:p w14:paraId="6184CA14">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铸铁件</w:t>
                  </w:r>
                </w:p>
              </w:tc>
              <w:tc>
                <w:tcPr>
                  <w:tcW w:w="925" w:type="dxa"/>
                  <w:vAlign w:val="center"/>
                </w:tcPr>
                <w:p w14:paraId="3E495B66">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32000</w:t>
                  </w:r>
                </w:p>
              </w:tc>
              <w:tc>
                <w:tcPr>
                  <w:tcW w:w="870" w:type="dxa"/>
                  <w:shd w:val="clear" w:color="auto" w:fill="auto"/>
                  <w:vAlign w:val="center"/>
                </w:tcPr>
                <w:p w14:paraId="1F4434BE">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340</w:t>
                  </w:r>
                </w:p>
              </w:tc>
              <w:tc>
                <w:tcPr>
                  <w:tcW w:w="948" w:type="dxa"/>
                  <w:shd w:val="clear" w:color="auto" w:fill="auto"/>
                  <w:vAlign w:val="center"/>
                </w:tcPr>
                <w:p w14:paraId="16A82AF4">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1088</w:t>
                  </w:r>
                </w:p>
              </w:tc>
              <w:tc>
                <w:tcPr>
                  <w:tcW w:w="1140" w:type="dxa"/>
                  <w:vAlign w:val="center"/>
                </w:tcPr>
                <w:p w14:paraId="4C848285">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250</w:t>
                  </w:r>
                </w:p>
              </w:tc>
              <w:tc>
                <w:tcPr>
                  <w:tcW w:w="1050" w:type="dxa"/>
                  <w:vAlign w:val="center"/>
                </w:tcPr>
                <w:p w14:paraId="129004C8">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1.45</w:t>
                  </w:r>
                </w:p>
              </w:tc>
              <w:tc>
                <w:tcPr>
                  <w:tcW w:w="855" w:type="dxa"/>
                  <w:vAlign w:val="center"/>
                </w:tcPr>
                <w:p w14:paraId="3A1425AD">
                  <w:pPr>
                    <w:pStyle w:val="23"/>
                    <w:adjustRightInd w:val="0"/>
                    <w:snapToGrid w:val="0"/>
                    <w:spacing w:before="0" w:beforeAutospacing="0" w:after="0" w:afterAutospacing="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70</w:t>
                  </w:r>
                </w:p>
              </w:tc>
              <w:tc>
                <w:tcPr>
                  <w:tcW w:w="660" w:type="dxa"/>
                  <w:vAlign w:val="center"/>
                </w:tcPr>
                <w:p w14:paraId="31F64074">
                  <w:pPr>
                    <w:pStyle w:val="23"/>
                    <w:adjustRightInd w:val="0"/>
                    <w:snapToGrid w:val="0"/>
                    <w:spacing w:before="0" w:beforeAutospacing="0" w:after="0" w:afterAutospacing="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61.8</w:t>
                  </w:r>
                </w:p>
              </w:tc>
              <w:tc>
                <w:tcPr>
                  <w:tcW w:w="961" w:type="dxa"/>
                  <w:vAlign w:val="center"/>
                </w:tcPr>
                <w:p w14:paraId="4F137D7A">
                  <w:pPr>
                    <w:widowControl/>
                    <w:jc w:val="center"/>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0.430</w:t>
                  </w:r>
                </w:p>
              </w:tc>
            </w:tr>
            <w:tr w14:paraId="1F95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8" w:type="dxa"/>
                  <w:vAlign w:val="center"/>
                </w:tcPr>
                <w:p w14:paraId="536E79C3">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铸铁件</w:t>
                  </w:r>
                </w:p>
              </w:tc>
              <w:tc>
                <w:tcPr>
                  <w:tcW w:w="925" w:type="dxa"/>
                  <w:vAlign w:val="center"/>
                </w:tcPr>
                <w:p w14:paraId="5042038F">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40000</w:t>
                  </w:r>
                </w:p>
              </w:tc>
              <w:tc>
                <w:tcPr>
                  <w:tcW w:w="870" w:type="dxa"/>
                  <w:vAlign w:val="center"/>
                </w:tcPr>
                <w:p w14:paraId="0F8F5700">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370</w:t>
                  </w:r>
                </w:p>
              </w:tc>
              <w:tc>
                <w:tcPr>
                  <w:tcW w:w="948" w:type="dxa"/>
                  <w:vAlign w:val="center"/>
                </w:tcPr>
                <w:p w14:paraId="09094A82">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1480</w:t>
                  </w:r>
                </w:p>
              </w:tc>
              <w:tc>
                <w:tcPr>
                  <w:tcW w:w="1140" w:type="dxa"/>
                  <w:vAlign w:val="center"/>
                </w:tcPr>
                <w:p w14:paraId="447C16D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250</w:t>
                  </w:r>
                </w:p>
              </w:tc>
              <w:tc>
                <w:tcPr>
                  <w:tcW w:w="1050" w:type="dxa"/>
                  <w:vAlign w:val="center"/>
                </w:tcPr>
                <w:p w14:paraId="6785507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1.45</w:t>
                  </w:r>
                </w:p>
              </w:tc>
              <w:tc>
                <w:tcPr>
                  <w:tcW w:w="855" w:type="dxa"/>
                  <w:vAlign w:val="center"/>
                </w:tcPr>
                <w:p w14:paraId="006C793E">
                  <w:pPr>
                    <w:pStyle w:val="23"/>
                    <w:adjustRightInd w:val="0"/>
                    <w:snapToGrid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70</w:t>
                  </w:r>
                </w:p>
              </w:tc>
              <w:tc>
                <w:tcPr>
                  <w:tcW w:w="660" w:type="dxa"/>
                  <w:vAlign w:val="center"/>
                </w:tcPr>
                <w:p w14:paraId="5C73DFBE">
                  <w:pPr>
                    <w:pStyle w:val="23"/>
                    <w:adjustRightInd w:val="0"/>
                    <w:snapToGrid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61.8</w:t>
                  </w:r>
                </w:p>
              </w:tc>
              <w:tc>
                <w:tcPr>
                  <w:tcW w:w="961" w:type="dxa"/>
                  <w:vAlign w:val="center"/>
                </w:tcPr>
                <w:p w14:paraId="645B59E8">
                  <w:pPr>
                    <w:widowControl/>
                    <w:jc w:val="center"/>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0.586</w:t>
                  </w:r>
                </w:p>
              </w:tc>
            </w:tr>
            <w:tr w14:paraId="3553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8" w:type="dxa"/>
                  <w:vAlign w:val="center"/>
                </w:tcPr>
                <w:p w14:paraId="356442B4">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铸铁件</w:t>
                  </w:r>
                </w:p>
              </w:tc>
              <w:tc>
                <w:tcPr>
                  <w:tcW w:w="925" w:type="dxa"/>
                  <w:vAlign w:val="center"/>
                </w:tcPr>
                <w:p w14:paraId="625FC523">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45000</w:t>
                  </w:r>
                </w:p>
              </w:tc>
              <w:tc>
                <w:tcPr>
                  <w:tcW w:w="870" w:type="dxa"/>
                  <w:vAlign w:val="center"/>
                </w:tcPr>
                <w:p w14:paraId="0F1AB013">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315</w:t>
                  </w:r>
                </w:p>
              </w:tc>
              <w:tc>
                <w:tcPr>
                  <w:tcW w:w="948" w:type="dxa"/>
                  <w:vAlign w:val="center"/>
                </w:tcPr>
                <w:p w14:paraId="0DE19303">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1417.5</w:t>
                  </w:r>
                </w:p>
              </w:tc>
              <w:tc>
                <w:tcPr>
                  <w:tcW w:w="1140" w:type="dxa"/>
                  <w:vAlign w:val="center"/>
                </w:tcPr>
                <w:p w14:paraId="21D17FD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250</w:t>
                  </w:r>
                </w:p>
              </w:tc>
              <w:tc>
                <w:tcPr>
                  <w:tcW w:w="1050" w:type="dxa"/>
                  <w:vAlign w:val="center"/>
                </w:tcPr>
                <w:p w14:paraId="7D22BD0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1.45</w:t>
                  </w:r>
                </w:p>
              </w:tc>
              <w:tc>
                <w:tcPr>
                  <w:tcW w:w="855" w:type="dxa"/>
                  <w:vAlign w:val="center"/>
                </w:tcPr>
                <w:p w14:paraId="38BA0EBB">
                  <w:pPr>
                    <w:pStyle w:val="23"/>
                    <w:adjustRightInd w:val="0"/>
                    <w:snapToGrid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70</w:t>
                  </w:r>
                </w:p>
              </w:tc>
              <w:tc>
                <w:tcPr>
                  <w:tcW w:w="660" w:type="dxa"/>
                  <w:vAlign w:val="center"/>
                </w:tcPr>
                <w:p w14:paraId="54D3F27A">
                  <w:pPr>
                    <w:pStyle w:val="23"/>
                    <w:adjustRightInd w:val="0"/>
                    <w:snapToGrid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61.8</w:t>
                  </w:r>
                </w:p>
              </w:tc>
              <w:tc>
                <w:tcPr>
                  <w:tcW w:w="961" w:type="dxa"/>
                  <w:vAlign w:val="center"/>
                </w:tcPr>
                <w:p w14:paraId="620A044A">
                  <w:pPr>
                    <w:widowControl/>
                    <w:jc w:val="center"/>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0.561</w:t>
                  </w:r>
                </w:p>
              </w:tc>
            </w:tr>
            <w:tr w14:paraId="4BBB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8" w:type="dxa"/>
                  <w:vAlign w:val="center"/>
                </w:tcPr>
                <w:p w14:paraId="5F67EF8B">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铸碳钢件</w:t>
                  </w:r>
                </w:p>
              </w:tc>
              <w:tc>
                <w:tcPr>
                  <w:tcW w:w="925" w:type="dxa"/>
                  <w:vAlign w:val="center"/>
                </w:tcPr>
                <w:p w14:paraId="315D9B1D">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15000</w:t>
                  </w:r>
                </w:p>
              </w:tc>
              <w:tc>
                <w:tcPr>
                  <w:tcW w:w="870" w:type="dxa"/>
                  <w:shd w:val="clear" w:color="auto" w:fill="auto"/>
                  <w:vAlign w:val="center"/>
                </w:tcPr>
                <w:p w14:paraId="6F14656C">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310</w:t>
                  </w:r>
                </w:p>
              </w:tc>
              <w:tc>
                <w:tcPr>
                  <w:tcW w:w="948" w:type="dxa"/>
                  <w:shd w:val="clear" w:color="auto" w:fill="auto"/>
                  <w:vAlign w:val="center"/>
                </w:tcPr>
                <w:p w14:paraId="7C83E1C8">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465</w:t>
                  </w:r>
                </w:p>
              </w:tc>
              <w:tc>
                <w:tcPr>
                  <w:tcW w:w="1140" w:type="dxa"/>
                  <w:vAlign w:val="center"/>
                </w:tcPr>
                <w:p w14:paraId="6A79B81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250</w:t>
                  </w:r>
                </w:p>
              </w:tc>
              <w:tc>
                <w:tcPr>
                  <w:tcW w:w="1050" w:type="dxa"/>
                  <w:vAlign w:val="center"/>
                </w:tcPr>
                <w:p w14:paraId="5A98C6C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1.45</w:t>
                  </w:r>
                </w:p>
              </w:tc>
              <w:tc>
                <w:tcPr>
                  <w:tcW w:w="855" w:type="dxa"/>
                  <w:vAlign w:val="center"/>
                </w:tcPr>
                <w:p w14:paraId="320F0B33">
                  <w:pPr>
                    <w:pStyle w:val="23"/>
                    <w:adjustRightInd w:val="0"/>
                    <w:snapToGrid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70</w:t>
                  </w:r>
                </w:p>
              </w:tc>
              <w:tc>
                <w:tcPr>
                  <w:tcW w:w="660" w:type="dxa"/>
                  <w:vAlign w:val="center"/>
                </w:tcPr>
                <w:p w14:paraId="062D78E0">
                  <w:pPr>
                    <w:pStyle w:val="23"/>
                    <w:adjustRightInd w:val="0"/>
                    <w:snapToGrid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61.8</w:t>
                  </w:r>
                </w:p>
              </w:tc>
              <w:tc>
                <w:tcPr>
                  <w:tcW w:w="961" w:type="dxa"/>
                  <w:vAlign w:val="center"/>
                </w:tcPr>
                <w:p w14:paraId="1982D895">
                  <w:pPr>
                    <w:widowControl/>
                    <w:jc w:val="center"/>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0.184</w:t>
                  </w:r>
                </w:p>
              </w:tc>
            </w:tr>
            <w:tr w14:paraId="397D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8" w:type="dxa"/>
                  <w:vAlign w:val="center"/>
                </w:tcPr>
                <w:p w14:paraId="75995244">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铸碳钢件</w:t>
                  </w:r>
                </w:p>
              </w:tc>
              <w:tc>
                <w:tcPr>
                  <w:tcW w:w="925" w:type="dxa"/>
                  <w:vAlign w:val="center"/>
                </w:tcPr>
                <w:p w14:paraId="15F6004E">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8000</w:t>
                  </w:r>
                </w:p>
              </w:tc>
              <w:tc>
                <w:tcPr>
                  <w:tcW w:w="870" w:type="dxa"/>
                  <w:vAlign w:val="center"/>
                </w:tcPr>
                <w:p w14:paraId="19765EB8">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290</w:t>
                  </w:r>
                </w:p>
              </w:tc>
              <w:tc>
                <w:tcPr>
                  <w:tcW w:w="948" w:type="dxa"/>
                  <w:vAlign w:val="center"/>
                </w:tcPr>
                <w:p w14:paraId="6D1C7D07">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232</w:t>
                  </w:r>
                </w:p>
              </w:tc>
              <w:tc>
                <w:tcPr>
                  <w:tcW w:w="1140" w:type="dxa"/>
                  <w:vAlign w:val="center"/>
                </w:tcPr>
                <w:p w14:paraId="78F55A9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250</w:t>
                  </w:r>
                </w:p>
              </w:tc>
              <w:tc>
                <w:tcPr>
                  <w:tcW w:w="1050" w:type="dxa"/>
                  <w:vAlign w:val="center"/>
                </w:tcPr>
                <w:p w14:paraId="77A260F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1.45</w:t>
                  </w:r>
                </w:p>
              </w:tc>
              <w:tc>
                <w:tcPr>
                  <w:tcW w:w="855" w:type="dxa"/>
                  <w:vAlign w:val="center"/>
                </w:tcPr>
                <w:p w14:paraId="2B6E265E">
                  <w:pPr>
                    <w:pStyle w:val="23"/>
                    <w:adjustRightInd w:val="0"/>
                    <w:snapToGrid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70</w:t>
                  </w:r>
                </w:p>
              </w:tc>
              <w:tc>
                <w:tcPr>
                  <w:tcW w:w="660" w:type="dxa"/>
                  <w:vAlign w:val="center"/>
                </w:tcPr>
                <w:p w14:paraId="3BC2A0C4">
                  <w:pPr>
                    <w:pStyle w:val="23"/>
                    <w:adjustRightInd w:val="0"/>
                    <w:snapToGrid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61.8</w:t>
                  </w:r>
                </w:p>
              </w:tc>
              <w:tc>
                <w:tcPr>
                  <w:tcW w:w="961" w:type="dxa"/>
                  <w:vAlign w:val="center"/>
                </w:tcPr>
                <w:p w14:paraId="349E5705">
                  <w:pPr>
                    <w:widowControl/>
                    <w:jc w:val="center"/>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0.092</w:t>
                  </w:r>
                </w:p>
              </w:tc>
            </w:tr>
            <w:tr w14:paraId="3421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8" w:type="dxa"/>
                  <w:vAlign w:val="center"/>
                </w:tcPr>
                <w:p w14:paraId="12AD6A77">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铸碳钢件</w:t>
                  </w:r>
                </w:p>
              </w:tc>
              <w:tc>
                <w:tcPr>
                  <w:tcW w:w="925" w:type="dxa"/>
                  <w:vAlign w:val="center"/>
                </w:tcPr>
                <w:p w14:paraId="21DA1B58">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20180</w:t>
                  </w:r>
                </w:p>
              </w:tc>
              <w:tc>
                <w:tcPr>
                  <w:tcW w:w="870" w:type="dxa"/>
                  <w:vAlign w:val="center"/>
                </w:tcPr>
                <w:p w14:paraId="4757B6B7">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180</w:t>
                  </w:r>
                </w:p>
              </w:tc>
              <w:tc>
                <w:tcPr>
                  <w:tcW w:w="948" w:type="dxa"/>
                  <w:vAlign w:val="center"/>
                </w:tcPr>
                <w:p w14:paraId="0B0969B8">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bidi="ar"/>
                    </w:rPr>
                    <w:t>363.24</w:t>
                  </w:r>
                </w:p>
              </w:tc>
              <w:tc>
                <w:tcPr>
                  <w:tcW w:w="1140" w:type="dxa"/>
                  <w:vAlign w:val="center"/>
                </w:tcPr>
                <w:p w14:paraId="0329662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250</w:t>
                  </w:r>
                </w:p>
              </w:tc>
              <w:tc>
                <w:tcPr>
                  <w:tcW w:w="1050" w:type="dxa"/>
                  <w:vAlign w:val="center"/>
                </w:tcPr>
                <w:p w14:paraId="6640A36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1.45</w:t>
                  </w:r>
                </w:p>
              </w:tc>
              <w:tc>
                <w:tcPr>
                  <w:tcW w:w="855" w:type="dxa"/>
                  <w:vAlign w:val="center"/>
                </w:tcPr>
                <w:p w14:paraId="58C8CFCD">
                  <w:pPr>
                    <w:pStyle w:val="23"/>
                    <w:adjustRightInd w:val="0"/>
                    <w:snapToGrid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70</w:t>
                  </w:r>
                </w:p>
              </w:tc>
              <w:tc>
                <w:tcPr>
                  <w:tcW w:w="660" w:type="dxa"/>
                  <w:vAlign w:val="center"/>
                </w:tcPr>
                <w:p w14:paraId="2AD8DD37">
                  <w:pPr>
                    <w:pStyle w:val="23"/>
                    <w:adjustRightInd w:val="0"/>
                    <w:snapToGrid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61.8</w:t>
                  </w:r>
                </w:p>
              </w:tc>
              <w:tc>
                <w:tcPr>
                  <w:tcW w:w="961" w:type="dxa"/>
                  <w:vAlign w:val="center"/>
                </w:tcPr>
                <w:p w14:paraId="5CAB567A">
                  <w:pPr>
                    <w:widowControl/>
                    <w:jc w:val="center"/>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0.144</w:t>
                  </w:r>
                </w:p>
              </w:tc>
            </w:tr>
            <w:tr w14:paraId="5CBE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406" w:type="dxa"/>
                  <w:gridSpan w:val="8"/>
                  <w:vAlign w:val="center"/>
                </w:tcPr>
                <w:p w14:paraId="039786D9">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18"/>
                      <w:szCs w:val="18"/>
                      <w:highlight w:val="none"/>
                      <w:lang w:bidi="ar"/>
                    </w:rPr>
                    <w:t>热固性粉末涂料用量合计1.997t/a</w:t>
                  </w:r>
                </w:p>
              </w:tc>
              <w:tc>
                <w:tcPr>
                  <w:tcW w:w="961" w:type="dxa"/>
                  <w:vAlign w:val="center"/>
                </w:tcPr>
                <w:p w14:paraId="671CF3B8">
                  <w:pPr>
                    <w:widowControl/>
                    <w:jc w:val="center"/>
                    <w:textAlignment w:val="center"/>
                    <w:rPr>
                      <w:rFonts w:hint="default" w:ascii="Times New Roman" w:hAnsi="Times New Roman" w:cs="Times New Roman"/>
                      <w:color w:val="auto"/>
                      <w:kern w:val="0"/>
                      <w:sz w:val="18"/>
                      <w:szCs w:val="18"/>
                      <w:highlight w:val="none"/>
                      <w:lang w:bidi="ar"/>
                    </w:rPr>
                  </w:pPr>
                  <w:r>
                    <w:rPr>
                      <w:rFonts w:hint="default" w:ascii="Times New Roman" w:hAnsi="Times New Roman" w:cs="Times New Roman"/>
                      <w:color w:val="auto"/>
                      <w:kern w:val="0"/>
                      <w:sz w:val="18"/>
                      <w:szCs w:val="18"/>
                      <w:highlight w:val="none"/>
                      <w:lang w:bidi="ar"/>
                    </w:rPr>
                    <w:t>1.997</w:t>
                  </w:r>
                </w:p>
              </w:tc>
            </w:tr>
          </w:tbl>
          <w:p w14:paraId="1CBABE55">
            <w:pPr>
              <w:pStyle w:val="8"/>
              <w:spacing w:line="360" w:lineRule="auto"/>
              <w:ind w:firstLine="482" w:firstLineChars="20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7、劳动定员及工作制度</w:t>
            </w:r>
          </w:p>
          <w:p w14:paraId="43248770">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原项目一期、二期、三期共劳动定员76人，</w:t>
            </w:r>
            <w:r>
              <w:rPr>
                <w:rFonts w:hint="default" w:ascii="Times New Roman" w:hAnsi="Times New Roman" w:cs="Times New Roman"/>
                <w:color w:val="auto"/>
                <w:sz w:val="24"/>
                <w:highlight w:val="none"/>
              </w:rPr>
              <w:t>本项目从原项目调配人员，不新增员工。本项目工作制度为全年工作300天，每天三班，每班工作8小时</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厂内不提供住宿，由饭堂提供一餐</w:t>
            </w:r>
            <w:r>
              <w:rPr>
                <w:rFonts w:hint="default" w:ascii="Times New Roman" w:hAnsi="Times New Roman" w:cs="Times New Roman"/>
                <w:color w:val="auto"/>
                <w:sz w:val="24"/>
                <w:highlight w:val="none"/>
              </w:rPr>
              <w:t>。</w:t>
            </w:r>
          </w:p>
          <w:p w14:paraId="6B6CB53E">
            <w:pPr>
              <w:adjustRightInd w:val="0"/>
              <w:snapToGrid w:val="0"/>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8、给排水及水平衡</w:t>
            </w:r>
          </w:p>
          <w:p w14:paraId="4471F865">
            <w:pPr>
              <w:numPr>
                <w:ilvl w:val="0"/>
                <w:numId w:val="5"/>
              </w:numPr>
              <w:adjustRightInd w:val="0"/>
              <w:snapToGrid w:val="0"/>
              <w:spacing w:line="360" w:lineRule="auto"/>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给水</w:t>
            </w:r>
          </w:p>
          <w:p w14:paraId="635311AE">
            <w:pPr>
              <w:widowControl/>
              <w:spacing w:line="360" w:lineRule="auto"/>
              <w:ind w:firstLine="48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①本项目给水</w:t>
            </w:r>
          </w:p>
          <w:p w14:paraId="04DA3BFF">
            <w:pPr>
              <w:widowControl/>
              <w:spacing w:line="360" w:lineRule="auto"/>
              <w:ind w:firstLine="48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本项目用水包括</w:t>
            </w:r>
            <w:r>
              <w:rPr>
                <w:rFonts w:hint="default" w:ascii="Times New Roman" w:hAnsi="Times New Roman" w:cs="Times New Roman"/>
                <w:color w:val="auto"/>
                <w:sz w:val="24"/>
                <w:szCs w:val="24"/>
                <w:highlight w:val="none"/>
                <w:lang w:val="en-US" w:eastAsia="zh-CN"/>
              </w:rPr>
              <w:t>生产用水（</w:t>
            </w:r>
            <w:r>
              <w:rPr>
                <w:rFonts w:hint="default" w:ascii="Times New Roman" w:hAnsi="Times New Roman" w:cs="Times New Roman"/>
                <w:color w:val="auto"/>
                <w:sz w:val="24"/>
                <w:highlight w:val="none"/>
              </w:rPr>
              <w:t>水帘柜用水</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，用水由市政管网供给，本项目从原项目调配人员，不新增员工，不新增生活用水。</w:t>
            </w:r>
          </w:p>
          <w:p w14:paraId="433C5BCF">
            <w:pPr>
              <w:adjustRightInd w:val="0"/>
              <w:snapToGrid w:val="0"/>
              <w:spacing w:before="120" w:beforeLines="50" w:line="360" w:lineRule="auto"/>
              <w:ind w:firstLine="440" w:firstLineChars="200"/>
              <w:rPr>
                <w:rFonts w:hint="default" w:ascii="Times New Roman" w:hAnsi="Times New Roman" w:cs="Times New Roman"/>
                <w:color w:val="auto"/>
                <w:highlight w:val="none"/>
              </w:rPr>
            </w:pPr>
            <w:r>
              <w:rPr>
                <w:rFonts w:hint="default" w:ascii="Times New Roman" w:hAnsi="Times New Roman" w:cs="Times New Roman"/>
                <w:bCs/>
                <w:color w:val="auto"/>
                <w:spacing w:val="-10"/>
                <w:sz w:val="24"/>
                <w:highlight w:val="none"/>
              </w:rPr>
              <w:t>本项目喷漆产生的漆雾采用水喷淋方式处理，根据建设单位提供的资料，本项目设置1个水帘柜喷漆，水帘柜的尺寸为长2.5m×宽2.5m，有效水深均为0.3m，则水帘柜总有效容积为1.875 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，该部分水循环使用，小时循环次数为6次，则水帘柜内总循环水量为11.25m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/h，循环过程中会蒸发部分水，根据同类项目运行经验，一般循环水蒸发水量为循环总水量的1%，项目喷涂工序每天约作业</w:t>
            </w:r>
            <w:r>
              <w:rPr>
                <w:rFonts w:hint="default" w:ascii="Times New Roman" w:hAnsi="Times New Roman" w:cs="Times New Roman"/>
                <w:bCs/>
                <w:color w:val="auto"/>
                <w:spacing w:val="-10"/>
                <w:sz w:val="24"/>
                <w:highlight w:val="none"/>
                <w:lang w:val="en-US" w:eastAsia="zh-CN"/>
              </w:rPr>
              <w:t>10</w:t>
            </w:r>
            <w:r>
              <w:rPr>
                <w:rFonts w:hint="default" w:ascii="Times New Roman" w:hAnsi="Times New Roman" w:cs="Times New Roman"/>
                <w:bCs/>
                <w:color w:val="auto"/>
                <w:spacing w:val="-10"/>
                <w:sz w:val="24"/>
                <w:highlight w:val="none"/>
              </w:rPr>
              <w:t>小时，年工作300天，即蒸发水量为</w:t>
            </w:r>
            <w:r>
              <w:rPr>
                <w:rFonts w:hint="default" w:ascii="Times New Roman" w:hAnsi="Times New Roman" w:cs="Times New Roman"/>
                <w:bCs/>
                <w:color w:val="auto"/>
                <w:spacing w:val="-10"/>
                <w:sz w:val="24"/>
                <w:highlight w:val="none"/>
                <w:lang w:val="en-US" w:eastAsia="zh-CN"/>
              </w:rPr>
              <w:t>337.5</w:t>
            </w:r>
            <w:r>
              <w:rPr>
                <w:rFonts w:hint="default" w:ascii="Times New Roman" w:hAnsi="Times New Roman" w:cs="Times New Roman"/>
                <w:bCs/>
                <w:color w:val="auto"/>
                <w:spacing w:val="-10"/>
                <w:sz w:val="24"/>
                <w:highlight w:val="none"/>
              </w:rPr>
              <w:t>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/a（</w:t>
            </w:r>
            <w:r>
              <w:rPr>
                <w:rFonts w:hint="default" w:ascii="Times New Roman" w:hAnsi="Times New Roman" w:cs="Times New Roman"/>
                <w:bCs/>
                <w:color w:val="auto"/>
                <w:spacing w:val="-10"/>
                <w:sz w:val="24"/>
                <w:highlight w:val="none"/>
                <w:lang w:val="en-US" w:eastAsia="zh-CN"/>
              </w:rPr>
              <w:t>1.125</w:t>
            </w:r>
            <w:r>
              <w:rPr>
                <w:rFonts w:hint="default" w:ascii="Times New Roman" w:hAnsi="Times New Roman" w:cs="Times New Roman"/>
                <w:bCs/>
                <w:color w:val="auto"/>
                <w:spacing w:val="-10"/>
                <w:sz w:val="24"/>
                <w:highlight w:val="none"/>
              </w:rPr>
              <w:t>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d）。喷漆用水经沉淀后形成渣，漆渣定期打捞后交由有资质单位处置，清理漆渣后水帘柜用水循环使用。但该循环水在不断的循环使用过程中，污染物浓度不断升高，为维持废气的处理效率，水帘柜用水每季度更换一次，每次更换废水产生量约为1.875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（水箱容积），则更换的废水年产生量为7.5m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/a（0.025m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/d）。因此，水帘柜用水量为</w:t>
            </w:r>
            <w:r>
              <w:rPr>
                <w:rFonts w:hint="default" w:ascii="Times New Roman" w:hAnsi="Times New Roman" w:cs="Times New Roman"/>
                <w:bCs/>
                <w:color w:val="auto"/>
                <w:spacing w:val="-10"/>
                <w:sz w:val="24"/>
                <w:highlight w:val="none"/>
                <w:lang w:val="en-US" w:eastAsia="zh-CN"/>
              </w:rPr>
              <w:t>345</w:t>
            </w:r>
            <w:r>
              <w:rPr>
                <w:rFonts w:hint="default" w:ascii="Times New Roman" w:hAnsi="Times New Roman" w:cs="Times New Roman"/>
                <w:bCs/>
                <w:color w:val="auto"/>
                <w:spacing w:val="-10"/>
                <w:sz w:val="24"/>
                <w:highlight w:val="none"/>
              </w:rPr>
              <w:t>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/a（</w:t>
            </w:r>
            <w:r>
              <w:rPr>
                <w:rFonts w:hint="default" w:ascii="Times New Roman" w:hAnsi="Times New Roman" w:cs="Times New Roman"/>
                <w:bCs/>
                <w:color w:val="auto"/>
                <w:spacing w:val="-10"/>
                <w:sz w:val="24"/>
                <w:highlight w:val="none"/>
                <w:lang w:val="en-US" w:eastAsia="zh-CN"/>
              </w:rPr>
              <w:t>337.5</w:t>
            </w:r>
            <w:r>
              <w:rPr>
                <w:rFonts w:hint="default" w:ascii="Times New Roman" w:hAnsi="Times New Roman" w:cs="Times New Roman"/>
                <w:bCs/>
                <w:color w:val="auto"/>
                <w:spacing w:val="-10"/>
                <w:sz w:val="24"/>
                <w:highlight w:val="none"/>
              </w:rPr>
              <w:t>+7.5=</w:t>
            </w:r>
            <w:r>
              <w:rPr>
                <w:rFonts w:hint="default" w:ascii="Times New Roman" w:hAnsi="Times New Roman" w:cs="Times New Roman"/>
                <w:bCs/>
                <w:color w:val="auto"/>
                <w:spacing w:val="-10"/>
                <w:sz w:val="24"/>
                <w:highlight w:val="none"/>
                <w:lang w:val="en-US" w:eastAsia="zh-CN"/>
              </w:rPr>
              <w:t>345</w:t>
            </w:r>
            <w:r>
              <w:rPr>
                <w:rFonts w:hint="default" w:ascii="Times New Roman" w:hAnsi="Times New Roman" w:cs="Times New Roman"/>
                <w:bCs/>
                <w:color w:val="auto"/>
                <w:spacing w:val="-10"/>
                <w:sz w:val="24"/>
                <w:highlight w:val="none"/>
              </w:rPr>
              <w:t>）（</w:t>
            </w:r>
            <w:r>
              <w:rPr>
                <w:rFonts w:hint="default" w:ascii="Times New Roman" w:hAnsi="Times New Roman" w:cs="Times New Roman"/>
                <w:bCs/>
                <w:color w:val="auto"/>
                <w:spacing w:val="-10"/>
                <w:sz w:val="24"/>
                <w:highlight w:val="none"/>
                <w:lang w:val="en-US" w:eastAsia="zh-CN"/>
              </w:rPr>
              <w:t>1.15</w:t>
            </w:r>
            <w:r>
              <w:rPr>
                <w:rFonts w:hint="default" w:ascii="Times New Roman" w:hAnsi="Times New Roman" w:cs="Times New Roman"/>
                <w:bCs/>
                <w:color w:val="auto"/>
                <w:spacing w:val="-10"/>
                <w:sz w:val="24"/>
                <w:highlight w:val="none"/>
              </w:rPr>
              <w:t>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/d），水帘柜废水产生量为</w:t>
            </w:r>
            <w:r>
              <w:rPr>
                <w:rFonts w:hint="default" w:ascii="Times New Roman" w:hAnsi="Times New Roman" w:cs="Times New Roman"/>
                <w:bCs/>
                <w:color w:val="auto"/>
                <w:spacing w:val="-10"/>
                <w:sz w:val="24"/>
                <w:highlight w:val="none"/>
                <w:lang w:val="en-US" w:eastAsia="zh-CN"/>
              </w:rPr>
              <w:t>7.5</w:t>
            </w:r>
            <w:r>
              <w:rPr>
                <w:rFonts w:hint="default" w:ascii="Times New Roman" w:hAnsi="Times New Roman" w:cs="Times New Roman"/>
                <w:bCs/>
                <w:color w:val="auto"/>
                <w:spacing w:val="-10"/>
                <w:sz w:val="24"/>
                <w:highlight w:val="none"/>
              </w:rPr>
              <w:t>t/a（0.025t/d），废水采用塑料桶收集后按危险废物贮存，定期委托有危废处置资质的单位进行处置。</w:t>
            </w:r>
          </w:p>
          <w:p w14:paraId="7D9AFA8C">
            <w:pPr>
              <w:pStyle w:val="11"/>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②原项目给水</w:t>
            </w:r>
          </w:p>
          <w:p w14:paraId="35819F82">
            <w:pPr>
              <w:widowControl/>
              <w:spacing w:line="360" w:lineRule="auto"/>
              <w:ind w:firstLine="480"/>
              <w:jc w:val="left"/>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szCs w:val="24"/>
                <w:highlight w:val="none"/>
                <w:lang w:val="en-US" w:eastAsia="zh-CN"/>
              </w:rPr>
              <w:t>原项目用水主要为生活用水、生产用水（铸造冷却用水、型砂制作用水、涂料配制用水），原项目生活用水量为1824</w:t>
            </w:r>
            <w:r>
              <w:rPr>
                <w:rFonts w:hint="default" w:ascii="Times New Roman" w:hAnsi="Times New Roman" w:cs="Times New Roman"/>
                <w:color w:val="auto"/>
                <w:sz w:val="24"/>
                <w:highlight w:val="none"/>
              </w:rPr>
              <w:t>m³/a（</w:t>
            </w:r>
            <w:r>
              <w:rPr>
                <w:rFonts w:hint="default" w:ascii="Times New Roman" w:hAnsi="Times New Roman" w:cs="Times New Roman"/>
                <w:color w:val="auto"/>
                <w:sz w:val="24"/>
                <w:highlight w:val="none"/>
                <w:lang w:val="en-US" w:eastAsia="zh-CN"/>
              </w:rPr>
              <w:t>6.08</w:t>
            </w:r>
            <w:r>
              <w:rPr>
                <w:rFonts w:hint="default" w:ascii="Times New Roman" w:hAnsi="Times New Roman" w:eastAsia="仿宋_GB2312" w:cs="Times New Roman"/>
                <w:color w:val="auto"/>
                <w:sz w:val="24"/>
                <w:highlight w:val="none"/>
              </w:rPr>
              <w:t>m</w:t>
            </w:r>
            <w:r>
              <w:rPr>
                <w:rFonts w:hint="default" w:ascii="Times New Roman" w:hAnsi="Times New Roman" w:eastAsia="仿宋_GB2312" w:cs="Times New Roman"/>
                <w:color w:val="auto"/>
                <w:sz w:val="24"/>
                <w:highlight w:val="none"/>
                <w:vertAlign w:val="superscript"/>
              </w:rPr>
              <w:t>3</w:t>
            </w:r>
            <w:r>
              <w:rPr>
                <w:rFonts w:hint="default" w:ascii="Times New Roman" w:hAnsi="Times New Roman" w:cs="Times New Roman"/>
                <w:color w:val="auto"/>
                <w:sz w:val="24"/>
                <w:highlight w:val="none"/>
              </w:rPr>
              <w:t>/d）</w:t>
            </w:r>
            <w:r>
              <w:rPr>
                <w:rFonts w:hint="default" w:ascii="Times New Roman" w:hAnsi="Times New Roman" w:cs="Times New Roman"/>
                <w:color w:val="auto"/>
                <w:sz w:val="24"/>
                <w:highlight w:val="none"/>
                <w:lang w:bidi="ar"/>
              </w:rPr>
              <w:t>（按300天计）</w:t>
            </w:r>
            <w:r>
              <w:rPr>
                <w:rFonts w:hint="default" w:ascii="Times New Roman" w:hAnsi="Times New Roman" w:cs="Times New Roman"/>
                <w:color w:val="auto"/>
                <w:sz w:val="24"/>
                <w:highlight w:val="none"/>
                <w:lang w:eastAsia="zh-CN" w:bidi="ar"/>
              </w:rPr>
              <w:t>，</w:t>
            </w:r>
            <w:r>
              <w:rPr>
                <w:rFonts w:hint="default" w:ascii="Times New Roman" w:hAnsi="Times New Roman" w:cs="Times New Roman"/>
                <w:color w:val="auto"/>
                <w:sz w:val="24"/>
                <w:highlight w:val="none"/>
                <w:lang w:val="en-US" w:eastAsia="zh-CN" w:bidi="ar"/>
              </w:rPr>
              <w:t>根据建设单位提供资料，</w:t>
            </w:r>
            <w:r>
              <w:rPr>
                <w:rFonts w:hint="default" w:ascii="Times New Roman" w:hAnsi="Times New Roman" w:cs="Times New Roman"/>
                <w:color w:val="auto"/>
                <w:sz w:val="24"/>
                <w:szCs w:val="24"/>
                <w:highlight w:val="none"/>
                <w:lang w:val="en-US" w:eastAsia="zh-CN"/>
              </w:rPr>
              <w:t>生产用水（铸造冷却用水、型砂制作用水、涂料配制用水）合计1500</w:t>
            </w:r>
            <w:r>
              <w:rPr>
                <w:rFonts w:hint="default" w:ascii="Times New Roman" w:hAnsi="Times New Roman" w:cs="Times New Roman"/>
                <w:color w:val="auto"/>
                <w:sz w:val="24"/>
                <w:highlight w:val="none"/>
              </w:rPr>
              <w:t>m³/a（</w:t>
            </w:r>
            <w:r>
              <w:rPr>
                <w:rFonts w:hint="default" w:ascii="Times New Roman" w:hAnsi="Times New Roman" w:cs="Times New Roman"/>
                <w:color w:val="auto"/>
                <w:sz w:val="24"/>
                <w:highlight w:val="none"/>
                <w:lang w:val="en-US" w:eastAsia="zh-CN"/>
              </w:rPr>
              <w:t>5</w:t>
            </w:r>
            <w:r>
              <w:rPr>
                <w:rFonts w:hint="default" w:ascii="Times New Roman" w:hAnsi="Times New Roman" w:eastAsia="仿宋_GB2312" w:cs="Times New Roman"/>
                <w:color w:val="auto"/>
                <w:sz w:val="24"/>
                <w:highlight w:val="none"/>
              </w:rPr>
              <w:t>m</w:t>
            </w:r>
            <w:r>
              <w:rPr>
                <w:rFonts w:hint="default" w:ascii="Times New Roman" w:hAnsi="Times New Roman" w:eastAsia="仿宋_GB2312" w:cs="Times New Roman"/>
                <w:color w:val="auto"/>
                <w:sz w:val="24"/>
                <w:highlight w:val="none"/>
                <w:vertAlign w:val="superscript"/>
              </w:rPr>
              <w:t>3</w:t>
            </w:r>
            <w:r>
              <w:rPr>
                <w:rFonts w:hint="default" w:ascii="Times New Roman" w:hAnsi="Times New Roman" w:cs="Times New Roman"/>
                <w:color w:val="auto"/>
                <w:sz w:val="24"/>
                <w:highlight w:val="none"/>
              </w:rPr>
              <w:t>/d）</w:t>
            </w:r>
            <w:r>
              <w:rPr>
                <w:rFonts w:hint="default" w:ascii="Times New Roman" w:hAnsi="Times New Roman" w:cs="Times New Roman"/>
                <w:color w:val="auto"/>
                <w:sz w:val="24"/>
                <w:highlight w:val="none"/>
                <w:lang w:bidi="ar"/>
              </w:rPr>
              <w:t>（按300天计）</w:t>
            </w:r>
            <w:r>
              <w:rPr>
                <w:rFonts w:hint="default" w:ascii="Times New Roman" w:hAnsi="Times New Roman" w:cs="Times New Roman"/>
                <w:color w:val="auto"/>
                <w:sz w:val="24"/>
                <w:highlight w:val="none"/>
                <w:lang w:eastAsia="zh-CN" w:bidi="ar"/>
              </w:rPr>
              <w:t>。</w:t>
            </w:r>
          </w:p>
          <w:p w14:paraId="119BE88B">
            <w:pPr>
              <w:pStyle w:val="11"/>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③全厂给水</w:t>
            </w:r>
          </w:p>
          <w:p w14:paraId="2534E388">
            <w:pPr>
              <w:pStyle w:val="16"/>
              <w:numPr>
                <w:ilvl w:val="0"/>
                <w:numId w:val="0"/>
              </w:numPr>
              <w:spacing w:line="360" w:lineRule="auto"/>
              <w:ind w:firstLine="480" w:firstLineChars="20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sz w:val="24"/>
                <w:highlight w:val="none"/>
              </w:rPr>
              <w:t>综上所述，技改后全厂生活用水量为</w:t>
            </w:r>
            <w:r>
              <w:rPr>
                <w:rFonts w:hint="default" w:ascii="Times New Roman" w:hAnsi="Times New Roman" w:cs="Times New Roman"/>
                <w:color w:val="auto"/>
                <w:sz w:val="24"/>
                <w:szCs w:val="24"/>
                <w:highlight w:val="none"/>
                <w:lang w:val="en-US" w:eastAsia="zh-CN"/>
              </w:rPr>
              <w:t>1824</w:t>
            </w:r>
            <w:r>
              <w:rPr>
                <w:rFonts w:hint="default" w:ascii="Times New Roman" w:hAnsi="Times New Roman" w:cs="Times New Roman"/>
                <w:color w:val="auto"/>
                <w:sz w:val="24"/>
                <w:highlight w:val="none"/>
              </w:rPr>
              <w:t>m³/a（</w:t>
            </w:r>
            <w:r>
              <w:rPr>
                <w:rFonts w:hint="default" w:ascii="Times New Roman" w:hAnsi="Times New Roman" w:cs="Times New Roman"/>
                <w:color w:val="auto"/>
                <w:sz w:val="24"/>
                <w:highlight w:val="none"/>
                <w:lang w:val="en-US" w:eastAsia="zh-CN"/>
              </w:rPr>
              <w:t>6.08</w:t>
            </w:r>
            <w:r>
              <w:rPr>
                <w:rFonts w:hint="default" w:ascii="Times New Roman" w:hAnsi="Times New Roman" w:eastAsia="仿宋_GB2312" w:cs="Times New Roman"/>
                <w:color w:val="auto"/>
                <w:sz w:val="24"/>
                <w:highlight w:val="none"/>
              </w:rPr>
              <w:t>m</w:t>
            </w:r>
            <w:r>
              <w:rPr>
                <w:rFonts w:hint="default" w:ascii="Times New Roman" w:hAnsi="Times New Roman" w:eastAsia="仿宋_GB2312" w:cs="Times New Roman"/>
                <w:color w:val="auto"/>
                <w:sz w:val="24"/>
                <w:highlight w:val="none"/>
                <w:vertAlign w:val="superscript"/>
              </w:rPr>
              <w:t>3</w:t>
            </w:r>
            <w:r>
              <w:rPr>
                <w:rFonts w:hint="default" w:ascii="Times New Roman" w:hAnsi="Times New Roman" w:cs="Times New Roman"/>
                <w:color w:val="auto"/>
                <w:sz w:val="24"/>
                <w:highlight w:val="none"/>
              </w:rPr>
              <w:t>/d），</w:t>
            </w:r>
            <w:r>
              <w:rPr>
                <w:rFonts w:hint="default" w:ascii="Times New Roman" w:hAnsi="Times New Roman" w:cs="Times New Roman"/>
                <w:color w:val="auto"/>
                <w:sz w:val="24"/>
                <w:highlight w:val="none"/>
                <w:lang w:val="en-US" w:eastAsia="zh-CN"/>
              </w:rPr>
              <w:t>生产用水量（含</w:t>
            </w:r>
            <w:r>
              <w:rPr>
                <w:rFonts w:hint="default" w:ascii="Times New Roman" w:hAnsi="Times New Roman" w:cs="Times New Roman"/>
                <w:color w:val="auto"/>
                <w:sz w:val="24"/>
                <w:szCs w:val="24"/>
                <w:highlight w:val="none"/>
                <w:lang w:val="en-US" w:eastAsia="zh-CN"/>
              </w:rPr>
              <w:t>铸造冷却用水、型砂制作用水、涂料配制用水、</w:t>
            </w:r>
            <w:r>
              <w:rPr>
                <w:rFonts w:hint="default" w:ascii="Times New Roman" w:hAnsi="Times New Roman" w:cs="Times New Roman"/>
                <w:color w:val="auto"/>
                <w:sz w:val="24"/>
                <w:highlight w:val="none"/>
              </w:rPr>
              <w:t>水帘柜用水</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为</w:t>
            </w:r>
            <w:r>
              <w:rPr>
                <w:rFonts w:hint="default" w:ascii="Times New Roman" w:hAnsi="Times New Roman" w:cs="Times New Roman"/>
                <w:bCs/>
                <w:color w:val="auto"/>
                <w:spacing w:val="-10"/>
                <w:sz w:val="24"/>
                <w:highlight w:val="none"/>
                <w:lang w:val="en-US" w:eastAsia="zh-CN"/>
              </w:rPr>
              <w:t>1845</w:t>
            </w:r>
            <w:r>
              <w:rPr>
                <w:rFonts w:hint="default" w:ascii="Times New Roman" w:hAnsi="Times New Roman" w:cs="Times New Roman"/>
                <w:bCs/>
                <w:color w:val="auto"/>
                <w:spacing w:val="-10"/>
                <w:sz w:val="24"/>
                <w:highlight w:val="none"/>
              </w:rPr>
              <w:t>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/a（</w:t>
            </w:r>
            <w:r>
              <w:rPr>
                <w:rFonts w:hint="default" w:ascii="Times New Roman" w:hAnsi="Times New Roman" w:cs="Times New Roman"/>
                <w:bCs/>
                <w:color w:val="auto"/>
                <w:spacing w:val="-10"/>
                <w:sz w:val="24"/>
                <w:highlight w:val="none"/>
                <w:lang w:val="en-US" w:eastAsia="zh-CN"/>
              </w:rPr>
              <w:t>6.15</w:t>
            </w:r>
            <w:r>
              <w:rPr>
                <w:rFonts w:hint="default" w:ascii="Times New Roman" w:hAnsi="Times New Roman" w:cs="Times New Roman"/>
                <w:bCs/>
                <w:color w:val="auto"/>
                <w:spacing w:val="-10"/>
                <w:sz w:val="24"/>
                <w:highlight w:val="none"/>
              </w:rPr>
              <w:t>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/d）</w:t>
            </w:r>
            <w:r>
              <w:rPr>
                <w:rFonts w:hint="default" w:ascii="Times New Roman" w:hAnsi="Times New Roman" w:cs="Times New Roman"/>
                <w:color w:val="auto"/>
                <w:sz w:val="24"/>
                <w:highlight w:val="none"/>
              </w:rPr>
              <w:t>，合计全厂用水量为</w:t>
            </w:r>
            <w:r>
              <w:rPr>
                <w:rFonts w:hint="default" w:ascii="Times New Roman" w:hAnsi="Times New Roman" w:cs="Times New Roman"/>
                <w:color w:val="auto"/>
                <w:sz w:val="24"/>
                <w:highlight w:val="none"/>
                <w:lang w:val="en-US" w:eastAsia="zh-CN"/>
              </w:rPr>
              <w:t>3669</w:t>
            </w:r>
            <w:r>
              <w:rPr>
                <w:rFonts w:hint="default" w:ascii="Times New Roman" w:hAnsi="Times New Roman" w:cs="Times New Roman"/>
                <w:color w:val="auto"/>
                <w:sz w:val="24"/>
                <w:highlight w:val="none"/>
              </w:rPr>
              <w:t>m³/a（</w:t>
            </w:r>
            <w:r>
              <w:rPr>
                <w:rFonts w:hint="default" w:ascii="Times New Roman" w:hAnsi="Times New Roman" w:cs="Times New Roman"/>
                <w:color w:val="auto"/>
                <w:sz w:val="24"/>
                <w:highlight w:val="none"/>
                <w:lang w:val="en-US" w:eastAsia="zh-CN"/>
              </w:rPr>
              <w:t>12.23</w:t>
            </w:r>
            <w:r>
              <w:rPr>
                <w:rFonts w:hint="default" w:ascii="Times New Roman" w:hAnsi="Times New Roman" w:eastAsia="仿宋_GB2312" w:cs="Times New Roman"/>
                <w:color w:val="auto"/>
                <w:sz w:val="24"/>
                <w:highlight w:val="none"/>
              </w:rPr>
              <w:t>m</w:t>
            </w:r>
            <w:r>
              <w:rPr>
                <w:rFonts w:hint="default" w:ascii="Times New Roman" w:hAnsi="Times New Roman" w:eastAsia="仿宋_GB2312" w:cs="Times New Roman"/>
                <w:color w:val="auto"/>
                <w:sz w:val="24"/>
                <w:highlight w:val="none"/>
                <w:vertAlign w:val="superscript"/>
              </w:rPr>
              <w:t>3</w:t>
            </w:r>
            <w:r>
              <w:rPr>
                <w:rFonts w:hint="default" w:ascii="Times New Roman" w:hAnsi="Times New Roman" w:cs="Times New Roman"/>
                <w:color w:val="auto"/>
                <w:sz w:val="24"/>
                <w:highlight w:val="none"/>
              </w:rPr>
              <w:t>/d）</w:t>
            </w:r>
            <w:r>
              <w:rPr>
                <w:rFonts w:hint="default" w:ascii="Times New Roman" w:hAnsi="Times New Roman" w:cs="Times New Roman"/>
                <w:color w:val="auto"/>
                <w:sz w:val="24"/>
                <w:highlight w:val="none"/>
                <w:lang w:eastAsia="zh-CN"/>
              </w:rPr>
              <w:t>。</w:t>
            </w:r>
          </w:p>
          <w:p w14:paraId="7909935F">
            <w:pPr>
              <w:widowControl/>
              <w:numPr>
                <w:ilvl w:val="0"/>
                <w:numId w:val="5"/>
              </w:numPr>
              <w:spacing w:line="360" w:lineRule="auto"/>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排水</w:t>
            </w:r>
          </w:p>
          <w:p w14:paraId="7F67A1D6">
            <w:pPr>
              <w:widowControl/>
              <w:spacing w:line="360" w:lineRule="auto"/>
              <w:ind w:firstLine="480"/>
              <w:jc w:val="left"/>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①本项目排水</w:t>
            </w:r>
          </w:p>
          <w:p w14:paraId="45B89889">
            <w:pPr>
              <w:adjustRightInd w:val="0"/>
              <w:snapToGrid w:val="0"/>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本项目从原项目调配人员，不新增员工，不新增生活污水。水帘柜废水为危险废物，收集暂存在为危废间，定期交由有资质单位处置，不外排。</w:t>
            </w:r>
          </w:p>
          <w:p w14:paraId="55C09B1B">
            <w:pPr>
              <w:pStyle w:val="11"/>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②原项目排水</w:t>
            </w:r>
          </w:p>
          <w:p w14:paraId="590B44C2">
            <w:pPr>
              <w:adjustRightInd w:val="0"/>
              <w:snapToGrid w:val="0"/>
              <w:spacing w:before="120" w:beforeLines="50" w:line="360" w:lineRule="auto"/>
              <w:ind w:firstLine="480" w:firstLineChars="200"/>
              <w:rPr>
                <w:rFonts w:hint="default" w:ascii="Times New Roman" w:hAnsi="Times New Roman" w:cs="Times New Roman"/>
                <w:color w:val="auto"/>
                <w:sz w:val="24"/>
                <w:highlight w:val="none"/>
                <w:lang w:val="en-US"/>
              </w:rPr>
            </w:pPr>
            <w:r>
              <w:rPr>
                <w:rFonts w:hint="default" w:ascii="Times New Roman" w:hAnsi="Times New Roman" w:cs="Times New Roman"/>
                <w:color w:val="auto"/>
                <w:sz w:val="24"/>
                <w:highlight w:val="none"/>
              </w:rPr>
              <w:t>原项目废水主要为生活污水，生活污水产生量为</w:t>
            </w:r>
            <w:r>
              <w:rPr>
                <w:rFonts w:hint="default" w:ascii="Times New Roman" w:hAnsi="Times New Roman" w:cs="Times New Roman"/>
                <w:color w:val="auto"/>
                <w:sz w:val="24"/>
                <w:szCs w:val="24"/>
                <w:highlight w:val="none"/>
                <w:lang w:val="en-US" w:eastAsia="zh-CN"/>
              </w:rPr>
              <w:t>1641.6</w:t>
            </w:r>
            <w:r>
              <w:rPr>
                <w:rFonts w:hint="default" w:ascii="Times New Roman" w:hAnsi="Times New Roman" w:cs="Times New Roman"/>
                <w:color w:val="auto"/>
                <w:sz w:val="24"/>
                <w:highlight w:val="none"/>
              </w:rPr>
              <w:t>m³/a（</w:t>
            </w:r>
            <w:r>
              <w:rPr>
                <w:rFonts w:hint="default" w:ascii="Times New Roman" w:hAnsi="Times New Roman" w:cs="Times New Roman"/>
                <w:color w:val="auto"/>
                <w:sz w:val="24"/>
                <w:highlight w:val="none"/>
                <w:lang w:val="en-US" w:eastAsia="zh-CN"/>
              </w:rPr>
              <w:t>5.472</w:t>
            </w:r>
            <w:r>
              <w:rPr>
                <w:rFonts w:hint="default" w:ascii="Times New Roman" w:hAnsi="Times New Roman" w:eastAsia="仿宋_GB2312" w:cs="Times New Roman"/>
                <w:color w:val="auto"/>
                <w:sz w:val="24"/>
                <w:highlight w:val="none"/>
              </w:rPr>
              <w:t>m</w:t>
            </w:r>
            <w:r>
              <w:rPr>
                <w:rFonts w:hint="default" w:ascii="Times New Roman" w:hAnsi="Times New Roman" w:eastAsia="仿宋_GB2312" w:cs="Times New Roman"/>
                <w:color w:val="auto"/>
                <w:sz w:val="24"/>
                <w:highlight w:val="none"/>
                <w:vertAlign w:val="superscript"/>
              </w:rPr>
              <w:t>3</w:t>
            </w:r>
            <w:r>
              <w:rPr>
                <w:rFonts w:hint="default" w:ascii="Times New Roman" w:hAnsi="Times New Roman" w:cs="Times New Roman"/>
                <w:color w:val="auto"/>
                <w:sz w:val="24"/>
                <w:highlight w:val="none"/>
              </w:rPr>
              <w:t>/d），经隔油隔渣池+三级化粪池处理后排入园区污水处理厂。</w:t>
            </w:r>
            <w:r>
              <w:rPr>
                <w:rFonts w:hint="default" w:ascii="Times New Roman" w:hAnsi="Times New Roman" w:cs="Times New Roman"/>
                <w:color w:val="auto"/>
                <w:sz w:val="24"/>
                <w:szCs w:val="24"/>
                <w:highlight w:val="none"/>
                <w:lang w:val="en-US" w:eastAsia="zh-CN"/>
              </w:rPr>
              <w:t>生产用水（铸造冷却用水、型砂制作用水、涂料配制用水）全部进入物料或蒸发散失，不外排。</w:t>
            </w:r>
          </w:p>
          <w:p w14:paraId="20599A2C">
            <w:pPr>
              <w:pStyle w:val="11"/>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③全厂排水</w:t>
            </w:r>
          </w:p>
          <w:p w14:paraId="05AF27D3">
            <w:pPr>
              <w:adjustRightInd w:val="0"/>
              <w:snapToGrid w:val="0"/>
              <w:spacing w:before="120" w:beforeLines="50"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highlight w:val="none"/>
              </w:rPr>
              <mc:AlternateContent>
                <mc:Choice Requires="wpg">
                  <w:drawing>
                    <wp:anchor distT="0" distB="0" distL="114300" distR="114300" simplePos="0" relativeHeight="251713536" behindDoc="0" locked="0" layoutInCell="1" allowOverlap="1">
                      <wp:simplePos x="0" y="0"/>
                      <wp:positionH relativeFrom="column">
                        <wp:posOffset>394335</wp:posOffset>
                      </wp:positionH>
                      <wp:positionV relativeFrom="paragraph">
                        <wp:posOffset>1167765</wp:posOffset>
                      </wp:positionV>
                      <wp:extent cx="4589145" cy="669925"/>
                      <wp:effectExtent l="4445" t="0" r="0" b="16510"/>
                      <wp:wrapNone/>
                      <wp:docPr id="183" name="组合 183"/>
                      <wp:cNvGraphicFramePr/>
                      <a:graphic xmlns:a="http://schemas.openxmlformats.org/drawingml/2006/main">
                        <a:graphicData uri="http://schemas.microsoft.com/office/word/2010/wordprocessingGroup">
                          <wpg:wgp>
                            <wpg:cNvGrpSpPr/>
                            <wpg:grpSpPr>
                              <a:xfrm>
                                <a:off x="0" y="0"/>
                                <a:ext cx="4589145" cy="669925"/>
                                <a:chOff x="3158" y="423811"/>
                                <a:chExt cx="7227" cy="1055"/>
                              </a:xfrm>
                            </wpg:grpSpPr>
                            <wps:wsp>
                              <wps:cNvPr id="62" name="文本框 6"/>
                              <wps:cNvSpPr txBox="1"/>
                              <wps:spPr>
                                <a:xfrm>
                                  <a:off x="3158" y="424338"/>
                                  <a:ext cx="940" cy="49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8AC884">
                                    <w:r>
                                      <w:rPr>
                                        <w:rFonts w:hint="eastAsia"/>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文本框 39"/>
                              <wps:cNvSpPr txBox="1"/>
                              <wps:spPr>
                                <a:xfrm>
                                  <a:off x="4864" y="424366"/>
                                  <a:ext cx="1354" cy="4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916EE0B">
                                    <w:r>
                                      <w:rPr>
                                        <w:rFonts w:hint="eastAsia"/>
                                      </w:rPr>
                                      <w:t>水帘柜用水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4" name="文本框 39"/>
                              <wps:cNvSpPr txBox="1"/>
                              <wps:spPr>
                                <a:xfrm>
                                  <a:off x="6757" y="424394"/>
                                  <a:ext cx="1559" cy="47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826AF">
                                    <w:r>
                                      <w:rPr>
                                        <w:rFonts w:hint="eastAsia"/>
                                      </w:rPr>
                                      <w:t>水帘柜废水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4" name="直接箭头连接符 74"/>
                              <wps:cNvCnPr/>
                              <wps:spPr>
                                <a:xfrm>
                                  <a:off x="6235" y="424572"/>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75" name="直接箭头连接符 75"/>
                              <wps:cNvCnPr/>
                              <wps:spPr>
                                <a:xfrm>
                                  <a:off x="8097" y="424597"/>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1" name="文本框 39"/>
                              <wps:cNvSpPr txBox="1"/>
                              <wps:spPr>
                                <a:xfrm>
                                  <a:off x="8597" y="424387"/>
                                  <a:ext cx="1788" cy="41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512EB">
                                    <w:pPr>
                                      <w:jc w:val="center"/>
                                    </w:pPr>
                                    <w:r>
                                      <w:rPr>
                                        <w:rFonts w:hint="eastAsia"/>
                                      </w:rPr>
                                      <w:t>有资质单位处置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8" name="曲线连接符 88"/>
                              <wps:cNvCnPr/>
                              <wps:spPr>
                                <a:xfrm flipV="1">
                                  <a:off x="5499" y="424046"/>
                                  <a:ext cx="363" cy="288"/>
                                </a:xfrm>
                                <a:prstGeom prst="curvedConnector3">
                                  <a:avLst>
                                    <a:gd name="adj1" fmla="val 50138"/>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7" name="文本框 39"/>
                              <wps:cNvSpPr txBox="1"/>
                              <wps:spPr>
                                <a:xfrm>
                                  <a:off x="6064" y="424231"/>
                                  <a:ext cx="844"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2BC21F">
                                    <w:pPr>
                                      <w:jc w:val="center"/>
                                    </w:pPr>
                                    <w:r>
                                      <w:rPr>
                                        <w:rFonts w:hint="eastAsia"/>
                                      </w:rPr>
                                      <w:t>0.025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8" name="文本框 39"/>
                              <wps:cNvSpPr txBox="1"/>
                              <wps:spPr>
                                <a:xfrm>
                                  <a:off x="7937" y="424243"/>
                                  <a:ext cx="809"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FBA43F">
                                    <w:pPr>
                                      <w:jc w:val="center"/>
                                    </w:pPr>
                                    <w:r>
                                      <w:rPr>
                                        <w:rFonts w:hint="eastAsia"/>
                                      </w:rPr>
                                      <w:t>0.025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4" name="直接箭头连接符 114"/>
                              <wps:cNvCnPr/>
                              <wps:spPr>
                                <a:xfrm>
                                  <a:off x="4096" y="424608"/>
                                  <a:ext cx="750"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7" name="文本框 39"/>
                              <wps:cNvSpPr txBox="1"/>
                              <wps:spPr>
                                <a:xfrm>
                                  <a:off x="4084" y="424261"/>
                                  <a:ext cx="1009"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6711C">
                                    <w:pPr>
                                      <w:rPr>
                                        <w:rFonts w:hint="default" w:eastAsia="宋体"/>
                                        <w:lang w:val="en-US" w:eastAsia="zh-CN"/>
                                      </w:rPr>
                                    </w:pPr>
                                    <w:r>
                                      <w:rPr>
                                        <w:rFonts w:hint="eastAsia"/>
                                        <w:lang w:val="en-US" w:eastAsia="zh-CN"/>
                                      </w:rPr>
                                      <w:t>1.15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 name="文本框 39"/>
                              <wps:cNvSpPr txBox="1"/>
                              <wps:spPr>
                                <a:xfrm>
                                  <a:off x="5689" y="423811"/>
                                  <a:ext cx="844"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1A3CAD">
                                    <w:pPr>
                                      <w:jc w:val="center"/>
                                      <w:rPr>
                                        <w:rFonts w:hint="default" w:eastAsia="宋体"/>
                                        <w:lang w:val="en-US" w:eastAsia="zh-CN"/>
                                      </w:rPr>
                                    </w:pPr>
                                    <w:r>
                                      <w:rPr>
                                        <w:rFonts w:hint="eastAsia"/>
                                        <w:lang w:val="en-US" w:eastAsia="zh-CN"/>
                                      </w:rPr>
                                      <w:t>1.125</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31.05pt;margin-top:91.95pt;height:52.75pt;width:361.35pt;z-index:251713536;mso-width-relative:page;mso-height-relative:page;" coordorigin="3158,423811" coordsize="7227,1055" o:gfxdata="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">
                      <o:lock v:ext="edit" aspectratio="f"/>
                      <v:shape id="文本框 6" o:spid="_x0000_s1026" o:spt="202" type="#_x0000_t202" style="position:absolute;left:3158;top:424338;height:497;width:940;" fillcolor="#FFFFFF [3201]" filled="t" stroked="t" coordsize="21600,21600" o:gfxdata="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tsyre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5C8AC884">
                              <w:r>
                                <w:rPr>
                                  <w:rFonts w:hint="eastAsia"/>
                                </w:rPr>
                                <w:t>新鲜水</w:t>
                              </w:r>
                            </w:p>
                          </w:txbxContent>
                        </v:textbox>
                      </v:shape>
                      <v:shape id="文本框 39" o:spid="_x0000_s1026" o:spt="202" type="#_x0000_t202" style="position:absolute;left:4864;top:424366;height:428;width:1354;" fillcolor="#FFFFFF [3201]" filled="t" stroked="t" coordsize="21600,21600" o:gfxdata="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u+VMC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2916EE0B">
                              <w:r>
                                <w:rPr>
                                  <w:rFonts w:hint="eastAsia"/>
                                </w:rPr>
                                <w:t>水帘柜用水</w:t>
                              </w:r>
                            </w:p>
                          </w:txbxContent>
                        </v:textbox>
                      </v:shape>
                      <v:shape id="文本框 39" o:spid="_x0000_s1026" o:spt="202" type="#_x0000_t202" style="position:absolute;left:6757;top:424394;height:473;width:1559;" filled="f" stroked="f" coordsize="21600,21600" o:gfxdata="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ZPP6/&#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60826AF">
                              <w:r>
                                <w:rPr>
                                  <w:rFonts w:hint="eastAsia"/>
                                </w:rPr>
                                <w:t>水帘柜废水</w:t>
                              </w:r>
                            </w:p>
                          </w:txbxContent>
                        </v:textbox>
                      </v:shape>
                      <v:shape id="_x0000_s1026" o:spid="_x0000_s1026" o:spt="32" type="#_x0000_t32" style="position:absolute;left:6235;top:424572;height:0;width:612;" filled="f" stroked="t" coordsize="21600,21600" o:gfxdata="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WgKWb4A&#10;AADbAAAADwAAAAAAAAABACAAAAAiAAAAZHJzL2Rvd25yZXYueG1sUEsBAhQAFAAAAAgAh07iQDMv&#10;BZ47AAAAOQAAABAAAAAAAAAAAQAgAAAADQEAAGRycy9zaGFwZXhtbC54bWxQSwUGAAAAAAYABgBb&#10;AQAAtwMAAAAA&#10;">
                        <v:fill on="f" focussize="0,0"/>
                        <v:stroke color="#000000 [3213]" joinstyle="round" endarrow="block"/>
                        <v:imagedata o:title=""/>
                        <o:lock v:ext="edit" aspectratio="f"/>
                      </v:shape>
                      <v:shape id="_x0000_s1026" o:spid="_x0000_s1026" o:spt="32" type="#_x0000_t32" style="position:absolute;left:8097;top:424597;height:0;width:612;" filled="f" stroked="t" coordsize="21600,21600" o:gfxdata="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iSvwr4A&#10;AADbAAAADwAAAAAAAAABACAAAAAiAAAAZHJzL2Rvd25yZXYueG1sUEsBAhQAFAAAAAgAh07iQDMv&#10;BZ47AAAAOQAAABAAAAAAAAAAAQAgAAAADQEAAGRycy9zaGFwZXhtbC54bWxQSwUGAAAAAAYABgBb&#10;AQAAtwMAAAAA&#10;">
                        <v:fill on="f" focussize="0,0"/>
                        <v:stroke color="#000000 [3213]" joinstyle="round" endarrow="block"/>
                        <v:imagedata o:title=""/>
                        <o:lock v:ext="edit" aspectratio="f"/>
                      </v:shape>
                      <v:shape id="文本框 39" o:spid="_x0000_s1026" o:spt="202" type="#_x0000_t202" style="position:absolute;left:8597;top:424387;height:412;width:1788;" filled="f" stroked="f" coordsize="21600,21600" o:gfxdata="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ieZy/&#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23512EB">
                              <w:pPr>
                                <w:jc w:val="center"/>
                              </w:pPr>
                              <w:r>
                                <w:rPr>
                                  <w:rFonts w:hint="eastAsia"/>
                                </w:rPr>
                                <w:t>有资质单位处置</w:t>
                              </w:r>
                            </w:p>
                          </w:txbxContent>
                        </v:textbox>
                      </v:shape>
                      <v:shape id="_x0000_s1026" o:spid="_x0000_s1026" o:spt="38" type="#_x0000_t38" style="position:absolute;left:5499;top:424046;flip:y;height:288;width:363;" filled="f" stroked="t" coordsize="21600,21600" o:gfxdata="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FTpQugAAANsA&#10;AAAPAAAAAAAAAAEAIAAAACIAAABkcnMvZG93bnJldi54bWxQSwECFAAUAAAACACHTuJAMy8FnjsA&#10;AAA5AAAAEAAAAAAAAAABACAAAAAJAQAAZHJzL3NoYXBleG1sLnhtbFBLBQYAAAAABgAGAFsBAACz&#10;AwAAAAA=&#10;" adj="10830">
                        <v:fill on="f" focussize="0,0"/>
                        <v:stroke color="#000000 [3213]" joinstyle="round" dashstyle="dash" endarrow="block"/>
                        <v:imagedata o:title=""/>
                        <o:lock v:ext="edit" aspectratio="f"/>
                      </v:shape>
                      <v:shape id="文本框 39" o:spid="_x0000_s1026" o:spt="202" type="#_x0000_t202" style="position:absolute;left:6064;top:424231;height:368;width:844;" filled="f" stroked="f" coordsize="21600,21600" o:gfxdata="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COV+r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252BC21F">
                              <w:pPr>
                                <w:jc w:val="center"/>
                              </w:pPr>
                              <w:r>
                                <w:rPr>
                                  <w:rFonts w:hint="eastAsia"/>
                                </w:rPr>
                                <w:t>0.025</w:t>
                              </w:r>
                            </w:p>
                          </w:txbxContent>
                        </v:textbox>
                      </v:shape>
                      <v:shape id="文本框 39" o:spid="_x0000_s1026" o:spt="202" type="#_x0000_t202" style="position:absolute;left:7937;top:424243;height:368;width:809;" filled="f" stroked="f" coordsize="21600,21600" o:gfxdata="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vAGI&#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3FFBA43F">
                              <w:pPr>
                                <w:jc w:val="center"/>
                              </w:pPr>
                              <w:r>
                                <w:rPr>
                                  <w:rFonts w:hint="eastAsia"/>
                                </w:rPr>
                                <w:t>0.025</w:t>
                              </w:r>
                            </w:p>
                          </w:txbxContent>
                        </v:textbox>
                      </v:shape>
                      <v:shape id="_x0000_s1026" o:spid="_x0000_s1026" o:spt="32" type="#_x0000_t32" style="position:absolute;left:4096;top:424608;height:0;width:750;" filled="f" stroked="t" coordsize="21600,21600" o:gfxdata="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eWdG8AAAA&#10;3AAAAA8AAAAAAAAAAQAgAAAAIgAAAGRycy9kb3ducmV2LnhtbFBLAQIUABQAAAAIAIdO4kAzLwWe&#10;OwAAADkAAAAQAAAAAAAAAAEAIAAAAAsBAABkcnMvc2hhcGV4bWwueG1sUEsFBgAAAAAGAAYAWwEA&#10;ALUDAAAAAA==&#10;">
                        <v:fill on="f" focussize="0,0"/>
                        <v:stroke color="#000000 [3213]" joinstyle="round" endarrow="block"/>
                        <v:imagedata o:title=""/>
                        <o:lock v:ext="edit" aspectratio="f"/>
                      </v:shape>
                      <v:shape id="文本框 39" o:spid="_x0000_s1026" o:spt="202" type="#_x0000_t202" style="position:absolute;left:4084;top:424261;height:368;width:1009;" filled="f" stroked="f" coordsize="21600,21600" o:gfxdata="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uWyZq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1FA6711C">
                              <w:pPr>
                                <w:rPr>
                                  <w:rFonts w:hint="default" w:eastAsia="宋体"/>
                                  <w:lang w:val="en-US" w:eastAsia="zh-CN"/>
                                </w:rPr>
                              </w:pPr>
                              <w:r>
                                <w:rPr>
                                  <w:rFonts w:hint="eastAsia"/>
                                  <w:lang w:val="en-US" w:eastAsia="zh-CN"/>
                                </w:rPr>
                                <w:t>1.15</w:t>
                              </w:r>
                            </w:p>
                          </w:txbxContent>
                        </v:textbox>
                      </v:shape>
                      <v:shape id="文本框 39" o:spid="_x0000_s1026" o:spt="202" type="#_x0000_t202" style="position:absolute;left:5689;top:423811;height:368;width:844;" filled="f" stroked="f" coordsize="21600,21600" o:gfxdata="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8uD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F1A3CAD">
                              <w:pPr>
                                <w:jc w:val="center"/>
                                <w:rPr>
                                  <w:rFonts w:hint="default" w:eastAsia="宋体"/>
                                  <w:lang w:val="en-US" w:eastAsia="zh-CN"/>
                                </w:rPr>
                              </w:pPr>
                              <w:r>
                                <w:rPr>
                                  <w:rFonts w:hint="eastAsia"/>
                                  <w:lang w:val="en-US" w:eastAsia="zh-CN"/>
                                </w:rPr>
                                <w:t>1.125</w:t>
                              </w:r>
                            </w:p>
                          </w:txbxContent>
                        </v:textbox>
                      </v:shape>
                    </v:group>
                  </w:pict>
                </mc:Fallback>
              </mc:AlternateContent>
            </w:r>
            <w:r>
              <w:rPr>
                <w:rFonts w:hint="default" w:ascii="Times New Roman" w:hAnsi="Times New Roman" w:cs="Times New Roman"/>
                <w:color w:val="auto"/>
                <w:sz w:val="24"/>
                <w:highlight w:val="none"/>
              </w:rPr>
              <w:t>综上所述，技改后全厂生活污水产生水量为</w:t>
            </w:r>
            <w:r>
              <w:rPr>
                <w:rFonts w:hint="default" w:ascii="Times New Roman" w:hAnsi="Times New Roman" w:cs="Times New Roman"/>
                <w:color w:val="auto"/>
                <w:sz w:val="24"/>
                <w:szCs w:val="24"/>
                <w:highlight w:val="none"/>
                <w:lang w:val="en-US" w:eastAsia="zh-CN"/>
              </w:rPr>
              <w:t>1641.6</w:t>
            </w:r>
            <w:r>
              <w:rPr>
                <w:rFonts w:hint="default" w:ascii="Times New Roman" w:hAnsi="Times New Roman" w:cs="Times New Roman"/>
                <w:color w:val="auto"/>
                <w:sz w:val="24"/>
                <w:highlight w:val="none"/>
              </w:rPr>
              <w:t>m³/a（</w:t>
            </w:r>
            <w:r>
              <w:rPr>
                <w:rFonts w:hint="default" w:ascii="Times New Roman" w:hAnsi="Times New Roman" w:cs="Times New Roman"/>
                <w:color w:val="auto"/>
                <w:sz w:val="24"/>
                <w:highlight w:val="none"/>
                <w:lang w:val="en-US" w:eastAsia="zh-CN"/>
              </w:rPr>
              <w:t>5.472</w:t>
            </w:r>
            <w:r>
              <w:rPr>
                <w:rFonts w:hint="default" w:ascii="Times New Roman" w:hAnsi="Times New Roman" w:eastAsia="仿宋_GB2312" w:cs="Times New Roman"/>
                <w:color w:val="auto"/>
                <w:sz w:val="24"/>
                <w:highlight w:val="none"/>
              </w:rPr>
              <w:t>m</w:t>
            </w:r>
            <w:r>
              <w:rPr>
                <w:rFonts w:hint="default" w:ascii="Times New Roman" w:hAnsi="Times New Roman" w:eastAsia="仿宋_GB2312" w:cs="Times New Roman"/>
                <w:color w:val="auto"/>
                <w:sz w:val="24"/>
                <w:highlight w:val="none"/>
                <w:vertAlign w:val="superscript"/>
              </w:rPr>
              <w:t>3</w:t>
            </w:r>
            <w:r>
              <w:rPr>
                <w:rFonts w:hint="default" w:ascii="Times New Roman" w:hAnsi="Times New Roman" w:cs="Times New Roman"/>
                <w:color w:val="auto"/>
                <w:sz w:val="24"/>
                <w:highlight w:val="none"/>
              </w:rPr>
              <w:t>/d），经隔油隔渣池+三级化粪池处理后排入园区污水处理厂。水帘柜废水为危险废物，收集暂存在为危废间，定期交由有资质单位处置，不外排。</w:t>
            </w:r>
            <w:r>
              <w:rPr>
                <w:rFonts w:hint="default" w:ascii="Times New Roman" w:hAnsi="Times New Roman" w:cs="Times New Roman"/>
                <w:color w:val="auto"/>
                <w:sz w:val="24"/>
                <w:szCs w:val="24"/>
                <w:highlight w:val="none"/>
                <w:lang w:val="en-US" w:eastAsia="zh-CN"/>
              </w:rPr>
              <w:t>生产用水（铸造冷却用水、型砂制作用水、涂料配制用水）全部进入物料或蒸发散失，不外排</w:t>
            </w:r>
          </w:p>
          <w:p w14:paraId="46704E70">
            <w:pPr>
              <w:adjustRightInd w:val="0"/>
              <w:snapToGrid w:val="0"/>
              <w:spacing w:before="120" w:beforeLines="50" w:line="360" w:lineRule="auto"/>
              <w:ind w:firstLine="480" w:firstLineChars="200"/>
              <w:rPr>
                <w:rFonts w:hint="default" w:ascii="Times New Roman" w:hAnsi="Times New Roman" w:eastAsia="宋体" w:cs="Times New Roman"/>
                <w:color w:val="auto"/>
                <w:kern w:val="0"/>
                <w:sz w:val="24"/>
                <w:highlight w:val="none"/>
              </w:rPr>
            </w:pPr>
          </w:p>
          <w:p w14:paraId="5D7DF48E">
            <w:pPr>
              <w:pStyle w:val="63"/>
              <w:ind w:firstLine="480"/>
              <w:jc w:val="left"/>
              <w:rPr>
                <w:rFonts w:hint="default" w:ascii="Times New Roman" w:hAnsi="Times New Roman" w:eastAsia="宋体" w:cs="Times New Roman"/>
                <w:color w:val="auto"/>
                <w:kern w:val="0"/>
                <w:sz w:val="24"/>
                <w:highlight w:val="none"/>
              </w:rPr>
            </w:pPr>
          </w:p>
          <w:p w14:paraId="1044F37E">
            <w:pPr>
              <w:rPr>
                <w:rFonts w:hint="default" w:ascii="Times New Roman" w:hAnsi="Times New Roman" w:cs="Times New Roman"/>
                <w:color w:val="auto"/>
                <w:highlight w:val="none"/>
              </w:rPr>
            </w:pPr>
          </w:p>
          <w:p w14:paraId="403DEF6E">
            <w:pPr>
              <w:pStyle w:val="4"/>
              <w:ind w:left="0" w:firstLine="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图2-1  本项目水平衡图  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/d</w:t>
            </w:r>
          </w:p>
          <w:p w14:paraId="231733D1">
            <w:pPr>
              <w:pStyle w:val="4"/>
              <w:ind w:left="0" w:firstLine="0"/>
              <w:jc w:val="both"/>
              <w:rPr>
                <w:rFonts w:hint="default" w:ascii="Times New Roman" w:hAnsi="Times New Roman" w:eastAsia="宋体" w:cs="Times New Roman"/>
                <w:color w:val="auto"/>
                <w:kern w:val="0"/>
                <w:sz w:val="24"/>
                <w:szCs w:val="24"/>
                <w:highlight w:val="none"/>
              </w:rPr>
            </w:pPr>
          </w:p>
          <w:p w14:paraId="4C2B9F22">
            <w:pPr>
              <w:pStyle w:val="16"/>
              <w:numPr>
                <w:ilvl w:val="0"/>
                <w:numId w:val="0"/>
              </w:numPr>
              <w:rPr>
                <w:rFonts w:hint="default" w:ascii="Times New Roman" w:hAnsi="Times New Roman" w:cs="Times New Roman"/>
                <w:color w:val="auto"/>
                <w:kern w:val="0"/>
                <w:sz w:val="24"/>
                <w:highlight w:val="none"/>
              </w:rPr>
            </w:pPr>
          </w:p>
          <w:p w14:paraId="135A0BA6">
            <w:pPr>
              <w:pStyle w:val="16"/>
              <w:numPr>
                <w:ilvl w:val="0"/>
                <w:numId w:val="0"/>
              </w:numPr>
              <w:rPr>
                <w:rFonts w:hint="default" w:ascii="Times New Roman" w:hAnsi="Times New Roman" w:cs="Times New Roman"/>
                <w:color w:val="auto"/>
                <w:kern w:val="0"/>
                <w:sz w:val="24"/>
                <w:highlight w:val="none"/>
              </w:rPr>
            </w:pPr>
          </w:p>
          <w:p w14:paraId="10336D24">
            <w:pPr>
              <w:pStyle w:val="16"/>
              <w:numPr>
                <w:ilvl w:val="0"/>
                <w:numId w:val="0"/>
              </w:numP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rPr>
              <mc:AlternateContent>
                <mc:Choice Requires="wpg">
                  <w:drawing>
                    <wp:anchor distT="0" distB="0" distL="114300" distR="114300" simplePos="0" relativeHeight="251738112" behindDoc="0" locked="0" layoutInCell="1" allowOverlap="1">
                      <wp:simplePos x="0" y="0"/>
                      <wp:positionH relativeFrom="column">
                        <wp:posOffset>-31750</wp:posOffset>
                      </wp:positionH>
                      <wp:positionV relativeFrom="paragraph">
                        <wp:posOffset>59690</wp:posOffset>
                      </wp:positionV>
                      <wp:extent cx="5349240" cy="1370965"/>
                      <wp:effectExtent l="4445" t="0" r="0" b="20320"/>
                      <wp:wrapNone/>
                      <wp:docPr id="408" name="组合 408"/>
                      <wp:cNvGraphicFramePr/>
                      <a:graphic xmlns:a="http://schemas.openxmlformats.org/drawingml/2006/main">
                        <a:graphicData uri="http://schemas.microsoft.com/office/word/2010/wordprocessingGroup">
                          <wpg:wgp>
                            <wpg:cNvGrpSpPr/>
                            <wpg:grpSpPr>
                              <a:xfrm>
                                <a:off x="0" y="0"/>
                                <a:ext cx="5349240" cy="1370965"/>
                                <a:chOff x="2502" y="533611"/>
                                <a:chExt cx="8424" cy="2159"/>
                              </a:xfrm>
                            </wpg:grpSpPr>
                            <wps:wsp>
                              <wps:cNvPr id="80" name="文本框 39"/>
                              <wps:cNvSpPr txBox="1"/>
                              <wps:spPr>
                                <a:xfrm>
                                  <a:off x="4669" y="534262"/>
                                  <a:ext cx="1160" cy="4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D3A79FD">
                                    <w:r>
                                      <w:rPr>
                                        <w:rFonts w:hint="eastAsia"/>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5" name="文本框 6"/>
                              <wps:cNvSpPr txBox="1"/>
                              <wps:spPr>
                                <a:xfrm>
                                  <a:off x="2502" y="534781"/>
                                  <a:ext cx="949" cy="43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4BE9009">
                                    <w:r>
                                      <w:rPr>
                                        <w:rFonts w:hint="eastAsia"/>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6" name="文本框 39"/>
                              <wps:cNvSpPr txBox="1"/>
                              <wps:spPr>
                                <a:xfrm>
                                  <a:off x="8284" y="534276"/>
                                  <a:ext cx="1160" cy="4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8B9ECE1">
                                    <w:r>
                                      <w:rPr>
                                        <w:rFonts w:hint="eastAsia"/>
                                      </w:rPr>
                                      <w:t>生活污水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7" name="文本框 39"/>
                              <wps:cNvSpPr txBox="1"/>
                              <wps:spPr>
                                <a:xfrm>
                                  <a:off x="6367" y="534290"/>
                                  <a:ext cx="1559" cy="47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F9D38">
                                    <w:r>
                                      <w:rPr>
                                        <w:rFonts w:hint="eastAsia"/>
                                      </w:rPr>
                                      <w:t>三级化粪池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0" name="直接箭头连接符 70"/>
                              <wps:cNvCnPr/>
                              <wps:spPr>
                                <a:xfrm>
                                  <a:off x="4040" y="534476"/>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1" name="直接箭头连接符 74"/>
                              <wps:cNvCnPr/>
                              <wps:spPr>
                                <a:xfrm>
                                  <a:off x="5845" y="534468"/>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2" name="直接箭头连接符 75"/>
                              <wps:cNvCnPr/>
                              <wps:spPr>
                                <a:xfrm>
                                  <a:off x="7707" y="534493"/>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3" name="直接箭头连接符 78"/>
                              <wps:cNvCnPr/>
                              <wps:spPr>
                                <a:xfrm>
                                  <a:off x="9445" y="534506"/>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9" name="文本框 39"/>
                              <wps:cNvSpPr txBox="1"/>
                              <wps:spPr>
                                <a:xfrm>
                                  <a:off x="9932" y="534088"/>
                                  <a:ext cx="995" cy="81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6A7DB">
                                    <w:pPr>
                                      <w:jc w:val="center"/>
                                    </w:pPr>
                                    <w:r>
                                      <w:rPr>
                                        <w:rFonts w:hint="eastAsia"/>
                                      </w:rPr>
                                      <w:t>污水处理厂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2" name="曲线连接符 88"/>
                              <wps:cNvCnPr/>
                              <wps:spPr>
                                <a:xfrm flipV="1">
                                  <a:off x="5109" y="533941"/>
                                  <a:ext cx="363" cy="288"/>
                                </a:xfrm>
                                <a:prstGeom prst="curvedConnector3">
                                  <a:avLst>
                                    <a:gd name="adj1" fmla="val 50138"/>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53" name="文本框 39"/>
                              <wps:cNvSpPr txBox="1"/>
                              <wps:spPr>
                                <a:xfrm>
                                  <a:off x="5275" y="533611"/>
                                  <a:ext cx="1283" cy="46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661BC3">
                                    <w:pPr>
                                      <w:jc w:val="center"/>
                                      <w:rPr>
                                        <w:rFonts w:hint="default" w:eastAsia="宋体"/>
                                        <w:lang w:val="en-US" w:eastAsia="zh-CN"/>
                                      </w:rPr>
                                    </w:pPr>
                                    <w:r>
                                      <w:rPr>
                                        <w:rFonts w:hint="eastAsia"/>
                                      </w:rPr>
                                      <w:t>损失0.</w:t>
                                    </w:r>
                                    <w:r>
                                      <w:rPr>
                                        <w:rFonts w:hint="eastAsia"/>
                                        <w:lang w:val="en-US" w:eastAsia="zh-CN"/>
                                      </w:rPr>
                                      <w:t>608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4" name="文本框 39"/>
                              <wps:cNvSpPr txBox="1"/>
                              <wps:spPr>
                                <a:xfrm>
                                  <a:off x="3900" y="534105"/>
                                  <a:ext cx="858"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27C510">
                                    <w:pPr>
                                      <w:jc w:val="center"/>
                                      <w:rPr>
                                        <w:rFonts w:hint="default" w:eastAsia="宋体"/>
                                        <w:lang w:val="en-US" w:eastAsia="zh-CN"/>
                                      </w:rPr>
                                    </w:pPr>
                                    <w:r>
                                      <w:rPr>
                                        <w:rFonts w:hint="eastAsia"/>
                                        <w:lang w:val="en-US" w:eastAsia="zh-CN"/>
                                      </w:rPr>
                                      <w:t>6.08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7" name="文本框 39"/>
                              <wps:cNvSpPr txBox="1"/>
                              <wps:spPr>
                                <a:xfrm>
                                  <a:off x="5674" y="534127"/>
                                  <a:ext cx="844"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55CD9">
                                    <w:pPr>
                                      <w:jc w:val="center"/>
                                      <w:rPr>
                                        <w:rFonts w:hint="default" w:eastAsia="宋体"/>
                                        <w:lang w:val="en-US" w:eastAsia="zh-CN"/>
                                      </w:rPr>
                                    </w:pPr>
                                    <w:r>
                                      <w:rPr>
                                        <w:rFonts w:hint="eastAsia"/>
                                        <w:lang w:val="en-US" w:eastAsia="zh-CN"/>
                                      </w:rPr>
                                      <w:t>5.472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 name="文本框 39"/>
                              <wps:cNvSpPr txBox="1"/>
                              <wps:spPr>
                                <a:xfrm>
                                  <a:off x="7487" y="534139"/>
                                  <a:ext cx="809"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C948A">
                                    <w:pPr>
                                      <w:jc w:val="center"/>
                                      <w:rPr>
                                        <w:rFonts w:hint="default" w:eastAsia="宋体"/>
                                        <w:lang w:val="en-US" w:eastAsia="zh-CN"/>
                                      </w:rPr>
                                    </w:pPr>
                                    <w:r>
                                      <w:rPr>
                                        <w:rFonts w:hint="eastAsia"/>
                                        <w:lang w:val="en-US" w:eastAsia="zh-CN"/>
                                      </w:rPr>
                                      <w:t>5.472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4" name="文本框 39"/>
                              <wps:cNvSpPr txBox="1"/>
                              <wps:spPr>
                                <a:xfrm>
                                  <a:off x="9312" y="534154"/>
                                  <a:ext cx="809"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EA798">
                                    <w:pPr>
                                      <w:jc w:val="center"/>
                                      <w:rPr>
                                        <w:rFonts w:hint="default" w:eastAsia="宋体"/>
                                        <w:lang w:val="en-US" w:eastAsia="zh-CN"/>
                                      </w:rPr>
                                    </w:pPr>
                                    <w:r>
                                      <w:rPr>
                                        <w:rFonts w:hint="eastAsia"/>
                                        <w:lang w:val="en-US" w:eastAsia="zh-CN"/>
                                      </w:rPr>
                                      <w:t>5.472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5" name="直接连接符 325"/>
                              <wps:cNvCnPr/>
                              <wps:spPr>
                                <a:xfrm flipH="1">
                                  <a:off x="4031" y="534462"/>
                                  <a:ext cx="3" cy="1181"/>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99" name="直接箭头连接符 70"/>
                              <wps:cNvCnPr/>
                              <wps:spPr>
                                <a:xfrm>
                                  <a:off x="3440" y="535016"/>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00" name="文本框 39"/>
                              <wps:cNvSpPr txBox="1"/>
                              <wps:spPr>
                                <a:xfrm>
                                  <a:off x="3315" y="534645"/>
                                  <a:ext cx="858"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8D1E7">
                                    <w:pPr>
                                      <w:jc w:val="center"/>
                                      <w:rPr>
                                        <w:rFonts w:hint="default" w:eastAsia="宋体"/>
                                        <w:lang w:val="en-US" w:eastAsia="zh-CN"/>
                                      </w:rPr>
                                    </w:pPr>
                                    <w:r>
                                      <w:rPr>
                                        <w:rFonts w:hint="eastAsia"/>
                                        <w:lang w:val="en-US" w:eastAsia="zh-CN"/>
                                      </w:rPr>
                                      <w:t>11.08</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401" name="组合 401"/>
                              <wpg:cNvGrpSpPr/>
                              <wpg:grpSpPr>
                                <a:xfrm>
                                  <a:off x="4023" y="534804"/>
                                  <a:ext cx="4444" cy="966"/>
                                  <a:chOff x="4068" y="534102"/>
                                  <a:chExt cx="4444" cy="966"/>
                                </a:xfrm>
                              </wpg:grpSpPr>
                              <wps:wsp>
                                <wps:cNvPr id="314" name="曲线连接符 314"/>
                                <wps:cNvCnPr/>
                                <wps:spPr>
                                  <a:xfrm flipV="1">
                                    <a:off x="5252" y="534375"/>
                                    <a:ext cx="363" cy="288"/>
                                  </a:xfrm>
                                  <a:prstGeom prst="curvedConnector3">
                                    <a:avLst>
                                      <a:gd name="adj1" fmla="val 50138"/>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0" name="直接箭头连接符 320"/>
                                <wps:cNvCnPr/>
                                <wps:spPr>
                                  <a:xfrm>
                                    <a:off x="4091" y="534928"/>
                                    <a:ext cx="690" cy="3"/>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5" name="文本框 39"/>
                                <wps:cNvSpPr txBox="1"/>
                                <wps:spPr>
                                  <a:xfrm>
                                    <a:off x="4068" y="534522"/>
                                    <a:ext cx="1009" cy="38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06CD1">
                                      <w:pPr>
                                        <w:rPr>
                                          <w:rFonts w:hint="default" w:eastAsia="宋体"/>
                                          <w:lang w:val="en-US" w:eastAsia="zh-CN"/>
                                        </w:rPr>
                                      </w:pPr>
                                      <w:r>
                                        <w:rPr>
                                          <w:rFonts w:hint="eastAsia"/>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3" name="文本框 39"/>
                                <wps:cNvSpPr txBox="1"/>
                                <wps:spPr>
                                  <a:xfrm>
                                    <a:off x="4804" y="534640"/>
                                    <a:ext cx="3709" cy="4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939C70C">
                                      <w:r>
                                        <w:rPr>
                                          <w:rFonts w:hint="eastAsia"/>
                                          <w:lang w:val="en-US" w:eastAsia="zh-CN"/>
                                        </w:rPr>
                                        <w:t>铸造冷却、型砂制作、涂料配制</w:t>
                                      </w:r>
                                      <w:r>
                                        <w:rPr>
                                          <w:rFonts w:hint="eastAsia"/>
                                        </w:rPr>
                                        <w:t>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4" name="文本框 39"/>
                                <wps:cNvSpPr txBox="1"/>
                                <wps:spPr>
                                  <a:xfrm>
                                    <a:off x="5508" y="534102"/>
                                    <a:ext cx="1159" cy="4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9A383">
                                      <w:pPr>
                                        <w:rPr>
                                          <w:rFonts w:hint="default" w:eastAsia="宋体"/>
                                          <w:lang w:val="en-US" w:eastAsia="zh-CN"/>
                                        </w:rPr>
                                      </w:pPr>
                                      <w:r>
                                        <w:rPr>
                                          <w:rFonts w:hint="eastAsia"/>
                                          <w:lang w:val="en-US" w:eastAsia="zh-CN"/>
                                        </w:rPr>
                                        <w:t>损耗5</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2.5pt;margin-top:4.7pt;height:107.95pt;width:421.2pt;z-index:251738112;mso-width-relative:page;mso-height-relative:page;" coordorigin="2502,533611" coordsize="8424,2159" o:gfxdata="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">
                      <o:lock v:ext="edit" aspectratio="f"/>
                      <v:shape id="文本框 39" o:spid="_x0000_s1026" o:spt="202" type="#_x0000_t202" style="position:absolute;left:4669;top:534262;height:428;width:1160;" fillcolor="#FFFFFF [3201]" filled="t" stroked="t" coordsize="21600,21600" o:gfxdata="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U/heh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2D3A79FD">
                              <w:r>
                                <w:rPr>
                                  <w:rFonts w:hint="eastAsia"/>
                                </w:rPr>
                                <w:t>生活用水</w:t>
                              </w:r>
                            </w:p>
                          </w:txbxContent>
                        </v:textbox>
                      </v:shape>
                      <v:shape id="文本框 6" o:spid="_x0000_s1026" o:spt="202" type="#_x0000_t202" style="position:absolute;left:2502;top:534781;height:431;width:949;" fillcolor="#FFFFFF [3201]" filled="t" stroked="t" coordsize="21600,21600" o:gfxdata="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EibQ5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74BE9009">
                              <w:r>
                                <w:rPr>
                                  <w:rFonts w:hint="eastAsia"/>
                                </w:rPr>
                                <w:t>新鲜水</w:t>
                              </w:r>
                            </w:p>
                          </w:txbxContent>
                        </v:textbox>
                      </v:shape>
                      <v:shape id="文本框 39" o:spid="_x0000_s1026" o:spt="202" type="#_x0000_t202" style="position:absolute;left:8284;top:534276;height:428;width:1160;" fillcolor="#FFFFFF [3201]" filled="t" stroked="t" coordsize="21600,21600" o:gfxdata="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0WypO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58B9ECE1">
                              <w:r>
                                <w:rPr>
                                  <w:rFonts w:hint="eastAsia"/>
                                </w:rPr>
                                <w:t>生活污水</w:t>
                              </w:r>
                            </w:p>
                          </w:txbxContent>
                        </v:textbox>
                      </v:shape>
                      <v:shape id="文本框 39" o:spid="_x0000_s1026" o:spt="202" type="#_x0000_t202" style="position:absolute;left:6367;top:534290;height:473;width:1559;" filled="f" stroked="f" coordsize="21600,21600" o:gfxdata="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HRHO/&#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55F9D38">
                              <w:r>
                                <w:rPr>
                                  <w:rFonts w:hint="eastAsia"/>
                                </w:rPr>
                                <w:t>三级化粪池</w:t>
                              </w:r>
                            </w:p>
                          </w:txbxContent>
                        </v:textbox>
                      </v:shape>
                      <v:shape id="直接箭头连接符 70" o:spid="_x0000_s1026" o:spt="32" type="#_x0000_t32" style="position:absolute;left:4040;top:534476;height:0;width:612;" filled="f" stroked="t" coordsize="21600,21600" o:gfxdata="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FnDP&#10;wAAAANwAAAAPAAAAAAAAAAEAIAAAACIAAABkcnMvZG93bnJldi54bWxQSwECFAAUAAAACACHTuJA&#10;My8FnjsAAAA5AAAAEAAAAAAAAAABACAAAAAPAQAAZHJzL3NoYXBleG1sLnhtbFBLBQYAAAAABgAG&#10;AFsBAAC5AwAAAAA=&#10;">
                        <v:fill on="f" focussize="0,0"/>
                        <v:stroke color="#000000 [3213]" joinstyle="round" endarrow="block"/>
                        <v:imagedata o:title=""/>
                        <o:lock v:ext="edit" aspectratio="f"/>
                      </v:shape>
                      <v:shape id="直接箭头连接符 74" o:spid="_x0000_s1026" o:spt="32" type="#_x0000_t32" style="position:absolute;left:5845;top:534468;height:0;width:612;" filled="f" stroked="t" coordsize="21600,21600" o:gfxdata="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a1VS8AAAA&#10;3AAAAA8AAAAAAAAAAQAgAAAAIgAAAGRycy9kb3ducmV2LnhtbFBLAQIUABQAAAAIAIdO4kAzLwWe&#10;OwAAADkAAAAQAAAAAAAAAAEAIAAAAAsBAABkcnMvc2hhcGV4bWwueG1sUEsFBgAAAAAGAAYAWwEA&#10;ALUDAAAAAA==&#10;">
                        <v:fill on="f" focussize="0,0"/>
                        <v:stroke color="#000000 [3213]" joinstyle="round" endarrow="block"/>
                        <v:imagedata o:title=""/>
                        <o:lock v:ext="edit" aspectratio="f"/>
                      </v:shape>
                      <v:shape id="直接箭头连接符 75" o:spid="_x0000_s1026" o:spt="32" type="#_x0000_t32" style="position:absolute;left:7707;top:534493;height:0;width:612;" filled="f" stroked="t" coordsize="21600,21600" o:gfxdata="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iEsjvQAA&#10;ANwAAAAPAAAAAAAAAAEAIAAAACIAAABkcnMvZG93bnJldi54bWxQSwECFAAUAAAACACHTuJAMy8F&#10;njsAAAA5AAAAEAAAAAAAAAABACAAAAAMAQAAZHJzL3NoYXBleG1sLnhtbFBLBQYAAAAABgAGAFsB&#10;AAC2AwAAAAA=&#10;">
                        <v:fill on="f" focussize="0,0"/>
                        <v:stroke color="#000000 [3213]" joinstyle="round" endarrow="block"/>
                        <v:imagedata o:title=""/>
                        <o:lock v:ext="edit" aspectratio="f"/>
                      </v:shape>
                      <v:shape id="直接箭头连接符 78" o:spid="_x0000_s1026" o:spt="32" type="#_x0000_t32" style="position:absolute;left:9445;top:534506;height:0;width:612;" filled="f" stroked="t" coordsize="21600,21600" o:gfxdata="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xO64vQAA&#10;ANwAAAAPAAAAAAAAAAEAIAAAACIAAABkcnMvZG93bnJldi54bWxQSwECFAAUAAAACACHTuJAMy8F&#10;njsAAAA5AAAAEAAAAAAAAAABACAAAAAMAQAAZHJzL3NoYXBleG1sLnhtbFBLBQYAAAAABgAGAFsB&#10;AAC2AwAAAAA=&#10;">
                        <v:fill on="f" focussize="0,0"/>
                        <v:stroke color="#000000 [3213]" joinstyle="round" endarrow="block"/>
                        <v:imagedata o:title=""/>
                        <o:lock v:ext="edit" aspectratio="f"/>
                      </v:shape>
                      <v:shape id="文本框 39" o:spid="_x0000_s1026" o:spt="202" type="#_x0000_t202" style="position:absolute;left:9932;top:534088;height:816;width:995;" filled="f" stroked="f" coordsize="21600,21600" o:gfxdata="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Jod0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086A7DB">
                              <w:pPr>
                                <w:jc w:val="center"/>
                              </w:pPr>
                              <w:r>
                                <w:rPr>
                                  <w:rFonts w:hint="eastAsia"/>
                                </w:rPr>
                                <w:t>污水处理厂</w:t>
                              </w:r>
                            </w:p>
                          </w:txbxContent>
                        </v:textbox>
                      </v:shape>
                      <v:shape id="曲线连接符 88" o:spid="_x0000_s1026" o:spt="38" type="#_x0000_t38" style="position:absolute;left:5109;top:533941;flip:y;height:288;width:363;" filled="f" stroked="t" coordsize="21600,21600" o:gfxdata="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cfkBugAAANwA&#10;AAAPAAAAAAAAAAEAIAAAACIAAABkcnMvZG93bnJldi54bWxQSwECFAAUAAAACACHTuJAMy8FnjsA&#10;AAA5AAAAEAAAAAAAAAABACAAAAAJAQAAZHJzL3NoYXBleG1sLnhtbFBLBQYAAAAABgAGAFsBAACz&#10;AwAAAAA=&#10;" adj="10830">
                        <v:fill on="f" focussize="0,0"/>
                        <v:stroke color="#000000 [3213]" joinstyle="round" dashstyle="dash" endarrow="block"/>
                        <v:imagedata o:title=""/>
                        <o:lock v:ext="edit" aspectratio="f"/>
                      </v:shape>
                      <v:shape id="文本框 39" o:spid="_x0000_s1026" o:spt="202" type="#_x0000_t202" style="position:absolute;left:5275;top:533611;height:466;width:1283;" filled="f" stroked="f" coordsize="21600,21600" o:gfxdata="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rvOS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23661BC3">
                              <w:pPr>
                                <w:jc w:val="center"/>
                                <w:rPr>
                                  <w:rFonts w:hint="default" w:eastAsia="宋体"/>
                                  <w:lang w:val="en-US" w:eastAsia="zh-CN"/>
                                </w:rPr>
                              </w:pPr>
                              <w:r>
                                <w:rPr>
                                  <w:rFonts w:hint="eastAsia"/>
                                </w:rPr>
                                <w:t>损失0.</w:t>
                              </w:r>
                              <w:r>
                                <w:rPr>
                                  <w:rFonts w:hint="eastAsia"/>
                                  <w:lang w:val="en-US" w:eastAsia="zh-CN"/>
                                </w:rPr>
                                <w:t>608</w:t>
                              </w:r>
                            </w:p>
                          </w:txbxContent>
                        </v:textbox>
                      </v:shape>
                      <v:shape id="文本框 39" o:spid="_x0000_s1026" o:spt="202" type="#_x0000_t202" style="position:absolute;left:3900;top:534105;height:368;width:858;" filled="f" stroked="f" coordsize="21600,21600" o:gfxdata="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CJJC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0727C510">
                              <w:pPr>
                                <w:jc w:val="center"/>
                                <w:rPr>
                                  <w:rFonts w:hint="default" w:eastAsia="宋体"/>
                                  <w:lang w:val="en-US" w:eastAsia="zh-CN"/>
                                </w:rPr>
                              </w:pPr>
                              <w:r>
                                <w:rPr>
                                  <w:rFonts w:hint="eastAsia"/>
                                  <w:lang w:val="en-US" w:eastAsia="zh-CN"/>
                                </w:rPr>
                                <w:t>6.08</w:t>
                              </w:r>
                            </w:p>
                          </w:txbxContent>
                        </v:textbox>
                      </v:shape>
                      <v:shape id="文本框 39" o:spid="_x0000_s1026" o:spt="202" type="#_x0000_t202" style="position:absolute;left:5674;top:534127;height:368;width:844;" filled="f" stroked="f" coordsize="21600,21600" o:gfxdata="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5C65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24255CD9">
                              <w:pPr>
                                <w:jc w:val="center"/>
                                <w:rPr>
                                  <w:rFonts w:hint="default" w:eastAsia="宋体"/>
                                  <w:lang w:val="en-US" w:eastAsia="zh-CN"/>
                                </w:rPr>
                              </w:pPr>
                              <w:r>
                                <w:rPr>
                                  <w:rFonts w:hint="eastAsia"/>
                                  <w:lang w:val="en-US" w:eastAsia="zh-CN"/>
                                </w:rPr>
                                <w:t>5.472</w:t>
                              </w:r>
                            </w:p>
                          </w:txbxContent>
                        </v:textbox>
                      </v:shape>
                      <v:shape id="文本框 39" o:spid="_x0000_s1026" o:spt="202" type="#_x0000_t202" style="position:absolute;left:7487;top:534139;height:368;width:809;" filled="f" stroked="f" coordsize="21600,21600" o:gfxdata="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Hdlm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4E8C948A">
                              <w:pPr>
                                <w:jc w:val="center"/>
                                <w:rPr>
                                  <w:rFonts w:hint="default" w:eastAsia="宋体"/>
                                  <w:lang w:val="en-US" w:eastAsia="zh-CN"/>
                                </w:rPr>
                              </w:pPr>
                              <w:r>
                                <w:rPr>
                                  <w:rFonts w:hint="eastAsia"/>
                                  <w:lang w:val="en-US" w:eastAsia="zh-CN"/>
                                </w:rPr>
                                <w:t>5.472</w:t>
                              </w:r>
                            </w:p>
                          </w:txbxContent>
                        </v:textbox>
                      </v:shape>
                      <v:shape id="文本框 39" o:spid="_x0000_s1026" o:spt="202" type="#_x0000_t202" style="position:absolute;left:9312;top:534154;height:368;width:809;" filled="f" stroked="f" coordsize="21600,21600" o:gfxdata="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0u7i2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517EA798">
                              <w:pPr>
                                <w:jc w:val="center"/>
                                <w:rPr>
                                  <w:rFonts w:hint="default" w:eastAsia="宋体"/>
                                  <w:lang w:val="en-US" w:eastAsia="zh-CN"/>
                                </w:rPr>
                              </w:pPr>
                              <w:r>
                                <w:rPr>
                                  <w:rFonts w:hint="eastAsia"/>
                                  <w:lang w:val="en-US" w:eastAsia="zh-CN"/>
                                </w:rPr>
                                <w:t>5.472</w:t>
                              </w:r>
                            </w:p>
                          </w:txbxContent>
                        </v:textbox>
                      </v:shape>
                      <v:line id="_x0000_s1026" o:spid="_x0000_s1026" o:spt="20" style="position:absolute;left:4031;top:534462;flip:x;height:1181;width:3;" filled="f" stroked="t" coordsize="21600,21600" o:gfxdata="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yFaU&#10;wAAAANwAAAAPAAAAAAAAAAEAIAAAACIAAABkcnMvZG93bnJldi54bWxQSwECFAAUAAAACACHTuJA&#10;My8FnjsAAAA5AAAAEAAAAAAAAAABACAAAAAPAQAAZHJzL3NoYXBleG1sLnhtbFBLBQYAAAAABgAG&#10;AFsBAAC5AwAAAAA=&#10;">
                        <v:fill on="f" focussize="0,0"/>
                        <v:stroke weight="0.5pt" color="#000000 [3213]" joinstyle="round"/>
                        <v:imagedata o:title=""/>
                        <o:lock v:ext="edit" aspectratio="f"/>
                      </v:line>
                      <v:shape id="直接箭头连接符 70" o:spid="_x0000_s1026" o:spt="32" type="#_x0000_t32" style="position:absolute;left:3440;top:535016;height:0;width:612;" filled="f" stroked="t" coordsize="21600,21600" o:gfxdata="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Im/S/&#10;AAAA3AAAAA8AAAAAAAAAAQAgAAAAIgAAAGRycy9kb3ducmV2LnhtbFBLAQIUABQAAAAIAIdO4kAz&#10;LwWeOwAAADkAAAAQAAAAAAAAAAEAIAAAAA4BAABkcnMvc2hhcGV4bWwueG1sUEsFBgAAAAAGAAYA&#10;WwEAALgDAAAAAA==&#10;">
                        <v:fill on="f" focussize="0,0"/>
                        <v:stroke color="#000000 [3213]" joinstyle="round" endarrow="block"/>
                        <v:imagedata o:title=""/>
                        <o:lock v:ext="edit" aspectratio="f"/>
                      </v:shape>
                      <v:shape id="文本框 39" o:spid="_x0000_s1026" o:spt="202" type="#_x0000_t202" style="position:absolute;left:3315;top:534645;height:368;width:858;" filled="f" stroked="f" coordsize="21600,21600" o:gfxdata="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Kkrgq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25D8D1E7">
                              <w:pPr>
                                <w:jc w:val="center"/>
                                <w:rPr>
                                  <w:rFonts w:hint="default" w:eastAsia="宋体"/>
                                  <w:lang w:val="en-US" w:eastAsia="zh-CN"/>
                                </w:rPr>
                              </w:pPr>
                              <w:r>
                                <w:rPr>
                                  <w:rFonts w:hint="eastAsia"/>
                                  <w:lang w:val="en-US" w:eastAsia="zh-CN"/>
                                </w:rPr>
                                <w:t>11.08</w:t>
                              </w:r>
                            </w:p>
                          </w:txbxContent>
                        </v:textbox>
                      </v:shape>
                      <v:group id="_x0000_s1026" o:spid="_x0000_s1026" o:spt="203" style="position:absolute;left:4023;top:534804;height:966;width:4444;" coordorigin="4068,534102" coordsize="4444,966" o:gfxdata="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PuJvOvwAAANwAAAAPAAAAAAAAAAEAIAAAACIAAABkcnMvZG93bnJldi54&#10;bWxQSwECFAAUAAAACACHTuJAMy8FnjsAAAA5AAAAFQAAAAAAAAABACAAAAAOAQAAZHJzL2dyb3Vw&#10;c2hhcGV4bWwueG1sUEsFBgAAAAAGAAYAYAEAAMsDAAAAAA==&#10;">
                        <o:lock v:ext="edit" aspectratio="f"/>
                        <v:shape id="_x0000_s1026" o:spid="_x0000_s1026" o:spt="38" type="#_x0000_t38" style="position:absolute;left:5252;top:534375;flip:y;height:288;width:363;" filled="f" stroked="t" coordsize="21600,21600" o:gfxdata="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HoTz74A&#10;AADcAAAADwAAAAAAAAABACAAAAAiAAAAZHJzL2Rvd25yZXYueG1sUEsBAhQAFAAAAAgAh07iQDMv&#10;BZ47AAAAOQAAABAAAAAAAAAAAQAgAAAADQEAAGRycy9zaGFwZXhtbC54bWxQSwUGAAAAAAYABgBb&#10;AQAAtwMAAAAA&#10;" adj="10830">
                          <v:fill on="f" focussize="0,0"/>
                          <v:stroke color="#000000 [3213]" joinstyle="round" dashstyle="dash" endarrow="block"/>
                          <v:imagedata o:title=""/>
                          <o:lock v:ext="edit" aspectratio="f"/>
                        </v:shape>
                        <v:shape id="_x0000_s1026" o:spid="_x0000_s1026" o:spt="32" type="#_x0000_t32" style="position:absolute;left:4091;top:534928;height:3;width:690;" filled="f" stroked="t" coordsize="21600,21600" o:gfxdata="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wN+468AAAA&#10;3AAAAA8AAAAAAAAAAQAgAAAAIgAAAGRycy9kb3ducmV2LnhtbFBLAQIUABQAAAAIAIdO4kAzLwWe&#10;OwAAADkAAAAQAAAAAAAAAAEAIAAAAAsBAABkcnMvc2hhcGV4bWwueG1sUEsFBgAAAAAGAAYAWwEA&#10;ALUDAAAAAA==&#10;">
                          <v:fill on="f" focussize="0,0"/>
                          <v:stroke color="#000000 [3213]" joinstyle="round" endarrow="block"/>
                          <v:imagedata o:title=""/>
                          <o:lock v:ext="edit" aspectratio="f"/>
                        </v:shape>
                        <v:shape id="文本框 39" o:spid="_x0000_s1026" o:spt="202" type="#_x0000_t202" style="position:absolute;left:4068;top:534522;height:381;width:1009;" filled="f" stroked="f" coordsize="21600,21600" o:gfxdata="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oFYq&#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46906CD1">
                                <w:pPr>
                                  <w:rPr>
                                    <w:rFonts w:hint="default" w:eastAsia="宋体"/>
                                    <w:lang w:val="en-US" w:eastAsia="zh-CN"/>
                                  </w:rPr>
                                </w:pPr>
                                <w:r>
                                  <w:rPr>
                                    <w:rFonts w:hint="eastAsia"/>
                                    <w:lang w:val="en-US" w:eastAsia="zh-CN"/>
                                  </w:rPr>
                                  <w:t>5</w:t>
                                </w:r>
                              </w:p>
                            </w:txbxContent>
                          </v:textbox>
                        </v:shape>
                        <v:shape id="文本框 39" o:spid="_x0000_s1026" o:spt="202" type="#_x0000_t202" style="position:absolute;left:4804;top:534640;height:428;width:3709;" fillcolor="#FFFFFF [3201]" filled="t" stroked="t" coordsize="21600,21600" o:gfxdata="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YHusC2AAAA3A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2939C70C">
                                <w:r>
                                  <w:rPr>
                                    <w:rFonts w:hint="eastAsia"/>
                                    <w:lang w:val="en-US" w:eastAsia="zh-CN"/>
                                  </w:rPr>
                                  <w:t>铸造冷却、型砂制作、涂料配制</w:t>
                                </w:r>
                                <w:r>
                                  <w:rPr>
                                    <w:rFonts w:hint="eastAsia"/>
                                  </w:rPr>
                                  <w:t>用水</w:t>
                                </w:r>
                              </w:p>
                            </w:txbxContent>
                          </v:textbox>
                        </v:shape>
                        <v:shape id="文本框 39" o:spid="_x0000_s1026" o:spt="202" type="#_x0000_t202" style="position:absolute;left:5508;top:534102;height:426;width:1159;" filled="f" stroked="f" coordsize="21600,21600" o:gfxdata="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aAOQy/&#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1819A383">
                                <w:pPr>
                                  <w:rPr>
                                    <w:rFonts w:hint="default" w:eastAsia="宋体"/>
                                    <w:lang w:val="en-US" w:eastAsia="zh-CN"/>
                                  </w:rPr>
                                </w:pPr>
                                <w:r>
                                  <w:rPr>
                                    <w:rFonts w:hint="eastAsia"/>
                                    <w:lang w:val="en-US" w:eastAsia="zh-CN"/>
                                  </w:rPr>
                                  <w:t>损耗5</w:t>
                                </w:r>
                              </w:p>
                            </w:txbxContent>
                          </v:textbox>
                        </v:shape>
                      </v:group>
                    </v:group>
                  </w:pict>
                </mc:Fallback>
              </mc:AlternateContent>
            </w:r>
          </w:p>
          <w:p w14:paraId="53212C56">
            <w:pPr>
              <w:pStyle w:val="16"/>
              <w:numPr>
                <w:ilvl w:val="0"/>
                <w:numId w:val="0"/>
              </w:numPr>
              <w:rPr>
                <w:rFonts w:hint="default" w:ascii="Times New Roman" w:hAnsi="Times New Roman" w:cs="Times New Roman"/>
                <w:color w:val="auto"/>
                <w:kern w:val="0"/>
                <w:sz w:val="24"/>
                <w:highlight w:val="none"/>
              </w:rPr>
            </w:pPr>
          </w:p>
          <w:p w14:paraId="6AE6C918">
            <w:pPr>
              <w:pStyle w:val="16"/>
              <w:numPr>
                <w:ilvl w:val="0"/>
                <w:numId w:val="0"/>
              </w:numPr>
              <w:rPr>
                <w:rFonts w:hint="default" w:ascii="Times New Roman" w:hAnsi="Times New Roman" w:cs="Times New Roman"/>
                <w:color w:val="auto"/>
                <w:kern w:val="0"/>
                <w:sz w:val="24"/>
                <w:highlight w:val="none"/>
              </w:rPr>
            </w:pPr>
          </w:p>
          <w:p w14:paraId="32A04C1F">
            <w:pPr>
              <w:pStyle w:val="16"/>
              <w:numPr>
                <w:ilvl w:val="0"/>
                <w:numId w:val="0"/>
              </w:numPr>
              <w:rPr>
                <w:rFonts w:hint="default" w:ascii="Times New Roman" w:hAnsi="Times New Roman" w:cs="Times New Roman"/>
                <w:color w:val="auto"/>
                <w:kern w:val="0"/>
                <w:sz w:val="24"/>
                <w:highlight w:val="none"/>
              </w:rPr>
            </w:pPr>
          </w:p>
          <w:p w14:paraId="4084BCC2">
            <w:pPr>
              <w:pStyle w:val="16"/>
              <w:numPr>
                <w:ilvl w:val="0"/>
                <w:numId w:val="0"/>
              </w:numPr>
              <w:rPr>
                <w:rFonts w:hint="default" w:ascii="Times New Roman" w:hAnsi="Times New Roman" w:cs="Times New Roman"/>
                <w:color w:val="auto"/>
                <w:kern w:val="0"/>
                <w:sz w:val="24"/>
                <w:highlight w:val="none"/>
              </w:rPr>
            </w:pPr>
          </w:p>
          <w:p w14:paraId="3F4A3D69">
            <w:pPr>
              <w:pStyle w:val="16"/>
              <w:numPr>
                <w:ilvl w:val="0"/>
                <w:numId w:val="0"/>
              </w:numPr>
              <w:rPr>
                <w:rFonts w:hint="default" w:ascii="Times New Roman" w:hAnsi="Times New Roman" w:cs="Times New Roman"/>
                <w:color w:val="auto"/>
                <w:kern w:val="0"/>
                <w:sz w:val="24"/>
                <w:highlight w:val="none"/>
              </w:rPr>
            </w:pPr>
          </w:p>
          <w:p w14:paraId="0644EB7B">
            <w:pPr>
              <w:pStyle w:val="4"/>
              <w:ind w:left="0" w:firstLine="0"/>
              <w:jc w:val="both"/>
              <w:rPr>
                <w:rFonts w:hint="default" w:ascii="Times New Roman" w:hAnsi="Times New Roman" w:eastAsia="宋体" w:cs="Times New Roman"/>
                <w:color w:val="auto"/>
                <w:kern w:val="0"/>
                <w:sz w:val="24"/>
                <w:szCs w:val="24"/>
                <w:highlight w:val="none"/>
              </w:rPr>
            </w:pPr>
          </w:p>
          <w:p w14:paraId="67B7F903">
            <w:pPr>
              <w:pStyle w:val="4"/>
              <w:ind w:left="0" w:firstLine="0"/>
              <w:jc w:val="both"/>
              <w:rPr>
                <w:rFonts w:hint="default" w:ascii="Times New Roman" w:hAnsi="Times New Roman" w:eastAsia="宋体" w:cs="Times New Roman"/>
                <w:color w:val="auto"/>
                <w:kern w:val="0"/>
                <w:sz w:val="24"/>
                <w:szCs w:val="24"/>
                <w:highlight w:val="none"/>
              </w:rPr>
            </w:pPr>
          </w:p>
          <w:p w14:paraId="1D0A83A2">
            <w:pPr>
              <w:pStyle w:val="4"/>
              <w:ind w:left="0" w:firstLine="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图2-2  原项目水平衡图  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/d</w:t>
            </w:r>
          </w:p>
          <w:p w14:paraId="365AD37A">
            <w:pPr>
              <w:pStyle w:val="16"/>
              <w:numPr>
                <w:ilvl w:val="0"/>
                <w:numId w:val="0"/>
              </w:numPr>
              <w:rPr>
                <w:rFonts w:hint="default" w:ascii="Times New Roman" w:hAnsi="Times New Roman" w:cs="Times New Roman"/>
                <w:color w:val="auto"/>
                <w:kern w:val="0"/>
                <w:sz w:val="24"/>
                <w:highlight w:val="none"/>
              </w:rPr>
            </w:pPr>
          </w:p>
          <w:p w14:paraId="556FD080">
            <w:pPr>
              <w:pStyle w:val="16"/>
              <w:numPr>
                <w:ilvl w:val="0"/>
                <w:numId w:val="0"/>
              </w:numP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rPr>
              <mc:AlternateContent>
                <mc:Choice Requires="wpg">
                  <w:drawing>
                    <wp:anchor distT="0" distB="0" distL="114300" distR="114300" simplePos="0" relativeHeight="251739136" behindDoc="0" locked="0" layoutInCell="1" allowOverlap="1">
                      <wp:simplePos x="0" y="0"/>
                      <wp:positionH relativeFrom="column">
                        <wp:posOffset>22860</wp:posOffset>
                      </wp:positionH>
                      <wp:positionV relativeFrom="paragraph">
                        <wp:posOffset>66040</wp:posOffset>
                      </wp:positionV>
                      <wp:extent cx="5342255" cy="2237740"/>
                      <wp:effectExtent l="4445" t="0" r="0" b="9525"/>
                      <wp:wrapNone/>
                      <wp:docPr id="409" name="组合 409"/>
                      <wp:cNvGraphicFramePr/>
                      <a:graphic xmlns:a="http://schemas.openxmlformats.org/drawingml/2006/main">
                        <a:graphicData uri="http://schemas.microsoft.com/office/word/2010/wordprocessingGroup">
                          <wpg:wgp>
                            <wpg:cNvGrpSpPr/>
                            <wpg:grpSpPr>
                              <a:xfrm>
                                <a:off x="0" y="0"/>
                                <a:ext cx="5342255" cy="2237740"/>
                                <a:chOff x="2573" y="540321"/>
                                <a:chExt cx="8413" cy="3524"/>
                              </a:xfrm>
                            </wpg:grpSpPr>
                            <wps:wsp>
                              <wps:cNvPr id="126" name="文本框 39"/>
                              <wps:cNvSpPr txBox="1"/>
                              <wps:spPr>
                                <a:xfrm>
                                  <a:off x="5335" y="540321"/>
                                  <a:ext cx="1283" cy="46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F5E3A">
                                    <w:pPr>
                                      <w:jc w:val="center"/>
                                      <w:rPr>
                                        <w:rFonts w:hint="default" w:eastAsia="宋体"/>
                                        <w:lang w:val="en-US" w:eastAsia="zh-CN"/>
                                      </w:rPr>
                                    </w:pPr>
                                    <w:r>
                                      <w:rPr>
                                        <w:rFonts w:hint="eastAsia"/>
                                      </w:rPr>
                                      <w:t>损失0.</w:t>
                                    </w:r>
                                    <w:r>
                                      <w:rPr>
                                        <w:rFonts w:hint="eastAsia"/>
                                        <w:lang w:val="en-US" w:eastAsia="zh-CN"/>
                                      </w:rPr>
                                      <w:t>608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6" name="文本框 39"/>
                              <wps:cNvSpPr txBox="1"/>
                              <wps:spPr>
                                <a:xfrm>
                                  <a:off x="4729" y="540972"/>
                                  <a:ext cx="1160" cy="4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DF1BD0F">
                                    <w:r>
                                      <w:rPr>
                                        <w:rFonts w:hint="eastAsia"/>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0" name="文本框 6"/>
                              <wps:cNvSpPr txBox="1"/>
                              <wps:spPr>
                                <a:xfrm>
                                  <a:off x="2573" y="541844"/>
                                  <a:ext cx="761" cy="67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C8CC41">
                                    <w:r>
                                      <w:rPr>
                                        <w:rFonts w:hint="eastAsia"/>
                                      </w:rPr>
                                      <w:t>新鲜</w:t>
                                    </w:r>
                                  </w:p>
                                  <w:p w14:paraId="4450B52D">
                                    <w:pPr>
                                      <w:jc w:val="center"/>
                                    </w:pPr>
                                    <w:r>
                                      <w:rPr>
                                        <w:rFonts w:hint="eastAsia"/>
                                      </w:rPr>
                                      <w:t>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5" name="文本框 39"/>
                              <wps:cNvSpPr txBox="1"/>
                              <wps:spPr>
                                <a:xfrm>
                                  <a:off x="8344" y="540986"/>
                                  <a:ext cx="1160" cy="4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D8D9A71">
                                    <w:r>
                                      <w:rPr>
                                        <w:rFonts w:hint="eastAsia"/>
                                      </w:rPr>
                                      <w:t>生活污水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4" name="文本框 39"/>
                              <wps:cNvSpPr txBox="1"/>
                              <wps:spPr>
                                <a:xfrm>
                                  <a:off x="6427" y="541000"/>
                                  <a:ext cx="1559" cy="47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DD5E2">
                                    <w:r>
                                      <w:rPr>
                                        <w:rFonts w:hint="eastAsia"/>
                                      </w:rPr>
                                      <w:t>三级化粪池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5" name="直接箭头连接符 70"/>
                              <wps:cNvCnPr/>
                              <wps:spPr>
                                <a:xfrm>
                                  <a:off x="4100" y="541186"/>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4" name="直接箭头连接符 74"/>
                              <wps:cNvCnPr/>
                              <wps:spPr>
                                <a:xfrm>
                                  <a:off x="5905" y="541178"/>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9" name="直接箭头连接符 75"/>
                              <wps:cNvCnPr/>
                              <wps:spPr>
                                <a:xfrm>
                                  <a:off x="7767" y="541203"/>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8" name="直接箭头连接符 78"/>
                              <wps:cNvCnPr/>
                              <wps:spPr>
                                <a:xfrm>
                                  <a:off x="9505" y="541216"/>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0" name="文本框 39"/>
                              <wps:cNvSpPr txBox="1"/>
                              <wps:spPr>
                                <a:xfrm>
                                  <a:off x="9992" y="540798"/>
                                  <a:ext cx="995" cy="81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A41234">
                                    <w:pPr>
                                      <w:jc w:val="center"/>
                                    </w:pPr>
                                    <w:r>
                                      <w:rPr>
                                        <w:rFonts w:hint="eastAsia"/>
                                      </w:rPr>
                                      <w:t>污水处理厂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9" name="曲线连接符 88"/>
                              <wps:cNvCnPr/>
                              <wps:spPr>
                                <a:xfrm flipV="1">
                                  <a:off x="5169" y="540651"/>
                                  <a:ext cx="363" cy="288"/>
                                </a:xfrm>
                                <a:prstGeom prst="curvedConnector3">
                                  <a:avLst>
                                    <a:gd name="adj1" fmla="val 50138"/>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8" name="文本框 39"/>
                              <wps:cNvSpPr txBox="1"/>
                              <wps:spPr>
                                <a:xfrm>
                                  <a:off x="3960" y="540815"/>
                                  <a:ext cx="858"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88F9F">
                                    <w:pPr>
                                      <w:jc w:val="center"/>
                                      <w:rPr>
                                        <w:rFonts w:hint="default" w:eastAsia="宋体"/>
                                        <w:lang w:val="en-US" w:eastAsia="zh-CN"/>
                                      </w:rPr>
                                    </w:pPr>
                                    <w:r>
                                      <w:rPr>
                                        <w:rFonts w:hint="eastAsia"/>
                                        <w:lang w:val="en-US" w:eastAsia="zh-CN"/>
                                      </w:rPr>
                                      <w:t>6.08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3" name="文本框 39"/>
                              <wps:cNvSpPr txBox="1"/>
                              <wps:spPr>
                                <a:xfrm>
                                  <a:off x="5734" y="540837"/>
                                  <a:ext cx="844"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1D7EE">
                                    <w:pPr>
                                      <w:jc w:val="center"/>
                                      <w:rPr>
                                        <w:rFonts w:hint="default" w:eastAsia="宋体"/>
                                        <w:lang w:val="en-US" w:eastAsia="zh-CN"/>
                                      </w:rPr>
                                    </w:pPr>
                                    <w:r>
                                      <w:rPr>
                                        <w:rFonts w:hint="eastAsia"/>
                                        <w:lang w:val="en-US" w:eastAsia="zh-CN"/>
                                      </w:rPr>
                                      <w:t>5.472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1" name="文本框 39"/>
                              <wps:cNvSpPr txBox="1"/>
                              <wps:spPr>
                                <a:xfrm>
                                  <a:off x="7547" y="540849"/>
                                  <a:ext cx="809"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2CFBC">
                                    <w:pPr>
                                      <w:jc w:val="center"/>
                                      <w:rPr>
                                        <w:rFonts w:hint="default" w:eastAsia="宋体"/>
                                        <w:lang w:val="en-US" w:eastAsia="zh-CN"/>
                                      </w:rPr>
                                    </w:pPr>
                                    <w:r>
                                      <w:rPr>
                                        <w:rFonts w:hint="eastAsia"/>
                                        <w:lang w:val="en-US" w:eastAsia="zh-CN"/>
                                      </w:rPr>
                                      <w:t>5.472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2" name="文本框 39"/>
                              <wps:cNvSpPr txBox="1"/>
                              <wps:spPr>
                                <a:xfrm>
                                  <a:off x="9372" y="540864"/>
                                  <a:ext cx="809"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F99CED">
                                    <w:pPr>
                                      <w:jc w:val="center"/>
                                      <w:rPr>
                                        <w:rFonts w:hint="default" w:eastAsia="宋体"/>
                                        <w:lang w:val="en-US" w:eastAsia="zh-CN"/>
                                      </w:rPr>
                                    </w:pPr>
                                    <w:r>
                                      <w:rPr>
                                        <w:rFonts w:hint="eastAsia"/>
                                        <w:lang w:val="en-US" w:eastAsia="zh-CN"/>
                                      </w:rPr>
                                      <w:t>5.472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7" name="直接连接符 112"/>
                              <wps:cNvCnPr/>
                              <wps:spPr>
                                <a:xfrm>
                                  <a:off x="4095" y="541156"/>
                                  <a:ext cx="11" cy="256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55" name="直接箭头连接符 114"/>
                              <wps:cNvCnPr/>
                              <wps:spPr>
                                <a:xfrm>
                                  <a:off x="3345" y="542247"/>
                                  <a:ext cx="750"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8" name="文本框 39"/>
                              <wps:cNvSpPr txBox="1"/>
                              <wps:spPr>
                                <a:xfrm>
                                  <a:off x="3311" y="541901"/>
                                  <a:ext cx="1009"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1AC62">
                                    <w:pPr>
                                      <w:rPr>
                                        <w:rFonts w:hint="default"/>
                                        <w:lang w:val="en-US"/>
                                      </w:rPr>
                                    </w:pPr>
                                    <w:r>
                                      <w:rPr>
                                        <w:rFonts w:hint="eastAsia"/>
                                        <w:lang w:val="en-US" w:eastAsia="zh-CN"/>
                                      </w:rPr>
                                      <w:t>12.23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1" name="文本框 39"/>
                              <wps:cNvSpPr txBox="1"/>
                              <wps:spPr>
                                <a:xfrm>
                                  <a:off x="4902" y="542281"/>
                                  <a:ext cx="1354" cy="4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C238A5">
                                    <w:r>
                                      <w:rPr>
                                        <w:rFonts w:hint="eastAsia"/>
                                      </w:rPr>
                                      <w:t>水帘柜用水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2" name="文本框 39"/>
                              <wps:cNvSpPr txBox="1"/>
                              <wps:spPr>
                                <a:xfrm>
                                  <a:off x="6795" y="542309"/>
                                  <a:ext cx="1559" cy="47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0941E">
                                    <w:r>
                                      <w:rPr>
                                        <w:rFonts w:hint="eastAsia"/>
                                      </w:rPr>
                                      <w:t>水帘柜废水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1" name="直接箭头连接符 181"/>
                              <wps:cNvCnPr/>
                              <wps:spPr>
                                <a:xfrm>
                                  <a:off x="6273" y="542487"/>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0" name="直接箭头连接符 180"/>
                              <wps:cNvCnPr/>
                              <wps:spPr>
                                <a:xfrm>
                                  <a:off x="8135" y="542512"/>
                                  <a:ext cx="612"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9" name="文本框 39"/>
                              <wps:cNvSpPr txBox="1"/>
                              <wps:spPr>
                                <a:xfrm>
                                  <a:off x="8635" y="542302"/>
                                  <a:ext cx="1788" cy="41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077C3">
                                    <w:pPr>
                                      <w:jc w:val="center"/>
                                    </w:pPr>
                                    <w:r>
                                      <w:rPr>
                                        <w:rFonts w:hint="eastAsia"/>
                                      </w:rPr>
                                      <w:t>有资质单位处置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0" name="曲线连接符 170"/>
                              <wps:cNvCnPr/>
                              <wps:spPr>
                                <a:xfrm flipV="1">
                                  <a:off x="5537" y="541961"/>
                                  <a:ext cx="363" cy="288"/>
                                </a:xfrm>
                                <a:prstGeom prst="curvedConnector3">
                                  <a:avLst>
                                    <a:gd name="adj1" fmla="val 50138"/>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9" name="文本框 39"/>
                              <wps:cNvSpPr txBox="1"/>
                              <wps:spPr>
                                <a:xfrm>
                                  <a:off x="6102" y="542146"/>
                                  <a:ext cx="844"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9710D2">
                                    <w:pPr>
                                      <w:jc w:val="center"/>
                                    </w:pPr>
                                    <w:r>
                                      <w:rPr>
                                        <w:rFonts w:hint="eastAsia"/>
                                      </w:rPr>
                                      <w:t>0.025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8" name="文本框 39"/>
                              <wps:cNvSpPr txBox="1"/>
                              <wps:spPr>
                                <a:xfrm>
                                  <a:off x="7975" y="542158"/>
                                  <a:ext cx="809"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100A3">
                                    <w:pPr>
                                      <w:jc w:val="center"/>
                                    </w:pPr>
                                    <w:r>
                                      <w:rPr>
                                        <w:rFonts w:hint="eastAsia"/>
                                      </w:rPr>
                                      <w:t>0.025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3" name="直接箭头连接符 173"/>
                              <wps:cNvCnPr/>
                              <wps:spPr>
                                <a:xfrm>
                                  <a:off x="4121" y="542577"/>
                                  <a:ext cx="750"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7" name="文本框 39"/>
                              <wps:cNvSpPr txBox="1"/>
                              <wps:spPr>
                                <a:xfrm>
                                  <a:off x="4068" y="542258"/>
                                  <a:ext cx="1009" cy="38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07994">
                                    <w:pPr>
                                      <w:rPr>
                                        <w:rFonts w:hint="default" w:eastAsia="宋体"/>
                                        <w:lang w:val="en-US" w:eastAsia="zh-CN"/>
                                      </w:rPr>
                                    </w:pPr>
                                    <w:r>
                                      <w:rPr>
                                        <w:rFonts w:hint="eastAsia"/>
                                        <w:lang w:val="en-US" w:eastAsia="zh-CN"/>
                                      </w:rPr>
                                      <w:t>1.15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6" name="文本框 39"/>
                              <wps:cNvSpPr txBox="1"/>
                              <wps:spPr>
                                <a:xfrm>
                                  <a:off x="5727" y="541726"/>
                                  <a:ext cx="844" cy="3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2C6B5">
                                    <w:pPr>
                                      <w:jc w:val="center"/>
                                      <w:rPr>
                                        <w:rFonts w:hint="default" w:eastAsia="宋体"/>
                                        <w:lang w:val="en-US" w:eastAsia="zh-CN"/>
                                      </w:rPr>
                                    </w:pPr>
                                    <w:r>
                                      <w:rPr>
                                        <w:rFonts w:hint="eastAsia"/>
                                        <w:lang w:val="en-US" w:eastAsia="zh-CN"/>
                                      </w:rPr>
                                      <w:t>1.125</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402" name="组合 402"/>
                              <wpg:cNvGrpSpPr/>
                              <wpg:grpSpPr>
                                <a:xfrm>
                                  <a:off x="4098" y="542879"/>
                                  <a:ext cx="4444" cy="966"/>
                                  <a:chOff x="4068" y="534102"/>
                                  <a:chExt cx="4444" cy="966"/>
                                </a:xfrm>
                              </wpg:grpSpPr>
                              <wps:wsp>
                                <wps:cNvPr id="403" name="曲线连接符 314"/>
                                <wps:cNvCnPr/>
                                <wps:spPr>
                                  <a:xfrm flipV="1">
                                    <a:off x="5252" y="534375"/>
                                    <a:ext cx="363" cy="288"/>
                                  </a:xfrm>
                                  <a:prstGeom prst="curvedConnector3">
                                    <a:avLst>
                                      <a:gd name="adj1" fmla="val 50138"/>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04" name="直接箭头连接符 320"/>
                                <wps:cNvCnPr/>
                                <wps:spPr>
                                  <a:xfrm>
                                    <a:off x="4091" y="534928"/>
                                    <a:ext cx="690" cy="3"/>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05" name="文本框 39"/>
                                <wps:cNvSpPr txBox="1"/>
                                <wps:spPr>
                                  <a:xfrm>
                                    <a:off x="4068" y="534522"/>
                                    <a:ext cx="1009" cy="38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647F7">
                                      <w:pPr>
                                        <w:rPr>
                                          <w:rFonts w:hint="default" w:eastAsia="宋体"/>
                                          <w:lang w:val="en-US" w:eastAsia="zh-CN"/>
                                        </w:rPr>
                                      </w:pPr>
                                      <w:r>
                                        <w:rPr>
                                          <w:rFonts w:hint="eastAsia"/>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6" name="文本框 39"/>
                                <wps:cNvSpPr txBox="1"/>
                                <wps:spPr>
                                  <a:xfrm>
                                    <a:off x="4804" y="534640"/>
                                    <a:ext cx="3709" cy="4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A1448BB">
                                      <w:r>
                                        <w:rPr>
                                          <w:rFonts w:hint="eastAsia"/>
                                          <w:lang w:val="en-US" w:eastAsia="zh-CN"/>
                                        </w:rPr>
                                        <w:t>铸造冷却、型砂制作、涂料配制</w:t>
                                      </w:r>
                                      <w:r>
                                        <w:rPr>
                                          <w:rFonts w:hint="eastAsia"/>
                                        </w:rPr>
                                        <w:t>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7" name="文本框 39"/>
                                <wps:cNvSpPr txBox="1"/>
                                <wps:spPr>
                                  <a:xfrm>
                                    <a:off x="5508" y="534102"/>
                                    <a:ext cx="1159" cy="4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B9C84">
                                      <w:pPr>
                                        <w:rPr>
                                          <w:rFonts w:hint="default" w:eastAsia="宋体"/>
                                          <w:lang w:val="en-US" w:eastAsia="zh-CN"/>
                                        </w:rPr>
                                      </w:pPr>
                                      <w:r>
                                        <w:rPr>
                                          <w:rFonts w:hint="eastAsia"/>
                                          <w:lang w:val="en-US" w:eastAsia="zh-CN"/>
                                        </w:rPr>
                                        <w:t>损耗5</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1.8pt;margin-top:5.2pt;height:176.2pt;width:420.65pt;z-index:251739136;mso-width-relative:page;mso-height-relative:page;" coordorigin="2573,540321" coordsize="8413,3524" o:gfxdata="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">
                      <o:lock v:ext="edit" aspectratio="f"/>
                      <v:shape id="文本框 39" o:spid="_x0000_s1026" o:spt="202" type="#_x0000_t202" style="position:absolute;left:5335;top:540321;height:466;width:1283;" filled="f" stroked="f" coordsize="21600,21600" o:gfxdata="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psA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7EF5E3A">
                              <w:pPr>
                                <w:jc w:val="center"/>
                                <w:rPr>
                                  <w:rFonts w:hint="default" w:eastAsia="宋体"/>
                                  <w:lang w:val="en-US" w:eastAsia="zh-CN"/>
                                </w:rPr>
                              </w:pPr>
                              <w:r>
                                <w:rPr>
                                  <w:rFonts w:hint="eastAsia"/>
                                </w:rPr>
                                <w:t>损失0.</w:t>
                              </w:r>
                              <w:r>
                                <w:rPr>
                                  <w:rFonts w:hint="eastAsia"/>
                                  <w:lang w:val="en-US" w:eastAsia="zh-CN"/>
                                </w:rPr>
                                <w:t>608</w:t>
                              </w:r>
                            </w:p>
                          </w:txbxContent>
                        </v:textbox>
                      </v:shape>
                      <v:shape id="文本框 39" o:spid="_x0000_s1026" o:spt="202" type="#_x0000_t202" style="position:absolute;left:4729;top:540972;height:428;width:1160;" fillcolor="#FFFFFF [3201]" filled="t" stroked="t" coordsize="21600,21600" o:gfxdata="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Xm3hZL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2DF1BD0F">
                              <w:r>
                                <w:rPr>
                                  <w:rFonts w:hint="eastAsia"/>
                                </w:rPr>
                                <w:t>生活用水</w:t>
                              </w:r>
                            </w:p>
                          </w:txbxContent>
                        </v:textbox>
                      </v:shape>
                      <v:shape id="文本框 6" o:spid="_x0000_s1026" o:spt="202" type="#_x0000_t202" style="position:absolute;left:2573;top:541844;height:676;width:761;" fillcolor="#FFFFFF [3201]" filled="t" stroked="t" coordsize="21600,21600" o:gfxdata="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xc5K7sAAADc&#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w:txbxContent>
                            <w:p w14:paraId="3AC8CC41">
                              <w:r>
                                <w:rPr>
                                  <w:rFonts w:hint="eastAsia"/>
                                </w:rPr>
                                <w:t>新鲜</w:t>
                              </w:r>
                            </w:p>
                            <w:p w14:paraId="4450B52D">
                              <w:pPr>
                                <w:jc w:val="center"/>
                              </w:pPr>
                              <w:r>
                                <w:rPr>
                                  <w:rFonts w:hint="eastAsia"/>
                                </w:rPr>
                                <w:t>水</w:t>
                              </w:r>
                            </w:p>
                          </w:txbxContent>
                        </v:textbox>
                      </v:shape>
                      <v:shape id="文本框 39" o:spid="_x0000_s1026" o:spt="202" type="#_x0000_t202" style="position:absolute;left:8344;top:540986;height:428;width:1160;" fillcolor="#FFFFFF [3201]" filled="t" stroked="t" coordsize="21600,21600" o:gfxdata="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r9/E7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1D8D9A71">
                              <w:r>
                                <w:rPr>
                                  <w:rFonts w:hint="eastAsia"/>
                                </w:rPr>
                                <w:t>生活污水</w:t>
                              </w:r>
                            </w:p>
                          </w:txbxContent>
                        </v:textbox>
                      </v:shape>
                      <v:shape id="文本框 39" o:spid="_x0000_s1026" o:spt="202" type="#_x0000_t202" style="position:absolute;left:6427;top:541000;height:473;width:1559;" filled="f" stroked="f" coordsize="21600,21600" o:gfxdata="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6dwTC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F5DD5E2">
                              <w:r>
                                <w:rPr>
                                  <w:rFonts w:hint="eastAsia"/>
                                </w:rPr>
                                <w:t>三级化粪池</w:t>
                              </w:r>
                            </w:p>
                          </w:txbxContent>
                        </v:textbox>
                      </v:shape>
                      <v:shape id="直接箭头连接符 70" o:spid="_x0000_s1026" o:spt="32" type="#_x0000_t32" style="position:absolute;left:4100;top:541186;height:0;width:612;" filled="f" stroked="t" coordsize="21600,21600" o:gfxdata="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YdNXvQAA&#10;ANwAAAAPAAAAAAAAAAEAIAAAACIAAABkcnMvZG93bnJldi54bWxQSwECFAAUAAAACACHTuJAMy8F&#10;njsAAAA5AAAAEAAAAAAAAAABACAAAAAMAQAAZHJzL3NoYXBleG1sLnhtbFBLBQYAAAAABgAGAFsB&#10;AAC2AwAAAAA=&#10;">
                        <v:fill on="f" focussize="0,0"/>
                        <v:stroke color="#000000 [3213]" joinstyle="round" endarrow="block"/>
                        <v:imagedata o:title=""/>
                        <o:lock v:ext="edit" aspectratio="f"/>
                      </v:shape>
                      <v:shape id="直接箭头连接符 74" o:spid="_x0000_s1026" o:spt="32" type="#_x0000_t32" style="position:absolute;left:5905;top:541178;height:0;width:612;" filled="f" stroked="t" coordsize="21600,21600" o:gfxdata="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tdsy8AAAA&#10;3AAAAA8AAAAAAAAAAQAgAAAAIgAAAGRycy9kb3ducmV2LnhtbFBLAQIUABQAAAAIAIdO4kAzLwWe&#10;OwAAADkAAAAQAAAAAAAAAAEAIAAAAAsBAABkcnMvc2hhcGV4bWwueG1sUEsFBgAAAAAGAAYAWwEA&#10;ALUDAAAAAA==&#10;">
                        <v:fill on="f" focussize="0,0"/>
                        <v:stroke color="#000000 [3213]" joinstyle="round" endarrow="block"/>
                        <v:imagedata o:title=""/>
                        <o:lock v:ext="edit" aspectratio="f"/>
                      </v:shape>
                      <v:shape id="直接箭头连接符 75" o:spid="_x0000_s1026" o:spt="32" type="#_x0000_t32" style="position:absolute;left:7767;top:541203;height:0;width:612;" filled="f" stroked="t" coordsize="21600,21600" o:gfxdata="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Uqqi+8AAAA&#10;3AAAAA8AAAAAAAAAAQAgAAAAIgAAAGRycy9kb3ducmV2LnhtbFBLAQIUABQAAAAIAIdO4kAzLwWe&#10;OwAAADkAAAAQAAAAAAAAAAEAIAAAAAsBAABkcnMvc2hhcGV4bWwueG1sUEsFBgAAAAAGAAYAWwEA&#10;ALUDAAAAAA==&#10;">
                        <v:fill on="f" focussize="0,0"/>
                        <v:stroke color="#000000 [3213]" joinstyle="round" endarrow="block"/>
                        <v:imagedata o:title=""/>
                        <o:lock v:ext="edit" aspectratio="f"/>
                      </v:shape>
                      <v:shape id="直接箭头连接符 78" o:spid="_x0000_s1026" o:spt="32" type="#_x0000_t32" style="position:absolute;left:9505;top:541216;height:0;width:612;" filled="f" stroked="t" coordsize="21600,21600" o:gfxdata="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6Zg+0&#10;wAAAANwAAAAPAAAAAAAAAAEAIAAAACIAAABkcnMvZG93bnJldi54bWxQSwECFAAUAAAACACHTuJA&#10;My8FnjsAAAA5AAAAEAAAAAAAAAABACAAAAAPAQAAZHJzL3NoYXBleG1sLnhtbFBLBQYAAAAABgAG&#10;AFsBAAC5AwAAAAA=&#10;">
                        <v:fill on="f" focussize="0,0"/>
                        <v:stroke color="#000000 [3213]" joinstyle="round" endarrow="block"/>
                        <v:imagedata o:title=""/>
                        <o:lock v:ext="edit" aspectratio="f"/>
                      </v:shape>
                      <v:shape id="文本框 39" o:spid="_x0000_s1026" o:spt="202" type="#_x0000_t202" style="position:absolute;left:9992;top:540798;height:816;width:995;" filled="f" stroked="f" coordsize="21600,21600" o:gfxdata="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pscz&#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23A41234">
                              <w:pPr>
                                <w:jc w:val="center"/>
                              </w:pPr>
                              <w:r>
                                <w:rPr>
                                  <w:rFonts w:hint="eastAsia"/>
                                </w:rPr>
                                <w:t>污水处理厂</w:t>
                              </w:r>
                            </w:p>
                          </w:txbxContent>
                        </v:textbox>
                      </v:shape>
                      <v:shape id="曲线连接符 88" o:spid="_x0000_s1026" o:spt="38" type="#_x0000_t38" style="position:absolute;left:5169;top:540651;flip:y;height:288;width:363;" filled="f" stroked="t" coordsize="21600,21600" o:gfxdata="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0xgNugAAANwA&#10;AAAPAAAAAAAAAAEAIAAAACIAAABkcnMvZG93bnJldi54bWxQSwECFAAUAAAACACHTuJAMy8FnjsA&#10;AAA5AAAAEAAAAAAAAAABACAAAAAJAQAAZHJzL3NoYXBleG1sLnhtbFBLBQYAAAAABgAGAFsBAACz&#10;AwAAAAA=&#10;" adj="10830">
                        <v:fill on="f" focussize="0,0"/>
                        <v:stroke color="#000000 [3213]" joinstyle="round" dashstyle="dash" endarrow="block"/>
                        <v:imagedata o:title=""/>
                        <o:lock v:ext="edit" aspectratio="f"/>
                      </v:shape>
                      <v:shape id="文本框 39" o:spid="_x0000_s1026" o:spt="202" type="#_x0000_t202" style="position:absolute;left:3960;top:540815;height:368;width:858;" filled="f" stroked="f" coordsize="21600,21600" o:gfxdata="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CV3o&#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0A288F9F">
                              <w:pPr>
                                <w:jc w:val="center"/>
                                <w:rPr>
                                  <w:rFonts w:hint="default" w:eastAsia="宋体"/>
                                  <w:lang w:val="en-US" w:eastAsia="zh-CN"/>
                                </w:rPr>
                              </w:pPr>
                              <w:r>
                                <w:rPr>
                                  <w:rFonts w:hint="eastAsia"/>
                                  <w:lang w:val="en-US" w:eastAsia="zh-CN"/>
                                </w:rPr>
                                <w:t>6.08</w:t>
                              </w:r>
                            </w:p>
                          </w:txbxContent>
                        </v:textbox>
                      </v:shape>
                      <v:shape id="文本框 39" o:spid="_x0000_s1026" o:spt="202" type="#_x0000_t202" style="position:absolute;left:5734;top:540837;height:368;width:844;" filled="f" stroked="f" coordsize="21600,21600" o:gfxdata="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RZRL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131D7EE">
                              <w:pPr>
                                <w:jc w:val="center"/>
                                <w:rPr>
                                  <w:rFonts w:hint="default" w:eastAsia="宋体"/>
                                  <w:lang w:val="en-US" w:eastAsia="zh-CN"/>
                                </w:rPr>
                              </w:pPr>
                              <w:r>
                                <w:rPr>
                                  <w:rFonts w:hint="eastAsia"/>
                                  <w:lang w:val="en-US" w:eastAsia="zh-CN"/>
                                </w:rPr>
                                <w:t>5.472</w:t>
                              </w:r>
                            </w:p>
                          </w:txbxContent>
                        </v:textbox>
                      </v:shape>
                      <v:shape id="文本框 39" o:spid="_x0000_s1026" o:spt="202" type="#_x0000_t202" style="position:absolute;left:7547;top:540849;height:368;width:809;" filled="f" stroked="f" coordsize="21600,21600" o:gfxdata="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7qYqi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4D22CFBC">
                              <w:pPr>
                                <w:jc w:val="center"/>
                                <w:rPr>
                                  <w:rFonts w:hint="default" w:eastAsia="宋体"/>
                                  <w:lang w:val="en-US" w:eastAsia="zh-CN"/>
                                </w:rPr>
                              </w:pPr>
                              <w:r>
                                <w:rPr>
                                  <w:rFonts w:hint="eastAsia"/>
                                  <w:lang w:val="en-US" w:eastAsia="zh-CN"/>
                                </w:rPr>
                                <w:t>5.472</w:t>
                              </w:r>
                            </w:p>
                          </w:txbxContent>
                        </v:textbox>
                      </v:shape>
                      <v:shape id="文本框 39" o:spid="_x0000_s1026" o:spt="202" type="#_x0000_t202" style="position:absolute;left:9372;top:540864;height:368;width:809;" filled="f" stroked="f" coordsize="21600,21600" o:gfxdata="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44/N+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41F99CED">
                              <w:pPr>
                                <w:jc w:val="center"/>
                                <w:rPr>
                                  <w:rFonts w:hint="default" w:eastAsia="宋体"/>
                                  <w:lang w:val="en-US" w:eastAsia="zh-CN"/>
                                </w:rPr>
                              </w:pPr>
                              <w:r>
                                <w:rPr>
                                  <w:rFonts w:hint="eastAsia"/>
                                  <w:lang w:val="en-US" w:eastAsia="zh-CN"/>
                                </w:rPr>
                                <w:t>5.472</w:t>
                              </w:r>
                            </w:p>
                          </w:txbxContent>
                        </v:textbox>
                      </v:shape>
                      <v:line id="直接连接符 112" o:spid="_x0000_s1026" o:spt="20" style="position:absolute;left:4095;top:541156;height:2564;width:11;" filled="f" stroked="t" coordsize="21600,21600" o:gfxdata="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eMvuvQAA&#10;ANwAAAAPAAAAAAAAAAEAIAAAACIAAABkcnMvZG93bnJldi54bWxQSwECFAAUAAAACACHTuJAMy8F&#10;njsAAAA5AAAAEAAAAAAAAAABACAAAAAMAQAAZHJzL3NoYXBleG1sLnhtbFBLBQYAAAAABgAGAFsB&#10;AAC2AwAAAAA=&#10;">
                        <v:fill on="f" focussize="0,0"/>
                        <v:stroke color="#000000 [3213]" joinstyle="round"/>
                        <v:imagedata o:title=""/>
                        <o:lock v:ext="edit" aspectratio="f"/>
                      </v:line>
                      <v:shape id="直接箭头连接符 114" o:spid="_x0000_s1026" o:spt="32" type="#_x0000_t32" style="position:absolute;left:3345;top:542247;height:0;width:750;" filled="f" stroked="t" coordsize="21600,21600" o:gfxdata="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4RYq8AAAA&#10;3AAAAA8AAAAAAAAAAQAgAAAAIgAAAGRycy9kb3ducmV2LnhtbFBLAQIUABQAAAAIAIdO4kAzLwWe&#10;OwAAADkAAAAQAAAAAAAAAAEAIAAAAAsBAABkcnMvc2hhcGV4bWwueG1sUEsFBgAAAAAGAAYAWwEA&#10;ALUDAAAAAA==&#10;">
                        <v:fill on="f" focussize="0,0"/>
                        <v:stroke color="#000000 [3213]" joinstyle="round" endarrow="block"/>
                        <v:imagedata o:title=""/>
                        <o:lock v:ext="edit" aspectratio="f"/>
                      </v:shape>
                      <v:shape id="文本框 39" o:spid="_x0000_s1026" o:spt="202" type="#_x0000_t202" style="position:absolute;left:3311;top:541901;height:368;width:1009;" filled="f" stroked="f" coordsize="21600,21600" o:gfxdata="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1rhI&#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2011AC62">
                              <w:pPr>
                                <w:rPr>
                                  <w:rFonts w:hint="default"/>
                                  <w:lang w:val="en-US"/>
                                </w:rPr>
                              </w:pPr>
                              <w:r>
                                <w:rPr>
                                  <w:rFonts w:hint="eastAsia"/>
                                  <w:lang w:val="en-US" w:eastAsia="zh-CN"/>
                                </w:rPr>
                                <w:t>12.23</w:t>
                              </w:r>
                            </w:p>
                          </w:txbxContent>
                        </v:textbox>
                      </v:shape>
                      <v:shape id="文本框 39" o:spid="_x0000_s1026" o:spt="202" type="#_x0000_t202" style="position:absolute;left:4902;top:542281;height:428;width:1354;" fillcolor="#FFFFFF [3201]" filled="t" stroked="t" coordsize="21600,21600" o:gfxdata="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7A0L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48C238A5">
                              <w:r>
                                <w:rPr>
                                  <w:rFonts w:hint="eastAsia"/>
                                </w:rPr>
                                <w:t>水帘柜用水</w:t>
                              </w:r>
                            </w:p>
                          </w:txbxContent>
                        </v:textbox>
                      </v:shape>
                      <v:shape id="文本框 39" o:spid="_x0000_s1026" o:spt="202" type="#_x0000_t202" style="position:absolute;left:6795;top:542309;height:473;width:1559;" filled="f" stroked="f" coordsize="21600,21600" o:gfxdata="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2HNTi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5950941E">
                              <w:r>
                                <w:rPr>
                                  <w:rFonts w:hint="eastAsia"/>
                                </w:rPr>
                                <w:t>水帘柜废水</w:t>
                              </w:r>
                            </w:p>
                          </w:txbxContent>
                        </v:textbox>
                      </v:shape>
                      <v:shape id="_x0000_s1026" o:spid="_x0000_s1026" o:spt="32" type="#_x0000_t32" style="position:absolute;left:6273;top:542487;height:0;width:612;" filled="f" stroked="t" coordsize="21600,21600" o:gfxdata="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jb868AAAA&#10;3AAAAA8AAAAAAAAAAQAgAAAAIgAAAGRycy9kb3ducmV2LnhtbFBLAQIUABQAAAAIAIdO4kAzLwWe&#10;OwAAADkAAAAQAAAAAAAAAAEAIAAAAAsBAABkcnMvc2hhcGV4bWwueG1sUEsFBgAAAAAGAAYAWwEA&#10;ALUDAAAAAA==&#10;">
                        <v:fill on="f" focussize="0,0"/>
                        <v:stroke color="#000000 [3213]" joinstyle="round" endarrow="block"/>
                        <v:imagedata o:title=""/>
                        <o:lock v:ext="edit" aspectratio="f"/>
                      </v:shape>
                      <v:shape id="_x0000_s1026" o:spid="_x0000_s1026" o:spt="32" type="#_x0000_t32" style="position:absolute;left:8135;top:542512;height:0;width:612;" filled="f" stroked="t" coordsize="21600,21600" o:gfxdata="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evylW/&#10;AAAA3AAAAA8AAAAAAAAAAQAgAAAAIgAAAGRycy9kb3ducmV2LnhtbFBLAQIUABQAAAAIAIdO4kAz&#10;LwWeOwAAADkAAAAQAAAAAAAAAAEAIAAAAA4BAABkcnMvc2hhcGV4bWwueG1sUEsFBgAAAAAGAAYA&#10;WwEAALgDAAAAAA==&#10;">
                        <v:fill on="f" focussize="0,0"/>
                        <v:stroke color="#000000 [3213]" joinstyle="round" endarrow="block"/>
                        <v:imagedata o:title=""/>
                        <o:lock v:ext="edit" aspectratio="f"/>
                      </v:shape>
                      <v:shape id="文本框 39" o:spid="_x0000_s1026" o:spt="202" type="#_x0000_t202" style="position:absolute;left:8635;top:542302;height:412;width:1788;" filled="f" stroked="f" coordsize="21600,21600" o:gfxdata="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vbXbr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F3077C3">
                              <w:pPr>
                                <w:jc w:val="center"/>
                              </w:pPr>
                              <w:r>
                                <w:rPr>
                                  <w:rFonts w:hint="eastAsia"/>
                                </w:rPr>
                                <w:t>有资质单位处置</w:t>
                              </w:r>
                            </w:p>
                          </w:txbxContent>
                        </v:textbox>
                      </v:shape>
                      <v:shape id="_x0000_s1026" o:spid="_x0000_s1026" o:spt="38" type="#_x0000_t38" style="position:absolute;left:5537;top:541961;flip:y;height:288;width:363;" filled="f" stroked="t" coordsize="21600,21600" o:gfxdata="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1qejb4A&#10;AADcAAAADwAAAAAAAAABACAAAAAiAAAAZHJzL2Rvd25yZXYueG1sUEsBAhQAFAAAAAgAh07iQDMv&#10;BZ47AAAAOQAAABAAAAAAAAAAAQAgAAAADQEAAGRycy9zaGFwZXhtbC54bWxQSwUGAAAAAAYABgBb&#10;AQAAtwMAAAAA&#10;" adj="10830">
                        <v:fill on="f" focussize="0,0"/>
                        <v:stroke color="#000000 [3213]" joinstyle="round" dashstyle="dash" endarrow="block"/>
                        <v:imagedata o:title=""/>
                        <o:lock v:ext="edit" aspectratio="f"/>
                      </v:shape>
                      <v:shape id="文本框 39" o:spid="_x0000_s1026" o:spt="202" type="#_x0000_t202" style="position:absolute;left:6102;top:542146;height:368;width:844;" filled="f" stroked="f" coordsize="21600,21600" o:gfxdata="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L0Gz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339710D2">
                              <w:pPr>
                                <w:jc w:val="center"/>
                              </w:pPr>
                              <w:r>
                                <w:rPr>
                                  <w:rFonts w:hint="eastAsia"/>
                                </w:rPr>
                                <w:t>0.025</w:t>
                              </w:r>
                            </w:p>
                          </w:txbxContent>
                        </v:textbox>
                      </v:shape>
                      <v:shape id="文本框 39" o:spid="_x0000_s1026" o:spt="202" type="#_x0000_t202" style="position:absolute;left:7975;top:542158;height:368;width:809;" filled="f" stroked="f" coordsize="21600,21600" o:gfxdata="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j5Ci/&#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68100A3">
                              <w:pPr>
                                <w:jc w:val="center"/>
                              </w:pPr>
                              <w:r>
                                <w:rPr>
                                  <w:rFonts w:hint="eastAsia"/>
                                </w:rPr>
                                <w:t>0.025</w:t>
                              </w:r>
                            </w:p>
                          </w:txbxContent>
                        </v:textbox>
                      </v:shape>
                      <v:shape id="_x0000_s1026" o:spid="_x0000_s1026" o:spt="32" type="#_x0000_t32" style="position:absolute;left:4121;top:542577;height:0;width:750;" filled="f" stroked="t" coordsize="21600,21600" o:gfxdata="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qCQFvQAA&#10;ANwAAAAPAAAAAAAAAAEAIAAAACIAAABkcnMvZG93bnJldi54bWxQSwECFAAUAAAACACHTuJAMy8F&#10;njsAAAA5AAAAEAAAAAAAAAABACAAAAAMAQAAZHJzL3NoYXBleG1sLnhtbFBLBQYAAAAABgAGAFsB&#10;AAC2AwAAAAA=&#10;">
                        <v:fill on="f" focussize="0,0"/>
                        <v:stroke color="#000000 [3213]" joinstyle="round" endarrow="block"/>
                        <v:imagedata o:title=""/>
                        <o:lock v:ext="edit" aspectratio="f"/>
                      </v:shape>
                      <v:shape id="文本框 39" o:spid="_x0000_s1026" o:spt="202" type="#_x0000_t202" style="position:absolute;left:4068;top:542258;height:381;width:1009;" filled="f" stroked="f" coordsize="21600,21600" o:gfxdata="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8cFq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55507994">
                              <w:pPr>
                                <w:rPr>
                                  <w:rFonts w:hint="default" w:eastAsia="宋体"/>
                                  <w:lang w:val="en-US" w:eastAsia="zh-CN"/>
                                </w:rPr>
                              </w:pPr>
                              <w:r>
                                <w:rPr>
                                  <w:rFonts w:hint="eastAsia"/>
                                  <w:lang w:val="en-US" w:eastAsia="zh-CN"/>
                                </w:rPr>
                                <w:t>1.15</w:t>
                              </w:r>
                            </w:p>
                          </w:txbxContent>
                        </v:textbox>
                      </v:shape>
                      <v:shape id="文本框 39" o:spid="_x0000_s1026" o:spt="202" type="#_x0000_t202" style="position:absolute;left:5727;top:541726;height:368;width:844;" filled="f" stroked="f" coordsize="21600,21600" o:gfxdata="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DVw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5AB2C6B5">
                              <w:pPr>
                                <w:jc w:val="center"/>
                                <w:rPr>
                                  <w:rFonts w:hint="default" w:eastAsia="宋体"/>
                                  <w:lang w:val="en-US" w:eastAsia="zh-CN"/>
                                </w:rPr>
                              </w:pPr>
                              <w:r>
                                <w:rPr>
                                  <w:rFonts w:hint="eastAsia"/>
                                  <w:lang w:val="en-US" w:eastAsia="zh-CN"/>
                                </w:rPr>
                                <w:t>1.125</w:t>
                              </w:r>
                            </w:p>
                          </w:txbxContent>
                        </v:textbox>
                      </v:shape>
                      <v:group id="_x0000_s1026" o:spid="_x0000_s1026" o:spt="203" style="position:absolute;left:4098;top:542879;height:966;width:4444;" coordorigin="4068,534102" coordsize="4444,966" o:gfxdata="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agW5vwAAANwAAAAPAAAAAAAAAAEAIAAAACIAAABkcnMvZG93bnJldi54&#10;bWxQSwECFAAUAAAACACHTuJAMy8FnjsAAAA5AAAAFQAAAAAAAAABACAAAAAOAQAAZHJzL2dyb3Vw&#10;c2hhcGV4bWwueG1sUEsFBgAAAAAGAAYAYAEAAMsDAAAAAA==&#10;">
                        <o:lock v:ext="edit" aspectratio="f"/>
                        <v:shape id="曲线连接符 314" o:spid="_x0000_s1026" o:spt="38" type="#_x0000_t38" style="position:absolute;left:5252;top:534375;flip:y;height:288;width:363;" filled="f" stroked="t" coordsize="21600,21600" o:gfxdata="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g0AO8AAAA&#10;3AAAAA8AAAAAAAAAAQAgAAAAIgAAAGRycy9kb3ducmV2LnhtbFBLAQIUABQAAAAIAIdO4kAzLwWe&#10;OwAAADkAAAAQAAAAAAAAAAEAIAAAAAsBAABkcnMvc2hhcGV4bWwueG1sUEsFBgAAAAAGAAYAWwEA&#10;ALUDAAAAAA==&#10;" adj="10830">
                          <v:fill on="f" focussize="0,0"/>
                          <v:stroke color="#000000 [3213]" joinstyle="round" dashstyle="dash" endarrow="block"/>
                          <v:imagedata o:title=""/>
                          <o:lock v:ext="edit" aspectratio="f"/>
                        </v:shape>
                        <v:shape id="直接箭头连接符 320" o:spid="_x0000_s1026" o:spt="32" type="#_x0000_t32" style="position:absolute;left:4091;top:534928;height:3;width:690;" filled="f" stroked="t" coordsize="21600,21600" o:gfxdata="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gpbIi/&#10;AAAA3AAAAA8AAAAAAAAAAQAgAAAAIgAAAGRycy9kb3ducmV2LnhtbFBLAQIUABQAAAAIAIdO4kAz&#10;LwWeOwAAADkAAAAQAAAAAAAAAAEAIAAAAA4BAABkcnMvc2hhcGV4bWwueG1sUEsFBgAAAAAGAAYA&#10;WwEAALgDAAAAAA==&#10;">
                          <v:fill on="f" focussize="0,0"/>
                          <v:stroke color="#000000 [3213]" joinstyle="round" endarrow="block"/>
                          <v:imagedata o:title=""/>
                          <o:lock v:ext="edit" aspectratio="f"/>
                        </v:shape>
                        <v:shape id="文本框 39" o:spid="_x0000_s1026" o:spt="202" type="#_x0000_t202" style="position:absolute;left:4068;top:534522;height:381;width:1009;" filled="f" stroked="f" coordsize="21600,21600" o:gfxdata="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tMNkr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89647F7">
                                <w:pPr>
                                  <w:rPr>
                                    <w:rFonts w:hint="default" w:eastAsia="宋体"/>
                                    <w:lang w:val="en-US" w:eastAsia="zh-CN"/>
                                  </w:rPr>
                                </w:pPr>
                                <w:r>
                                  <w:rPr>
                                    <w:rFonts w:hint="eastAsia"/>
                                    <w:lang w:val="en-US" w:eastAsia="zh-CN"/>
                                  </w:rPr>
                                  <w:t>5</w:t>
                                </w:r>
                              </w:p>
                            </w:txbxContent>
                          </v:textbox>
                        </v:shape>
                        <v:shape id="文本框 39" o:spid="_x0000_s1026" o:spt="202" type="#_x0000_t202" style="position:absolute;left:4804;top:534640;height:428;width:3709;" fillcolor="#FFFFFF [3201]" filled="t" stroked="t" coordsize="21600,21600" o:gfxdata="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b4hdugAAANw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7A1448BB">
                                <w:r>
                                  <w:rPr>
                                    <w:rFonts w:hint="eastAsia"/>
                                    <w:lang w:val="en-US" w:eastAsia="zh-CN"/>
                                  </w:rPr>
                                  <w:t>铸造冷却、型砂制作、涂料配制</w:t>
                                </w:r>
                                <w:r>
                                  <w:rPr>
                                    <w:rFonts w:hint="eastAsia"/>
                                  </w:rPr>
                                  <w:t>用水</w:t>
                                </w:r>
                              </w:p>
                            </w:txbxContent>
                          </v:textbox>
                        </v:shape>
                        <v:shape id="文本框 39" o:spid="_x0000_s1026" o:spt="202" type="#_x0000_t202" style="position:absolute;left:5508;top:534102;height:426;width:1159;" filled="f" stroked="f" coordsize="21600,21600" o:gfxdata="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TTZ+&#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1F0B9C84">
                                <w:pPr>
                                  <w:rPr>
                                    <w:rFonts w:hint="default" w:eastAsia="宋体"/>
                                    <w:lang w:val="en-US" w:eastAsia="zh-CN"/>
                                  </w:rPr>
                                </w:pPr>
                                <w:r>
                                  <w:rPr>
                                    <w:rFonts w:hint="eastAsia"/>
                                    <w:lang w:val="en-US" w:eastAsia="zh-CN"/>
                                  </w:rPr>
                                  <w:t>损耗5</w:t>
                                </w:r>
                              </w:p>
                            </w:txbxContent>
                          </v:textbox>
                        </v:shape>
                      </v:group>
                    </v:group>
                  </w:pict>
                </mc:Fallback>
              </mc:AlternateContent>
            </w:r>
          </w:p>
          <w:p w14:paraId="3D9EAEE5">
            <w:pPr>
              <w:pStyle w:val="16"/>
              <w:numPr>
                <w:ilvl w:val="0"/>
                <w:numId w:val="0"/>
              </w:numPr>
              <w:rPr>
                <w:rFonts w:hint="default" w:ascii="Times New Roman" w:hAnsi="Times New Roman" w:cs="Times New Roman"/>
                <w:color w:val="auto"/>
                <w:kern w:val="0"/>
                <w:sz w:val="24"/>
                <w:highlight w:val="none"/>
              </w:rPr>
            </w:pPr>
          </w:p>
          <w:p w14:paraId="0BA84C5B">
            <w:pPr>
              <w:pStyle w:val="16"/>
              <w:numPr>
                <w:ilvl w:val="0"/>
                <w:numId w:val="0"/>
              </w:numPr>
              <w:rPr>
                <w:rFonts w:hint="default" w:ascii="Times New Roman" w:hAnsi="Times New Roman" w:cs="Times New Roman"/>
                <w:color w:val="auto"/>
                <w:kern w:val="0"/>
                <w:sz w:val="24"/>
                <w:highlight w:val="none"/>
              </w:rPr>
            </w:pPr>
          </w:p>
          <w:p w14:paraId="5285E545">
            <w:pPr>
              <w:pStyle w:val="16"/>
              <w:numPr>
                <w:ilvl w:val="0"/>
                <w:numId w:val="0"/>
              </w:numPr>
              <w:rPr>
                <w:rFonts w:hint="default" w:ascii="Times New Roman" w:hAnsi="Times New Roman" w:cs="Times New Roman"/>
                <w:color w:val="auto"/>
                <w:kern w:val="0"/>
                <w:sz w:val="24"/>
                <w:highlight w:val="none"/>
              </w:rPr>
            </w:pPr>
          </w:p>
          <w:p w14:paraId="75B97A54">
            <w:pPr>
              <w:pStyle w:val="16"/>
              <w:numPr>
                <w:ilvl w:val="0"/>
                <w:numId w:val="0"/>
              </w:numPr>
              <w:rPr>
                <w:rFonts w:hint="default" w:ascii="Times New Roman" w:hAnsi="Times New Roman" w:cs="Times New Roman"/>
                <w:color w:val="auto"/>
                <w:kern w:val="0"/>
                <w:sz w:val="24"/>
                <w:highlight w:val="none"/>
              </w:rPr>
            </w:pPr>
          </w:p>
          <w:p w14:paraId="6796E8CA">
            <w:pPr>
              <w:pStyle w:val="16"/>
              <w:numPr>
                <w:ilvl w:val="0"/>
                <w:numId w:val="0"/>
              </w:numPr>
              <w:rPr>
                <w:rFonts w:hint="default" w:ascii="Times New Roman" w:hAnsi="Times New Roman" w:cs="Times New Roman"/>
                <w:color w:val="auto"/>
                <w:kern w:val="0"/>
                <w:sz w:val="24"/>
                <w:highlight w:val="none"/>
              </w:rPr>
            </w:pPr>
          </w:p>
          <w:p w14:paraId="236D8C63">
            <w:pPr>
              <w:pStyle w:val="16"/>
              <w:numPr>
                <w:ilvl w:val="0"/>
                <w:numId w:val="0"/>
              </w:numPr>
              <w:rPr>
                <w:rFonts w:hint="default" w:ascii="Times New Roman" w:hAnsi="Times New Roman" w:cs="Times New Roman"/>
                <w:color w:val="auto"/>
                <w:kern w:val="0"/>
                <w:sz w:val="24"/>
                <w:highlight w:val="none"/>
              </w:rPr>
            </w:pPr>
          </w:p>
          <w:p w14:paraId="3CAF873C">
            <w:pPr>
              <w:pStyle w:val="16"/>
              <w:numPr>
                <w:ilvl w:val="0"/>
                <w:numId w:val="0"/>
              </w:numPr>
              <w:rPr>
                <w:rFonts w:hint="default" w:ascii="Times New Roman" w:hAnsi="Times New Roman" w:cs="Times New Roman"/>
                <w:color w:val="auto"/>
                <w:kern w:val="0"/>
                <w:sz w:val="24"/>
                <w:highlight w:val="none"/>
              </w:rPr>
            </w:pPr>
          </w:p>
          <w:p w14:paraId="34E3D766">
            <w:pPr>
              <w:pStyle w:val="4"/>
              <w:ind w:left="0" w:firstLine="0"/>
              <w:jc w:val="center"/>
              <w:rPr>
                <w:rFonts w:hint="default" w:ascii="Times New Roman" w:hAnsi="Times New Roman" w:eastAsia="宋体" w:cs="Times New Roman"/>
                <w:color w:val="auto"/>
                <w:kern w:val="0"/>
                <w:sz w:val="24"/>
                <w:szCs w:val="24"/>
                <w:highlight w:val="none"/>
              </w:rPr>
            </w:pPr>
          </w:p>
          <w:p w14:paraId="30A345F1">
            <w:pPr>
              <w:pStyle w:val="4"/>
              <w:ind w:left="0" w:firstLine="0"/>
              <w:jc w:val="both"/>
              <w:rPr>
                <w:rFonts w:hint="default" w:ascii="Times New Roman" w:hAnsi="Times New Roman" w:eastAsia="宋体" w:cs="Times New Roman"/>
                <w:color w:val="auto"/>
                <w:kern w:val="0"/>
                <w:sz w:val="24"/>
                <w:szCs w:val="24"/>
                <w:highlight w:val="none"/>
              </w:rPr>
            </w:pPr>
          </w:p>
          <w:p w14:paraId="55D4C2BD">
            <w:pPr>
              <w:rPr>
                <w:rFonts w:hint="default" w:ascii="Times New Roman" w:hAnsi="Times New Roman" w:eastAsia="宋体" w:cs="Times New Roman"/>
                <w:color w:val="auto"/>
                <w:kern w:val="0"/>
                <w:sz w:val="24"/>
                <w:szCs w:val="24"/>
                <w:highlight w:val="none"/>
              </w:rPr>
            </w:pPr>
          </w:p>
          <w:p w14:paraId="5D779253">
            <w:pPr>
              <w:pStyle w:val="2"/>
              <w:rPr>
                <w:rFonts w:hint="default" w:ascii="Times New Roman" w:hAnsi="Times New Roman" w:cs="Times New Roman"/>
                <w:color w:val="auto"/>
              </w:rPr>
            </w:pPr>
          </w:p>
          <w:p w14:paraId="02BF0300">
            <w:pPr>
              <w:pStyle w:val="4"/>
              <w:ind w:left="0" w:firstLine="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图2-3 扩建后全厂水平衡图  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/d</w:t>
            </w:r>
          </w:p>
          <w:p w14:paraId="74E2BF4F">
            <w:pPr>
              <w:pStyle w:val="16"/>
              <w:numPr>
                <w:ilvl w:val="0"/>
                <w:numId w:val="0"/>
              </w:numPr>
              <w:rPr>
                <w:rFonts w:hint="default" w:ascii="Times New Roman" w:hAnsi="Times New Roman" w:cs="Times New Roman"/>
                <w:color w:val="auto"/>
                <w:kern w:val="0"/>
                <w:sz w:val="24"/>
                <w:highlight w:val="none"/>
              </w:rPr>
            </w:pPr>
          </w:p>
          <w:p w14:paraId="39D22F44">
            <w:pPr>
              <w:widowControl/>
              <w:numPr>
                <w:ilvl w:val="0"/>
                <w:numId w:val="5"/>
              </w:numPr>
              <w:spacing w:line="360" w:lineRule="auto"/>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供电</w:t>
            </w:r>
          </w:p>
          <w:p w14:paraId="4F6C0DF5">
            <w:pPr>
              <w:pStyle w:val="11"/>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w:t>
            </w:r>
            <w:r>
              <w:rPr>
                <w:rStyle w:val="37"/>
                <w:rFonts w:hint="default" w:ascii="Times New Roman" w:hAnsi="Times New Roman" w:cs="Times New Roman"/>
                <w:color w:val="auto"/>
                <w:sz w:val="24"/>
                <w:szCs w:val="24"/>
                <w:highlight w:val="none"/>
              </w:rPr>
              <w:t>用电量</w:t>
            </w:r>
            <w:r>
              <w:rPr>
                <w:rFonts w:hint="default" w:ascii="Times New Roman" w:hAnsi="Times New Roman" w:cs="Times New Roman"/>
                <w:color w:val="auto"/>
                <w:sz w:val="24"/>
                <w:szCs w:val="24"/>
                <w:highlight w:val="none"/>
              </w:rPr>
              <w:t>市政供电，可以满足项目生产及生活需要。</w:t>
            </w:r>
          </w:p>
          <w:p w14:paraId="7F604A10">
            <w:pPr>
              <w:snapToGrid w:val="0"/>
              <w:spacing w:before="120" w:beforeLines="50"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9、总平面布局合理性分析</w:t>
            </w:r>
          </w:p>
          <w:p w14:paraId="2C0654C1">
            <w:pPr>
              <w:adjustRightInd w:val="0"/>
              <w:snapToGrid w:val="0"/>
              <w:spacing w:before="120" w:beforeLines="50" w:line="360" w:lineRule="auto"/>
              <w:ind w:firstLine="480" w:firstLineChars="200"/>
              <w:rPr>
                <w:rFonts w:hint="default" w:ascii="Times New Roman" w:hAnsi="Times New Roman" w:cs="Times New Roman"/>
                <w:b/>
                <w:bCs/>
                <w:color w:val="auto"/>
                <w:szCs w:val="21"/>
                <w:highlight w:val="none"/>
              </w:rPr>
            </w:pPr>
            <w:r>
              <w:rPr>
                <w:rFonts w:hint="default" w:ascii="Times New Roman" w:hAnsi="Times New Roman" w:cs="Times New Roman"/>
                <w:bCs/>
                <w:color w:val="auto"/>
                <w:sz w:val="24"/>
                <w:highlight w:val="none"/>
              </w:rPr>
              <w:t>本项目依据现有厂房的空置情况进行布置，将喷漆房与风干房设置临近，将喷粉与烘烤设置临近，使生产流畅紧密。本评价认为本项目本着生产工艺流畅、布置紧凑、减小对外环境影响等因素布置厂区总平面图，总体上来看是合理的。厂区平面布置图见附图2。</w:t>
            </w:r>
          </w:p>
        </w:tc>
      </w:tr>
    </w:tbl>
    <w:p w14:paraId="13AF3D4D">
      <w:pPr>
        <w:rPr>
          <w:rFonts w:hint="default" w:ascii="Times New Roman" w:hAnsi="Times New Roman" w:cs="Times New Roman"/>
          <w:color w:val="auto"/>
          <w:highlight w:val="none"/>
        </w:rPr>
        <w:sectPr>
          <w:pgSz w:w="11906" w:h="16838"/>
          <w:pgMar w:top="1417" w:right="1134" w:bottom="1417" w:left="1134" w:header="851" w:footer="851" w:gutter="0"/>
          <w:cols w:space="720" w:num="1"/>
          <w:docGrid w:linePitch="312" w:charSpace="0"/>
        </w:sectPr>
      </w:pPr>
    </w:p>
    <w:tbl>
      <w:tblPr>
        <w:tblStyle w:val="26"/>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9064"/>
      </w:tblGrid>
      <w:tr w14:paraId="469E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73" w:hRule="atLeast"/>
        </w:trPr>
        <w:tc>
          <w:tcPr>
            <w:tcW w:w="790" w:type="dxa"/>
          </w:tcPr>
          <w:p w14:paraId="44CF700A">
            <w:pPr>
              <w:pStyle w:val="23"/>
              <w:jc w:val="center"/>
              <w:rPr>
                <w:rFonts w:hint="default" w:ascii="Times New Roman" w:hAnsi="Times New Roman" w:cs="Times New Roman"/>
                <w:color w:val="auto"/>
                <w:sz w:val="21"/>
                <w:szCs w:val="21"/>
                <w:highlight w:val="none"/>
              </w:rPr>
            </w:pPr>
          </w:p>
          <w:p w14:paraId="650A0AE5">
            <w:pPr>
              <w:pStyle w:val="23"/>
              <w:jc w:val="center"/>
              <w:rPr>
                <w:rFonts w:hint="default" w:ascii="Times New Roman" w:hAnsi="Times New Roman" w:cs="Times New Roman"/>
                <w:color w:val="auto"/>
                <w:sz w:val="21"/>
                <w:szCs w:val="21"/>
                <w:highlight w:val="none"/>
              </w:rPr>
            </w:pPr>
          </w:p>
          <w:p w14:paraId="4D50D62C">
            <w:pPr>
              <w:pStyle w:val="23"/>
              <w:jc w:val="center"/>
              <w:rPr>
                <w:rFonts w:hint="default" w:ascii="Times New Roman" w:hAnsi="Times New Roman" w:cs="Times New Roman"/>
                <w:color w:val="auto"/>
                <w:sz w:val="21"/>
                <w:szCs w:val="21"/>
                <w:highlight w:val="none"/>
              </w:rPr>
            </w:pPr>
          </w:p>
          <w:p w14:paraId="31352DCD">
            <w:pPr>
              <w:pStyle w:val="23"/>
              <w:jc w:val="center"/>
              <w:rPr>
                <w:rFonts w:hint="default" w:ascii="Times New Roman" w:hAnsi="Times New Roman" w:cs="Times New Roman"/>
                <w:color w:val="auto"/>
                <w:sz w:val="21"/>
                <w:szCs w:val="21"/>
                <w:highlight w:val="none"/>
              </w:rPr>
            </w:pPr>
          </w:p>
          <w:p w14:paraId="602AE6D0">
            <w:pPr>
              <w:pStyle w:val="23"/>
              <w:jc w:val="center"/>
              <w:rPr>
                <w:rFonts w:hint="default" w:ascii="Times New Roman" w:hAnsi="Times New Roman" w:cs="Times New Roman"/>
                <w:color w:val="auto"/>
                <w:sz w:val="21"/>
                <w:szCs w:val="21"/>
                <w:highlight w:val="none"/>
              </w:rPr>
            </w:pPr>
          </w:p>
          <w:p w14:paraId="68E5B57E">
            <w:pPr>
              <w:pStyle w:val="23"/>
              <w:jc w:val="center"/>
              <w:rPr>
                <w:rFonts w:hint="default" w:ascii="Times New Roman" w:hAnsi="Times New Roman" w:eastAsia="黑体" w:cs="Times New Roman"/>
                <w:snapToGrid w:val="0"/>
                <w:color w:val="auto"/>
                <w:sz w:val="36"/>
                <w:szCs w:val="36"/>
                <w:highlight w:val="none"/>
              </w:rPr>
            </w:pPr>
            <w:r>
              <w:rPr>
                <w:rFonts w:hint="default" w:ascii="Times New Roman" w:hAnsi="Times New Roman" w:cs="Times New Roman"/>
                <w:color w:val="auto"/>
                <w:szCs w:val="24"/>
                <w:highlight w:val="none"/>
              </w:rPr>
              <w:t>工艺流程和产排污环节</w:t>
            </w:r>
          </w:p>
        </w:tc>
        <w:tc>
          <w:tcPr>
            <w:tcW w:w="9064" w:type="dxa"/>
          </w:tcPr>
          <w:p w14:paraId="4F708D3F">
            <w:pPr>
              <w:pStyle w:val="23"/>
              <w:numPr>
                <w:ilvl w:val="0"/>
                <w:numId w:val="6"/>
              </w:numPr>
              <w:rPr>
                <w:rFonts w:hint="default" w:ascii="Times New Roman" w:hAnsi="Times New Roman" w:cs="Times New Roman"/>
                <w:b/>
                <w:bCs/>
                <w:snapToGrid w:val="0"/>
                <w:color w:val="auto"/>
                <w:szCs w:val="24"/>
                <w:highlight w:val="none"/>
              </w:rPr>
            </w:pPr>
            <w:r>
              <w:rPr>
                <w:rFonts w:hint="default" w:ascii="Times New Roman" w:hAnsi="Times New Roman" w:cs="Times New Roman"/>
                <w:b/>
                <w:bCs/>
                <w:snapToGrid w:val="0"/>
                <w:color w:val="auto"/>
                <w:szCs w:val="24"/>
                <w:highlight w:val="none"/>
              </w:rPr>
              <w:t>工艺流程：</w:t>
            </w:r>
            <w:r>
              <w:rPr>
                <w:rFonts w:hint="default" w:ascii="Times New Roman" w:hAnsi="Times New Roman" w:cs="Times New Roman"/>
                <w:bCs/>
                <w:color w:val="auto"/>
                <w:kern w:val="2"/>
                <w:sz w:val="21"/>
                <w:szCs w:val="21"/>
                <w:highlight w:val="none"/>
              </w:rPr>
              <mc:AlternateContent>
                <mc:Choice Requires="wpc">
                  <w:drawing>
                    <wp:inline distT="0" distB="0" distL="114300" distR="114300">
                      <wp:extent cx="4901565" cy="2458085"/>
                      <wp:effectExtent l="0" t="0" r="0" b="17145"/>
                      <wp:docPr id="172" name="画布 172"/>
                      <wp:cNvGraphicFramePr/>
                      <a:graphic xmlns:a="http://schemas.openxmlformats.org/drawingml/2006/main">
                        <a:graphicData uri="http://schemas.microsoft.com/office/word/2010/wordprocessingCanvas">
                          <wpc:wpc>
                            <wpc:bg>
                              <a:noFill/>
                            </wpc:bg>
                            <wpc:whole>
                              <a:ln w="9525" cap="flat" cmpd="sng">
                                <a:noFill/>
                                <a:prstDash val="solid"/>
                                <a:miter/>
                                <a:headEnd type="none" w="med" len="med"/>
                                <a:tailEnd type="none" w="med" len="med"/>
                              </a:ln>
                            </wpc:whole>
                            <wps:wsp>
                              <wps:cNvPr id="233" name="文本框 117"/>
                              <wps:cNvSpPr txBox="1"/>
                              <wps:spPr>
                                <a:xfrm>
                                  <a:off x="1701165" y="429895"/>
                                  <a:ext cx="1125220" cy="277495"/>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4839FE1">
                                    <w:pPr>
                                      <w:jc w:val="center"/>
                                      <w:rPr>
                                        <w:rFonts w:ascii="宋体" w:hAnsi="宋体" w:cs="宋体"/>
                                      </w:rPr>
                                    </w:pPr>
                                    <w:r>
                                      <w:rPr>
                                        <w:rFonts w:hint="eastAsia" w:ascii="宋体" w:hAnsi="宋体" w:cs="宋体"/>
                                        <w:szCs w:val="21"/>
                                      </w:rPr>
                                      <w:t>铁铸件、碳钢铸件</w:t>
                                    </w:r>
                                  </w:p>
                                </w:txbxContent>
                              </wps:txbx>
                              <wps:bodyPr lIns="0" tIns="0" rIns="0" bIns="0" anchor="ctr" anchorCtr="0" upright="1"/>
                            </wps:wsp>
                            <wps:wsp>
                              <wps:cNvPr id="240" name="文本框 129"/>
                              <wps:cNvSpPr txBox="1"/>
                              <wps:spPr>
                                <a:xfrm>
                                  <a:off x="2540000" y="1189990"/>
                                  <a:ext cx="516890" cy="27686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11737DC">
                                    <w:pPr>
                                      <w:jc w:val="center"/>
                                      <w:rPr>
                                        <w:rFonts w:ascii="宋体" w:hAnsi="宋体" w:cs="宋体"/>
                                      </w:rPr>
                                    </w:pPr>
                                    <w:r>
                                      <w:rPr>
                                        <w:rFonts w:hint="eastAsia" w:ascii="宋体" w:hAnsi="宋体" w:cs="宋体"/>
                                      </w:rPr>
                                      <w:t>喷漆</w:t>
                                    </w:r>
                                  </w:p>
                                </w:txbxContent>
                              </wps:txbx>
                              <wps:bodyPr lIns="0" tIns="0" rIns="0" bIns="0" anchor="ctr" anchorCtr="0" upright="1"/>
                            </wps:wsp>
                            <wps:wsp>
                              <wps:cNvPr id="241" name="文本框 130"/>
                              <wps:cNvSpPr txBox="1"/>
                              <wps:spPr>
                                <a:xfrm>
                                  <a:off x="2540000" y="1677670"/>
                                  <a:ext cx="516890" cy="27686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8B116D2">
                                    <w:pPr>
                                      <w:jc w:val="center"/>
                                      <w:rPr>
                                        <w:rFonts w:ascii="宋体" w:hAnsi="宋体" w:cs="宋体"/>
                                      </w:rPr>
                                    </w:pPr>
                                    <w:r>
                                      <w:rPr>
                                        <w:rFonts w:hint="eastAsia" w:ascii="宋体" w:hAnsi="宋体" w:cs="宋体"/>
                                      </w:rPr>
                                      <w:t>风干</w:t>
                                    </w:r>
                                  </w:p>
                                </w:txbxContent>
                              </wps:txbx>
                              <wps:bodyPr lIns="0" tIns="0" rIns="0" bIns="0" anchor="ctr" anchorCtr="0" upright="1"/>
                            </wps:wsp>
                            <wps:wsp>
                              <wps:cNvPr id="242" name="直接箭头连接符 131"/>
                              <wps:cNvCnPr/>
                              <wps:spPr>
                                <a:xfrm>
                                  <a:off x="2798445" y="1954530"/>
                                  <a:ext cx="0" cy="231140"/>
                                </a:xfrm>
                                <a:prstGeom prst="straightConnector1">
                                  <a:avLst/>
                                </a:prstGeom>
                                <a:ln w="9525" cap="flat" cmpd="sng">
                                  <a:solidFill>
                                    <a:srgbClr val="000000"/>
                                  </a:solidFill>
                                  <a:prstDash val="solid"/>
                                  <a:round/>
                                  <a:headEnd type="none" w="med" len="med"/>
                                  <a:tailEnd type="triangle" w="med" len="med"/>
                                </a:ln>
                              </wps:spPr>
                              <wps:bodyPr/>
                            </wps:wsp>
                            <wps:wsp>
                              <wps:cNvPr id="245" name="文本框 132"/>
                              <wps:cNvSpPr txBox="1"/>
                              <wps:spPr>
                                <a:xfrm>
                                  <a:off x="2540000" y="2185670"/>
                                  <a:ext cx="516890" cy="27686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CA2057D">
                                    <w:pPr>
                                      <w:jc w:val="center"/>
                                      <w:rPr>
                                        <w:rFonts w:ascii="宋体" w:hAnsi="宋体" w:cs="宋体"/>
                                      </w:rPr>
                                    </w:pPr>
                                    <w:r>
                                      <w:rPr>
                                        <w:rFonts w:hint="eastAsia" w:ascii="宋体" w:hAnsi="宋体" w:cs="宋体"/>
                                      </w:rPr>
                                      <w:t>成品</w:t>
                                    </w:r>
                                  </w:p>
                                </w:txbxContent>
                              </wps:txbx>
                              <wps:bodyPr lIns="0" tIns="0" rIns="0" bIns="0" anchor="ctr" anchorCtr="0" upright="1"/>
                            </wps:wsp>
                            <wps:wsp>
                              <wps:cNvPr id="249" name="直接箭头连接符 134"/>
                              <wps:cNvCnPr/>
                              <wps:spPr>
                                <a:xfrm>
                                  <a:off x="2798445" y="1466850"/>
                                  <a:ext cx="0" cy="210820"/>
                                </a:xfrm>
                                <a:prstGeom prst="straightConnector1">
                                  <a:avLst/>
                                </a:prstGeom>
                                <a:ln w="9525" cap="flat" cmpd="sng">
                                  <a:solidFill>
                                    <a:srgbClr val="000000"/>
                                  </a:solidFill>
                                  <a:prstDash val="solid"/>
                                  <a:round/>
                                  <a:headEnd type="none" w="med" len="med"/>
                                  <a:tailEnd type="triangle" w="med" len="med"/>
                                </a:ln>
                              </wps:spPr>
                              <wps:bodyPr/>
                            </wps:wsp>
                            <wps:wsp>
                              <wps:cNvPr id="252" name="直接箭头连接符 135"/>
                              <wps:cNvCnPr/>
                              <wps:spPr>
                                <a:xfrm>
                                  <a:off x="3056890" y="1328420"/>
                                  <a:ext cx="356235" cy="0"/>
                                </a:xfrm>
                                <a:prstGeom prst="straightConnector1">
                                  <a:avLst/>
                                </a:prstGeom>
                                <a:ln w="9525" cap="flat" cmpd="sng">
                                  <a:solidFill>
                                    <a:srgbClr val="000000"/>
                                  </a:solidFill>
                                  <a:prstDash val="lgDash"/>
                                  <a:round/>
                                  <a:headEnd type="none" w="med" len="med"/>
                                  <a:tailEnd type="triangle" w="med" len="med"/>
                                </a:ln>
                              </wps:spPr>
                              <wps:bodyPr/>
                            </wps:wsp>
                            <wps:wsp>
                              <wps:cNvPr id="254" name="文本框 136"/>
                              <wps:cNvSpPr txBox="1"/>
                              <wps:spPr>
                                <a:xfrm>
                                  <a:off x="3413125" y="1189990"/>
                                  <a:ext cx="296545" cy="276860"/>
                                </a:xfrm>
                                <a:prstGeom prst="rect">
                                  <a:avLst/>
                                </a:prstGeom>
                                <a:solidFill>
                                  <a:srgbClr val="FFFFFF"/>
                                </a:solidFill>
                                <a:ln w="6350" cap="flat" cmpd="sng">
                                  <a:solidFill>
                                    <a:srgbClr val="000000"/>
                                  </a:solidFill>
                                  <a:prstDash val="lgDash"/>
                                  <a:round/>
                                  <a:headEnd type="none" w="med" len="med"/>
                                  <a:tailEnd type="none" w="med" len="med"/>
                                </a:ln>
                              </wps:spPr>
                              <wps:txbx>
                                <w:txbxContent>
                                  <w:p w14:paraId="3D406CA2">
                                    <w:pPr>
                                      <w:jc w:val="center"/>
                                      <w:rPr>
                                        <w:rFonts w:ascii="宋体" w:hAnsi="宋体" w:cs="宋体"/>
                                        <w:szCs w:val="21"/>
                                      </w:rPr>
                                    </w:pPr>
                                    <w:r>
                                      <w:rPr>
                                        <w:rFonts w:hint="eastAsia" w:cs="宋体"/>
                                        <w:szCs w:val="21"/>
                                      </w:rPr>
                                      <w:t>废气</w:t>
                                    </w:r>
                                  </w:p>
                                </w:txbxContent>
                              </wps:txbx>
                              <wps:bodyPr lIns="0" tIns="0" rIns="0" bIns="0" anchor="ctr" anchorCtr="0" upright="1"/>
                            </wps:wsp>
                            <wps:wsp>
                              <wps:cNvPr id="256" name="文本框 138"/>
                              <wps:cNvSpPr txBox="1"/>
                              <wps:spPr>
                                <a:xfrm>
                                  <a:off x="3413125" y="1668145"/>
                                  <a:ext cx="326390" cy="276860"/>
                                </a:xfrm>
                                <a:prstGeom prst="rect">
                                  <a:avLst/>
                                </a:prstGeom>
                                <a:solidFill>
                                  <a:srgbClr val="FFFFFF"/>
                                </a:solidFill>
                                <a:ln w="6350" cap="flat" cmpd="sng">
                                  <a:solidFill>
                                    <a:srgbClr val="000000"/>
                                  </a:solidFill>
                                  <a:prstDash val="lgDash"/>
                                  <a:round/>
                                  <a:headEnd type="none" w="med" len="med"/>
                                  <a:tailEnd type="none" w="med" len="med"/>
                                </a:ln>
                              </wps:spPr>
                              <wps:txbx>
                                <w:txbxContent>
                                  <w:p w14:paraId="34E8AD28">
                                    <w:pPr>
                                      <w:jc w:val="center"/>
                                      <w:rPr>
                                        <w:rFonts w:ascii="宋体" w:hAnsi="宋体" w:cs="宋体"/>
                                        <w:szCs w:val="21"/>
                                      </w:rPr>
                                    </w:pPr>
                                    <w:r>
                                      <w:rPr>
                                        <w:rFonts w:hint="eastAsia" w:cs="宋体"/>
                                        <w:szCs w:val="21"/>
                                      </w:rPr>
                                      <w:t>废气</w:t>
                                    </w:r>
                                  </w:p>
                                </w:txbxContent>
                              </wps:txbx>
                              <wps:bodyPr lIns="0" tIns="0" rIns="0" bIns="0" anchor="ctr" anchorCtr="0" upright="1"/>
                            </wps:wsp>
                            <wps:wsp>
                              <wps:cNvPr id="257" name="直接箭头连接符 139"/>
                              <wps:cNvCnPr/>
                              <wps:spPr>
                                <a:xfrm>
                                  <a:off x="3056890" y="1816100"/>
                                  <a:ext cx="356235" cy="0"/>
                                </a:xfrm>
                                <a:prstGeom prst="straightConnector1">
                                  <a:avLst/>
                                </a:prstGeom>
                                <a:ln w="9525" cap="flat" cmpd="sng">
                                  <a:solidFill>
                                    <a:srgbClr val="000000"/>
                                  </a:solidFill>
                                  <a:prstDash val="lgDash"/>
                                  <a:round/>
                                  <a:headEnd type="none" w="med" len="med"/>
                                  <a:tailEnd type="triangle" w="med" len="med"/>
                                </a:ln>
                              </wps:spPr>
                              <wps:bodyPr/>
                            </wps:wsp>
                            <wps:wsp>
                              <wps:cNvPr id="258" name="文本框 146"/>
                              <wps:cNvSpPr txBox="1"/>
                              <wps:spPr>
                                <a:xfrm>
                                  <a:off x="1386205" y="1177290"/>
                                  <a:ext cx="516890" cy="27686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038F489">
                                    <w:pPr>
                                      <w:jc w:val="center"/>
                                      <w:rPr>
                                        <w:rFonts w:ascii="宋体" w:hAnsi="宋体" w:cs="宋体"/>
                                      </w:rPr>
                                    </w:pPr>
                                    <w:r>
                                      <w:rPr>
                                        <w:rFonts w:hint="eastAsia" w:ascii="宋体" w:hAnsi="宋体" w:cs="宋体"/>
                                      </w:rPr>
                                      <w:t>喷粉</w:t>
                                    </w:r>
                                  </w:p>
                                </w:txbxContent>
                              </wps:txbx>
                              <wps:bodyPr lIns="0" tIns="0" rIns="0" bIns="0" anchor="ctr" anchorCtr="0" upright="1"/>
                            </wps:wsp>
                            <wps:wsp>
                              <wps:cNvPr id="259" name="直接箭头连接符 148"/>
                              <wps:cNvCnPr/>
                              <wps:spPr>
                                <a:xfrm>
                                  <a:off x="1644650" y="1454150"/>
                                  <a:ext cx="0" cy="210820"/>
                                </a:xfrm>
                                <a:prstGeom prst="straightConnector1">
                                  <a:avLst/>
                                </a:prstGeom>
                                <a:ln w="9525" cap="flat" cmpd="sng">
                                  <a:solidFill>
                                    <a:srgbClr val="000000"/>
                                  </a:solidFill>
                                  <a:prstDash val="solid"/>
                                  <a:round/>
                                  <a:headEnd type="none" w="med" len="med"/>
                                  <a:tailEnd type="triangle" w="med" len="med"/>
                                </a:ln>
                              </wps:spPr>
                              <wps:bodyPr/>
                            </wps:wsp>
                            <wps:wsp>
                              <wps:cNvPr id="261" name="文本框 150"/>
                              <wps:cNvSpPr txBox="1"/>
                              <wps:spPr>
                                <a:xfrm>
                                  <a:off x="1386205" y="1664970"/>
                                  <a:ext cx="516890" cy="27686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4A0582B7">
                                    <w:pPr>
                                      <w:jc w:val="center"/>
                                      <w:rPr>
                                        <w:rFonts w:ascii="宋体" w:hAnsi="宋体" w:cs="宋体"/>
                                      </w:rPr>
                                    </w:pPr>
                                    <w:r>
                                      <w:rPr>
                                        <w:rFonts w:hint="eastAsia" w:ascii="宋体" w:hAnsi="宋体" w:cs="宋体"/>
                                      </w:rPr>
                                      <w:t>烘烤</w:t>
                                    </w:r>
                                  </w:p>
                                </w:txbxContent>
                              </wps:txbx>
                              <wps:bodyPr lIns="0" tIns="0" rIns="0" bIns="0" anchor="ctr" anchorCtr="0" upright="1"/>
                            </wps:wsp>
                            <wps:wsp>
                              <wps:cNvPr id="265" name="文本框 151"/>
                              <wps:cNvSpPr txBox="1"/>
                              <wps:spPr>
                                <a:xfrm>
                                  <a:off x="1386205" y="2172970"/>
                                  <a:ext cx="516890" cy="27686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E43B44B">
                                    <w:pPr>
                                      <w:jc w:val="center"/>
                                      <w:rPr>
                                        <w:rFonts w:ascii="宋体" w:hAnsi="宋体" w:cs="宋体"/>
                                      </w:rPr>
                                    </w:pPr>
                                    <w:r>
                                      <w:rPr>
                                        <w:rFonts w:hint="eastAsia" w:ascii="宋体" w:hAnsi="宋体" w:cs="宋体"/>
                                      </w:rPr>
                                      <w:t>成品</w:t>
                                    </w:r>
                                  </w:p>
                                </w:txbxContent>
                              </wps:txbx>
                              <wps:bodyPr lIns="0" tIns="0" rIns="0" bIns="0" anchor="ctr" anchorCtr="0" upright="1"/>
                            </wps:wsp>
                            <wps:wsp>
                              <wps:cNvPr id="282" name="文本框 156"/>
                              <wps:cNvSpPr txBox="1"/>
                              <wps:spPr>
                                <a:xfrm>
                                  <a:off x="857250" y="1167765"/>
                                  <a:ext cx="287655" cy="276860"/>
                                </a:xfrm>
                                <a:prstGeom prst="rect">
                                  <a:avLst/>
                                </a:prstGeom>
                                <a:solidFill>
                                  <a:srgbClr val="FFFFFF"/>
                                </a:solidFill>
                                <a:ln w="6350" cap="flat" cmpd="sng">
                                  <a:solidFill>
                                    <a:srgbClr val="000000"/>
                                  </a:solidFill>
                                  <a:prstDash val="lgDash"/>
                                  <a:round/>
                                  <a:headEnd type="none" w="med" len="med"/>
                                  <a:tailEnd type="none" w="med" len="med"/>
                                </a:ln>
                              </wps:spPr>
                              <wps:txbx>
                                <w:txbxContent>
                                  <w:p w14:paraId="0F0DA646">
                                    <w:pPr>
                                      <w:jc w:val="center"/>
                                      <w:rPr>
                                        <w:rFonts w:ascii="宋体" w:hAnsi="宋体" w:cs="宋体"/>
                                        <w:szCs w:val="21"/>
                                      </w:rPr>
                                    </w:pPr>
                                    <w:r>
                                      <w:rPr>
                                        <w:rFonts w:hint="eastAsia" w:cs="宋体"/>
                                        <w:szCs w:val="21"/>
                                      </w:rPr>
                                      <w:t>废气</w:t>
                                    </w:r>
                                  </w:p>
                                </w:txbxContent>
                              </wps:txbx>
                              <wps:bodyPr lIns="0" tIns="0" rIns="0" bIns="0" anchor="ctr" anchorCtr="0" upright="1"/>
                            </wps:wsp>
                            <wps:wsp>
                              <wps:cNvPr id="284" name="文本框 158"/>
                              <wps:cNvSpPr txBox="1"/>
                              <wps:spPr>
                                <a:xfrm>
                                  <a:off x="866775" y="1664970"/>
                                  <a:ext cx="316865" cy="276860"/>
                                </a:xfrm>
                                <a:prstGeom prst="rect">
                                  <a:avLst/>
                                </a:prstGeom>
                                <a:solidFill>
                                  <a:srgbClr val="FFFFFF"/>
                                </a:solidFill>
                                <a:ln w="6350" cap="flat" cmpd="sng">
                                  <a:solidFill>
                                    <a:srgbClr val="000000"/>
                                  </a:solidFill>
                                  <a:prstDash val="lgDash"/>
                                  <a:round/>
                                  <a:headEnd type="none" w="med" len="med"/>
                                  <a:tailEnd type="none" w="med" len="med"/>
                                </a:ln>
                              </wps:spPr>
                              <wps:txbx>
                                <w:txbxContent>
                                  <w:p w14:paraId="247CCAE2">
                                    <w:pPr>
                                      <w:jc w:val="center"/>
                                      <w:rPr>
                                        <w:rFonts w:ascii="宋体" w:hAnsi="宋体" w:cs="宋体"/>
                                        <w:szCs w:val="21"/>
                                      </w:rPr>
                                    </w:pPr>
                                    <w:r>
                                      <w:rPr>
                                        <w:rFonts w:hint="eastAsia" w:cs="宋体"/>
                                        <w:szCs w:val="21"/>
                                      </w:rPr>
                                      <w:t>废气</w:t>
                                    </w:r>
                                  </w:p>
                                </w:txbxContent>
                              </wps:txbx>
                              <wps:bodyPr lIns="0" tIns="0" rIns="0" bIns="0" anchor="ctr" anchorCtr="0" upright="1"/>
                            </wps:wsp>
                            <wps:wsp>
                              <wps:cNvPr id="288" name="直接箭头连接符 162"/>
                              <wps:cNvCnPr/>
                              <wps:spPr>
                                <a:xfrm flipH="1" flipV="1">
                                  <a:off x="1144905" y="1306195"/>
                                  <a:ext cx="241300" cy="9525"/>
                                </a:xfrm>
                                <a:prstGeom prst="straightConnector1">
                                  <a:avLst/>
                                </a:prstGeom>
                                <a:ln w="9525" cap="flat" cmpd="sng">
                                  <a:solidFill>
                                    <a:srgbClr val="000000"/>
                                  </a:solidFill>
                                  <a:prstDash val="lgDash"/>
                                  <a:round/>
                                  <a:headEnd type="none" w="med" len="med"/>
                                  <a:tailEnd type="triangle" w="med" len="med"/>
                                </a:ln>
                              </wps:spPr>
                              <wps:bodyPr/>
                            </wps:wsp>
                            <wps:wsp>
                              <wps:cNvPr id="378" name="直接箭头连接符 165"/>
                              <wps:cNvCnPr/>
                              <wps:spPr>
                                <a:xfrm flipH="1">
                                  <a:off x="1183640" y="1803400"/>
                                  <a:ext cx="202565" cy="0"/>
                                </a:xfrm>
                                <a:prstGeom prst="straightConnector1">
                                  <a:avLst/>
                                </a:prstGeom>
                                <a:ln w="9525" cap="flat" cmpd="sng">
                                  <a:solidFill>
                                    <a:srgbClr val="000000"/>
                                  </a:solidFill>
                                  <a:prstDash val="lgDash"/>
                                  <a:round/>
                                  <a:headEnd type="none" w="med" len="med"/>
                                  <a:tailEnd type="triangle" w="med" len="med"/>
                                </a:ln>
                              </wps:spPr>
                              <wps:bodyPr/>
                            </wps:wsp>
                            <wps:wsp>
                              <wps:cNvPr id="381" name="直接箭头连接符 166"/>
                              <wps:cNvCnPr/>
                              <wps:spPr>
                                <a:xfrm>
                                  <a:off x="1644650" y="1941830"/>
                                  <a:ext cx="0" cy="231140"/>
                                </a:xfrm>
                                <a:prstGeom prst="straightConnector1">
                                  <a:avLst/>
                                </a:prstGeom>
                                <a:ln w="9525" cap="flat" cmpd="sng">
                                  <a:solidFill>
                                    <a:srgbClr val="000000"/>
                                  </a:solidFill>
                                  <a:prstDash val="solid"/>
                                  <a:round/>
                                  <a:headEnd type="none" w="med" len="med"/>
                                  <a:tailEnd type="triangle" w="med" len="med"/>
                                </a:ln>
                              </wps:spPr>
                              <wps:bodyPr/>
                            </wps:wsp>
                            <wps:wsp>
                              <wps:cNvPr id="383" name="直接箭头连接符 182"/>
                              <wps:cNvCnPr/>
                              <wps:spPr>
                                <a:xfrm>
                                  <a:off x="2246630" y="722630"/>
                                  <a:ext cx="0" cy="210820"/>
                                </a:xfrm>
                                <a:prstGeom prst="straightConnector1">
                                  <a:avLst/>
                                </a:prstGeom>
                                <a:ln w="9525" cap="flat" cmpd="sng">
                                  <a:solidFill>
                                    <a:srgbClr val="000000"/>
                                  </a:solidFill>
                                  <a:prstDash val="solid"/>
                                  <a:round/>
                                  <a:headEnd type="none" w="med" len="med"/>
                                  <a:tailEnd type="triangle" w="med" len="med"/>
                                </a:ln>
                              </wps:spPr>
                              <wps:bodyPr/>
                            </wps:wsp>
                            <wps:wsp>
                              <wps:cNvPr id="384" name="直接连接符 183"/>
                              <wps:cNvCnPr/>
                              <wps:spPr>
                                <a:xfrm>
                                  <a:off x="1662430" y="953770"/>
                                  <a:ext cx="1123950"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86" name="直接箭头连接符 184"/>
                              <wps:cNvCnPr/>
                              <wps:spPr>
                                <a:xfrm flipH="1">
                                  <a:off x="1656080" y="963295"/>
                                  <a:ext cx="6350" cy="217805"/>
                                </a:xfrm>
                                <a:prstGeom prst="straightConnector1">
                                  <a:avLst/>
                                </a:prstGeom>
                                <a:ln w="9525" cap="flat" cmpd="sng">
                                  <a:solidFill>
                                    <a:srgbClr val="000000"/>
                                  </a:solidFill>
                                  <a:prstDash val="solid"/>
                                  <a:round/>
                                  <a:headEnd type="none" w="med" len="med"/>
                                  <a:tailEnd type="triangle" w="med" len="med"/>
                                </a:ln>
                              </wps:spPr>
                              <wps:bodyPr/>
                            </wps:wsp>
                            <wps:wsp>
                              <wps:cNvPr id="387" name="直接箭头连接符 185"/>
                              <wps:cNvCnPr/>
                              <wps:spPr>
                                <a:xfrm flipH="1">
                                  <a:off x="2770505" y="960755"/>
                                  <a:ext cx="6350" cy="217805"/>
                                </a:xfrm>
                                <a:prstGeom prst="straightConnector1">
                                  <a:avLst/>
                                </a:prstGeom>
                                <a:ln w="9525" cap="flat" cmpd="sng">
                                  <a:solidFill>
                                    <a:srgbClr val="000000"/>
                                  </a:solidFill>
                                  <a:prstDash val="solid"/>
                                  <a:round/>
                                  <a:headEnd type="none" w="med" len="med"/>
                                  <a:tailEnd type="triangle" w="med" len="med"/>
                                </a:ln>
                              </wps:spPr>
                              <wps:bodyPr/>
                            </wps:wsp>
                          </wpc:wpc>
                        </a:graphicData>
                      </a:graphic>
                    </wp:inline>
                  </w:drawing>
                </mc:Choice>
                <mc:Fallback>
                  <w:pict>
                    <v:group id="_x0000_s1026" o:spid="_x0000_s1026" o:spt="203" style="height:193.55pt;width:385.95pt;" coordsize="4901565,2458085" editas="canvas" o:gfxdata="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">
                      <o:lock v:ext="edit" aspectratio="f"/>
                      <v:shape id="_x0000_s1026" o:spid="_x0000_s1026" style="position:absolute;left:0;top:0;height:2458085;width:4901565;" filled="f" stroked="f" coordsize="21600,21600" o:gfxdata="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">
                        <v:fill on="f" focussize="0,0"/>
                        <v:stroke on="f" joinstyle="miter"/>
                        <v:imagedata o:title=""/>
                        <o:lock v:ext="edit" aspectratio="f"/>
                      </v:shape>
                      <v:shape id="文本框 117" o:spid="_x0000_s1026" o:spt="202" type="#_x0000_t202" style="position:absolute;left:1701165;top:429895;height:277495;width:1125220;v-text-anchor:middle;" fillcolor="#FFFFFF" filled="t" stroked="t" coordsize="21600,21600" o:gfxdata="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yBForTAAAABQEAAA8AAAAAAAAAAQAgAAAAIgAAAGRycy9kb3ducmV2Lnht&#10;bFBLAQIUABQAAAAIAIdO4kDJRjheNwIAAIQEAAAOAAAAAAAAAAEAIAAAACIBAABkcnMvZTJvRG9j&#10;LnhtbFBLBQYAAAAABgAGAFkBAADLBQAAAAA=&#10;">
                        <v:fill on="t" focussize="0,0"/>
                        <v:stroke weight="0.5pt" color="#000000" joinstyle="round"/>
                        <v:imagedata o:title=""/>
                        <o:lock v:ext="edit" aspectratio="f"/>
                        <v:textbox inset="0mm,0mm,0mm,0mm">
                          <w:txbxContent>
                            <w:p w14:paraId="54839FE1">
                              <w:pPr>
                                <w:jc w:val="center"/>
                                <w:rPr>
                                  <w:rFonts w:ascii="宋体" w:hAnsi="宋体" w:cs="宋体"/>
                                </w:rPr>
                              </w:pPr>
                              <w:r>
                                <w:rPr>
                                  <w:rFonts w:hint="eastAsia" w:ascii="宋体" w:hAnsi="宋体" w:cs="宋体"/>
                                  <w:szCs w:val="21"/>
                                </w:rPr>
                                <w:t>铁铸件、碳钢铸件</w:t>
                              </w:r>
                            </w:p>
                          </w:txbxContent>
                        </v:textbox>
                      </v:shape>
                      <v:shape id="文本框 129" o:spid="_x0000_s1026" o:spt="202" type="#_x0000_t202" style="position:absolute;left:2540000;top:1189990;height:276860;width:516890;v-text-anchor:middle;" fillcolor="#FFFFFF" filled="t" stroked="t" coordsize="21600,21600" o:gfxdata="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yBForTAAAABQEAAA8AAAAAAAAAAQAgAAAAIgAAAGRycy9kb3ducmV2Lnht&#10;bFBLAQIUABQAAAAIAIdO4kAmLkLPNwIAAIQEAAAOAAAAAAAAAAEAIAAAACIBAABkcnMvZTJvRG9j&#10;LnhtbFBLBQYAAAAABgAGAFkBAADLBQAAAAA=&#10;">
                        <v:fill on="t" focussize="0,0"/>
                        <v:stroke weight="0.5pt" color="#000000" joinstyle="round"/>
                        <v:imagedata o:title=""/>
                        <o:lock v:ext="edit" aspectratio="f"/>
                        <v:textbox inset="0mm,0mm,0mm,0mm">
                          <w:txbxContent>
                            <w:p w14:paraId="111737DC">
                              <w:pPr>
                                <w:jc w:val="center"/>
                                <w:rPr>
                                  <w:rFonts w:ascii="宋体" w:hAnsi="宋体" w:cs="宋体"/>
                                </w:rPr>
                              </w:pPr>
                              <w:r>
                                <w:rPr>
                                  <w:rFonts w:hint="eastAsia" w:ascii="宋体" w:hAnsi="宋体" w:cs="宋体"/>
                                </w:rPr>
                                <w:t>喷漆</w:t>
                              </w:r>
                            </w:p>
                          </w:txbxContent>
                        </v:textbox>
                      </v:shape>
                      <v:shape id="文本框 130" o:spid="_x0000_s1026" o:spt="202" type="#_x0000_t202" style="position:absolute;left:2540000;top:1677670;height:276860;width:516890;v-text-anchor:middle;" fillcolor="#FFFFFF" filled="t" stroked="t" coordsize="21600,21600" o:gfxdata="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sgRaK0wAAAAUBAAAPAAAAAAAAAAEAIAAAACIAAABkcnMvZG93bnJldi54&#10;bWxQSwECFAAUAAAACACHTuJAol3OADgCAACEBAAADgAAAAAAAAABACAAAAAiAQAAZHJzL2Uyb0Rv&#10;Yy54bWxQSwUGAAAAAAYABgBZAQAAzAUAAAAA&#10;">
                        <v:fill on="t" focussize="0,0"/>
                        <v:stroke weight="0.5pt" color="#000000" joinstyle="round"/>
                        <v:imagedata o:title=""/>
                        <o:lock v:ext="edit" aspectratio="f"/>
                        <v:textbox inset="0mm,0mm,0mm,0mm">
                          <w:txbxContent>
                            <w:p w14:paraId="58B116D2">
                              <w:pPr>
                                <w:jc w:val="center"/>
                                <w:rPr>
                                  <w:rFonts w:ascii="宋体" w:hAnsi="宋体" w:cs="宋体"/>
                                </w:rPr>
                              </w:pPr>
                              <w:r>
                                <w:rPr>
                                  <w:rFonts w:hint="eastAsia" w:ascii="宋体" w:hAnsi="宋体" w:cs="宋体"/>
                                </w:rPr>
                                <w:t>风干</w:t>
                              </w:r>
                            </w:p>
                          </w:txbxContent>
                        </v:textbox>
                      </v:shape>
                      <v:shape id="直接箭头连接符 131" o:spid="_x0000_s1026" o:spt="32" type="#_x0000_t32" style="position:absolute;left:2798445;top:1954530;height:231140;width:0;" filled="f" stroked="t" coordsize="21600,21600" o:gfxdata="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buQpNYAAAAFAQAA&#10;DwAAAAAAAAABACAAAAAiAAAAZHJzL2Rvd25yZXYueG1sUEsBAhQAFAAAAAgAh07iQMOKWcobAgAA&#10;CQQAAA4AAAAAAAAAAQAgAAAAJQEAAGRycy9lMm9Eb2MueG1sUEsFBgAAAAAGAAYAWQEAALIFAAAA&#10;AA==&#10;">
                        <v:fill on="f" focussize="0,0"/>
                        <v:stroke color="#000000" joinstyle="round" endarrow="block"/>
                        <v:imagedata o:title=""/>
                        <o:lock v:ext="edit" aspectratio="f"/>
                      </v:shape>
                      <v:shape id="文本框 132" o:spid="_x0000_s1026" o:spt="202" type="#_x0000_t202" style="position:absolute;left:2540000;top:2185670;height:276860;width:516890;v-text-anchor:middle;" fillcolor="#FFFFFF" filled="t" stroked="t" coordsize="21600,21600" o:gfxdata="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yBForTAAAABQEAAA8AAAAAAAAAAQAgAAAAIgAAAGRycy9kb3ducmV2Lnht&#10;bFBLAQIUABQAAAAIAIdO4kDmHLsANwIAAIQEAAAOAAAAAAAAAAEAIAAAACIBAABkcnMvZTJvRG9j&#10;LnhtbFBLBQYAAAAABgAGAFkBAADLBQAAAAA=&#10;">
                        <v:fill on="t" focussize="0,0"/>
                        <v:stroke weight="0.5pt" color="#000000" joinstyle="round"/>
                        <v:imagedata o:title=""/>
                        <o:lock v:ext="edit" aspectratio="f"/>
                        <v:textbox inset="0mm,0mm,0mm,0mm">
                          <w:txbxContent>
                            <w:p w14:paraId="5CA2057D">
                              <w:pPr>
                                <w:jc w:val="center"/>
                                <w:rPr>
                                  <w:rFonts w:ascii="宋体" w:hAnsi="宋体" w:cs="宋体"/>
                                </w:rPr>
                              </w:pPr>
                              <w:r>
                                <w:rPr>
                                  <w:rFonts w:hint="eastAsia" w:ascii="宋体" w:hAnsi="宋体" w:cs="宋体"/>
                                </w:rPr>
                                <w:t>成品</w:t>
                              </w:r>
                            </w:p>
                          </w:txbxContent>
                        </v:textbox>
                      </v:shape>
                      <v:shape id="直接箭头连接符 134" o:spid="_x0000_s1026" o:spt="32" type="#_x0000_t32" style="position:absolute;left:2798445;top:1466850;height:210820;width:0;" filled="f" stroked="t" coordsize="21600,21600" o:gfxdata="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buQpNYAAAAFAQAA&#10;DwAAAAAAAAABACAAAAAiAAAAZHJzL2Rvd25yZXYueG1sUEsBAhQAFAAAAAgAh07iQEK+QiYbAgAA&#10;CQQAAA4AAAAAAAAAAQAgAAAAJQEAAGRycy9lMm9Eb2MueG1sUEsFBgAAAAAGAAYAWQEAALIFAAAA&#10;AA==&#10;">
                        <v:fill on="f" focussize="0,0"/>
                        <v:stroke color="#000000" joinstyle="round" endarrow="block"/>
                        <v:imagedata o:title=""/>
                        <o:lock v:ext="edit" aspectratio="f"/>
                      </v:shape>
                      <v:shape id="直接箭头连接符 135" o:spid="_x0000_s1026" o:spt="32" type="#_x0000_t32" style="position:absolute;left:3056890;top:1328420;height:0;width:356235;" filled="f" stroked="t" coordsize="21600,21600" o:gfxdata="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tHHBb1wAAAAUBAAAP&#10;AAAAAAAAAAEAIAAAACIAAABkcnMvZG93bnJldi54bWxQSwECFAAUAAAACACHTuJA1+eUFhkCAAAK&#10;BAAADgAAAAAAAAABACAAAAAmAQAAZHJzL2Uyb0RvYy54bWxQSwUGAAAAAAYABgBZAQAAsQUAAAAA&#10;">
                        <v:fill on="f" focussize="0,0"/>
                        <v:stroke color="#000000" joinstyle="round" dashstyle="longDash" endarrow="block"/>
                        <v:imagedata o:title=""/>
                        <o:lock v:ext="edit" aspectratio="f"/>
                      </v:shape>
                      <v:shape id="文本框 136" o:spid="_x0000_s1026" o:spt="202" type="#_x0000_t202" style="position:absolute;left:3413125;top:1189990;height:276860;width:296545;v-text-anchor:middle;" fillcolor="#FFFFFF" filled="t" stroked="t" coordsize="21600,21600" o:gfxdata="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ORBG9UAAAAFAQAADwAAAAAAAAABACAAAAAiAAAAZHJzL2Rvd25yZXYu&#10;eG1sUEsBAhQAFAAAAAgAh07iQBS2nY03AgAAhQQAAA4AAAAAAAAAAQAgAAAAJAEAAGRycy9lMm9E&#10;b2MueG1sUEsFBgAAAAAGAAYAWQEAAM0FAAAAAA==&#10;">
                        <v:fill on="t" focussize="0,0"/>
                        <v:stroke weight="0.5pt" color="#000000" joinstyle="round" dashstyle="longDash"/>
                        <v:imagedata o:title=""/>
                        <o:lock v:ext="edit" aspectratio="f"/>
                        <v:textbox inset="0mm,0mm,0mm,0mm">
                          <w:txbxContent>
                            <w:p w14:paraId="3D406CA2">
                              <w:pPr>
                                <w:jc w:val="center"/>
                                <w:rPr>
                                  <w:rFonts w:ascii="宋体" w:hAnsi="宋体" w:cs="宋体"/>
                                  <w:szCs w:val="21"/>
                                </w:rPr>
                              </w:pPr>
                              <w:r>
                                <w:rPr>
                                  <w:rFonts w:hint="eastAsia" w:cs="宋体"/>
                                  <w:szCs w:val="21"/>
                                </w:rPr>
                                <w:t>废气</w:t>
                              </w:r>
                            </w:p>
                          </w:txbxContent>
                        </v:textbox>
                      </v:shape>
                      <v:shape id="文本框 138" o:spid="_x0000_s1026" o:spt="202" type="#_x0000_t202" style="position:absolute;left:3413125;top:1668145;height:276860;width:326390;v-text-anchor:middle;" fillcolor="#FFFFFF" filled="t" stroked="t" coordsize="21600,21600" o:gfxdata="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TkQRvVAAAABQEAAA8AAAAAAAAAAQAgAAAAIgAAAGRycy9kb3ducmV2&#10;LnhtbFBLAQIUABQAAAAIAIdO4kAmQZCpOAIAAIUEAAAOAAAAAAAAAAEAIAAAACQBAABkcnMvZTJv&#10;RG9jLnhtbFBLBQYAAAAABgAGAFkBAADOBQAAAAA=&#10;">
                        <v:fill on="t" focussize="0,0"/>
                        <v:stroke weight="0.5pt" color="#000000" joinstyle="round" dashstyle="longDash"/>
                        <v:imagedata o:title=""/>
                        <o:lock v:ext="edit" aspectratio="f"/>
                        <v:textbox inset="0mm,0mm,0mm,0mm">
                          <w:txbxContent>
                            <w:p w14:paraId="34E8AD28">
                              <w:pPr>
                                <w:jc w:val="center"/>
                                <w:rPr>
                                  <w:rFonts w:ascii="宋体" w:hAnsi="宋体" w:cs="宋体"/>
                                  <w:szCs w:val="21"/>
                                </w:rPr>
                              </w:pPr>
                              <w:r>
                                <w:rPr>
                                  <w:rFonts w:hint="eastAsia" w:cs="宋体"/>
                                  <w:szCs w:val="21"/>
                                </w:rPr>
                                <w:t>废气</w:t>
                              </w:r>
                            </w:p>
                          </w:txbxContent>
                        </v:textbox>
                      </v:shape>
                      <v:shape id="直接箭头连接符 139" o:spid="_x0000_s1026" o:spt="32" type="#_x0000_t32" style="position:absolute;left:3056890;top:1816100;height:0;width:356235;" filled="f" stroked="t" coordsize="21600,21600" o:gfxdata="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0ccFvXAAAABQEA&#10;AA8AAAAAAAAAAQAgAAAAIgAAAGRycy9kb3ducmV2LnhtbFBLAQIUABQAAAAIAIdO4kCsmUUhGwIA&#10;AAoEAAAOAAAAAAAAAAEAIAAAACYBAABkcnMvZTJvRG9jLnhtbFBLBQYAAAAABgAGAFkBAACzBQAA&#10;AAA=&#10;">
                        <v:fill on="f" focussize="0,0"/>
                        <v:stroke color="#000000" joinstyle="round" dashstyle="longDash" endarrow="block"/>
                        <v:imagedata o:title=""/>
                        <o:lock v:ext="edit" aspectratio="f"/>
                      </v:shape>
                      <v:shape id="文本框 146" o:spid="_x0000_s1026" o:spt="202" type="#_x0000_t202" style="position:absolute;left:1386205;top:1177290;height:276860;width:516890;v-text-anchor:middle;" fillcolor="#FFFFFF" filled="t" stroked="t" coordsize="21600,21600" o:gfxdata="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yBForTAAAABQEAAA8AAAAAAAAAAQAgAAAAIgAAAGRycy9kb3ducmV2LnhtbFBL&#10;AQIUABQAAAAIAIdO4kCRFrZuNAIAAIQEAAAOAAAAAAAAAAEAIAAAACIBAABkcnMvZTJvRG9jLnht&#10;bFBLBQYAAAAABgAGAFkBAADIBQAAAAA=&#10;">
                        <v:fill on="t" focussize="0,0"/>
                        <v:stroke weight="0.5pt" color="#000000" joinstyle="round"/>
                        <v:imagedata o:title=""/>
                        <o:lock v:ext="edit" aspectratio="f"/>
                        <v:textbox inset="0mm,0mm,0mm,0mm">
                          <w:txbxContent>
                            <w:p w14:paraId="2038F489">
                              <w:pPr>
                                <w:jc w:val="center"/>
                                <w:rPr>
                                  <w:rFonts w:ascii="宋体" w:hAnsi="宋体" w:cs="宋体"/>
                                </w:rPr>
                              </w:pPr>
                              <w:r>
                                <w:rPr>
                                  <w:rFonts w:hint="eastAsia" w:ascii="宋体" w:hAnsi="宋体" w:cs="宋体"/>
                                </w:rPr>
                                <w:t>喷粉</w:t>
                              </w:r>
                            </w:p>
                          </w:txbxContent>
                        </v:textbox>
                      </v:shape>
                      <v:shape id="直接箭头连接符 148" o:spid="_x0000_s1026" o:spt="32" type="#_x0000_t32" style="position:absolute;left:1644650;top:1454150;height:210820;width:0;" filled="f" stroked="t" coordsize="21600,21600" o:gfxdata="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Ju5Ck1gAAAAUBAAAPAAAA&#10;AAAAAAEAIAAAACIAAABkcnMvZG93bnJldi54bWxQSwECFAAUAAAACACHTuJAvXw2DxcCAAAJBAAA&#10;DgAAAAAAAAABACAAAAAlAQAAZHJzL2Uyb0RvYy54bWxQSwUGAAAAAAYABgBZAQAArgUAAAAA&#10;">
                        <v:fill on="f" focussize="0,0"/>
                        <v:stroke color="#000000" joinstyle="round" endarrow="block"/>
                        <v:imagedata o:title=""/>
                        <o:lock v:ext="edit" aspectratio="f"/>
                      </v:shape>
                      <v:shape id="文本框 150" o:spid="_x0000_s1026" o:spt="202" type="#_x0000_t202" style="position:absolute;left:1386205;top:1664970;height:276860;width:516890;v-text-anchor:middle;" fillcolor="#FFFFFF" filled="t" stroked="t" coordsize="21600,21600" o:gfxdata="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yBForTAAAABQEAAA8AAAAAAAAAAQAgAAAAIgAAAGRycy9kb3ducmV2Lnht&#10;bFBLAQIUABQAAAAIAIdO4kAfV6tiNwIAAIQEAAAOAAAAAAAAAAEAIAAAACIBAABkcnMvZTJvRG9j&#10;LnhtbFBLBQYAAAAABgAGAFkBAADLBQAAAAA=&#10;">
                        <v:fill on="t" focussize="0,0"/>
                        <v:stroke weight="0.5pt" color="#000000" joinstyle="round"/>
                        <v:imagedata o:title=""/>
                        <o:lock v:ext="edit" aspectratio="f"/>
                        <v:textbox inset="0mm,0mm,0mm,0mm">
                          <w:txbxContent>
                            <w:p w14:paraId="4A0582B7">
                              <w:pPr>
                                <w:jc w:val="center"/>
                                <w:rPr>
                                  <w:rFonts w:ascii="宋体" w:hAnsi="宋体" w:cs="宋体"/>
                                </w:rPr>
                              </w:pPr>
                              <w:r>
                                <w:rPr>
                                  <w:rFonts w:hint="eastAsia" w:ascii="宋体" w:hAnsi="宋体" w:cs="宋体"/>
                                </w:rPr>
                                <w:t>烘烤</w:t>
                              </w:r>
                            </w:p>
                          </w:txbxContent>
                        </v:textbox>
                      </v:shape>
                      <v:shape id="文本框 151" o:spid="_x0000_s1026" o:spt="202" type="#_x0000_t202" style="position:absolute;left:1386205;top:2172970;height:276860;width:516890;v-text-anchor:middle;" fillcolor="#FFFFFF" filled="t" stroked="t" coordsize="21600,21600" o:gfxdata="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IEWitMAAAAFAQAADwAAAAAAAAABACAAAAAiAAAAZHJzL2Rvd25yZXYueG1s&#10;UEsBAhQAFAAAAAgAh07iQLAtya02AgAAhAQAAA4AAAAAAAAAAQAgAAAAIgEAAGRycy9lMm9Eb2Mu&#10;eG1sUEsFBgAAAAAGAAYAWQEAAMoFAAAAAA==&#10;">
                        <v:fill on="t" focussize="0,0"/>
                        <v:stroke weight="0.5pt" color="#000000" joinstyle="round"/>
                        <v:imagedata o:title=""/>
                        <o:lock v:ext="edit" aspectratio="f"/>
                        <v:textbox inset="0mm,0mm,0mm,0mm">
                          <w:txbxContent>
                            <w:p w14:paraId="1E43B44B">
                              <w:pPr>
                                <w:jc w:val="center"/>
                                <w:rPr>
                                  <w:rFonts w:ascii="宋体" w:hAnsi="宋体" w:cs="宋体"/>
                                </w:rPr>
                              </w:pPr>
                              <w:r>
                                <w:rPr>
                                  <w:rFonts w:hint="eastAsia" w:ascii="宋体" w:hAnsi="宋体" w:cs="宋体"/>
                                </w:rPr>
                                <w:t>成品</w:t>
                              </w:r>
                            </w:p>
                          </w:txbxContent>
                        </v:textbox>
                      </v:shape>
                      <v:shape id="文本框 156" o:spid="_x0000_s1026" o:spt="202" type="#_x0000_t202" style="position:absolute;left:857250;top:1167765;height:276860;width:287655;v-text-anchor:middle;" fillcolor="#FFFFFF" filled="t" stroked="t" coordsize="21600,21600" o:gfxdata="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k5EEb1QAAAAUBAAAPAAAAAAAAAAEAIAAAACIAAABkcnMvZG93bnJldi54&#10;bWxQSwECFAAUAAAACACHTuJAhEdr5DYCAACEBAAADgAAAAAAAAABACAAAAAkAQAAZHJzL2Uyb0Rv&#10;Yy54bWxQSwUGAAAAAAYABgBZAQAAzAUAAAAA&#10;">
                        <v:fill on="t" focussize="0,0"/>
                        <v:stroke weight="0.5pt" color="#000000" joinstyle="round" dashstyle="longDash"/>
                        <v:imagedata o:title=""/>
                        <o:lock v:ext="edit" aspectratio="f"/>
                        <v:textbox inset="0mm,0mm,0mm,0mm">
                          <w:txbxContent>
                            <w:p w14:paraId="0F0DA646">
                              <w:pPr>
                                <w:jc w:val="center"/>
                                <w:rPr>
                                  <w:rFonts w:ascii="宋体" w:hAnsi="宋体" w:cs="宋体"/>
                                  <w:szCs w:val="21"/>
                                </w:rPr>
                              </w:pPr>
                              <w:r>
                                <w:rPr>
                                  <w:rFonts w:hint="eastAsia" w:cs="宋体"/>
                                  <w:szCs w:val="21"/>
                                </w:rPr>
                                <w:t>废气</w:t>
                              </w:r>
                            </w:p>
                          </w:txbxContent>
                        </v:textbox>
                      </v:shape>
                      <v:shape id="文本框 158" o:spid="_x0000_s1026" o:spt="202" type="#_x0000_t202" style="position:absolute;left:866775;top:1664970;height:276860;width:316865;v-text-anchor:middle;" fillcolor="#FFFFFF" filled="t" stroked="t" coordsize="21600,21600" o:gfxdata="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TkQRvVAAAABQEAAA8AAAAAAAAAAQAgAAAAIgAAAGRycy9kb3ducmV2Lnht&#10;bFBLAQIUABQAAAAIAIdO4kAS7zoRNQIAAIQEAAAOAAAAAAAAAAEAIAAAACQBAABkcnMvZTJvRG9j&#10;LnhtbFBLBQYAAAAABgAGAFkBAADLBQAAAAA=&#10;">
                        <v:fill on="t" focussize="0,0"/>
                        <v:stroke weight="0.5pt" color="#000000" joinstyle="round" dashstyle="longDash"/>
                        <v:imagedata o:title=""/>
                        <o:lock v:ext="edit" aspectratio="f"/>
                        <v:textbox inset="0mm,0mm,0mm,0mm">
                          <w:txbxContent>
                            <w:p w14:paraId="247CCAE2">
                              <w:pPr>
                                <w:jc w:val="center"/>
                                <w:rPr>
                                  <w:rFonts w:ascii="宋体" w:hAnsi="宋体" w:cs="宋体"/>
                                  <w:szCs w:val="21"/>
                                </w:rPr>
                              </w:pPr>
                              <w:r>
                                <w:rPr>
                                  <w:rFonts w:hint="eastAsia" w:cs="宋体"/>
                                  <w:szCs w:val="21"/>
                                </w:rPr>
                                <w:t>废气</w:t>
                              </w:r>
                            </w:p>
                          </w:txbxContent>
                        </v:textbox>
                      </v:shape>
                      <v:shape id="直接箭头连接符 162" o:spid="_x0000_s1026" o:spt="32" type="#_x0000_t32" style="position:absolute;left:1144905;top:1306195;flip:x y;height:9525;width:241300;" filled="f" stroked="t" coordsize="21600,21600" o:gfxdata="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0LNvR&#10;1AAAAAUBAAAPAAAAAAAAAAEAIAAAACIAAABkcnMvZG93bnJldi54bWxQSwECFAAUAAAACACHTuJA&#10;6+37KiUCAAAhBAAADgAAAAAAAAABACAAAAAjAQAAZHJzL2Uyb0RvYy54bWxQSwUGAAAAAAYABgBZ&#10;AQAAugUAAAAA&#10;">
                        <v:fill on="f" focussize="0,0"/>
                        <v:stroke color="#000000" joinstyle="round" dashstyle="longDash" endarrow="block"/>
                        <v:imagedata o:title=""/>
                        <o:lock v:ext="edit" aspectratio="f"/>
                      </v:shape>
                      <v:shape id="直接箭头连接符 165" o:spid="_x0000_s1026" o:spt="32" type="#_x0000_t32" style="position:absolute;left:1183640;top:1803400;flip:x;height:0;width:202565;" filled="f" stroked="t" coordsize="21600,21600" o:gfxdata="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mFF6tcA&#10;AAAFAQAADwAAAAAAAAABACAAAAAiAAAAZHJzL2Rvd25yZXYueG1sUEsBAhQAFAAAAAgAh07iQBRL&#10;6pMgAgAAFAQAAA4AAAAAAAAAAQAgAAAAJgEAAGRycy9lMm9Eb2MueG1sUEsFBgAAAAAGAAYAWQEA&#10;ALgFAAAAAA==&#10;">
                        <v:fill on="f" focussize="0,0"/>
                        <v:stroke color="#000000" joinstyle="round" dashstyle="longDash" endarrow="block"/>
                        <v:imagedata o:title=""/>
                        <o:lock v:ext="edit" aspectratio="f"/>
                      </v:shape>
                      <v:shape id="直接箭头连接符 166" o:spid="_x0000_s1026" o:spt="32" type="#_x0000_t32" style="position:absolute;left:1644650;top:1941830;height:231140;width:0;" filled="f" stroked="t" coordsize="21600,21600" o:gfxdata="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m7kKTWAAAABQEAAA8A&#10;AAAAAAAAAQAgAAAAIgAAAGRycy9kb3ducmV2LnhtbFBLAQIUABQAAAAIAIdO4kD7m381GQIAAAkE&#10;AAAOAAAAAAAAAAEAIAAAACUBAABkcnMvZTJvRG9jLnhtbFBLBQYAAAAABgAGAFkBAACwBQAAAAA=&#10;">
                        <v:fill on="f" focussize="0,0"/>
                        <v:stroke color="#000000" joinstyle="round" endarrow="block"/>
                        <v:imagedata o:title=""/>
                        <o:lock v:ext="edit" aspectratio="f"/>
                      </v:shape>
                      <v:shape id="直接箭头连接符 182" o:spid="_x0000_s1026" o:spt="32" type="#_x0000_t32" style="position:absolute;left:2246630;top:722630;height:210820;width:0;" filled="f" stroked="t" coordsize="21600,21600" o:gfxdata="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Ju5Ck1gAAAAUBAAAPAAAA&#10;AAAAAAEAIAAAACIAAABkcnMvZG93bnJldi54bWxQSwECFAAUAAAACACHTuJAdJLUaBcCAAAIBAAA&#10;DgAAAAAAAAABACAAAAAlAQAAZHJzL2Uyb0RvYy54bWxQSwUGAAAAAAYABgBZAQAArgUAAAAA&#10;">
                        <v:fill on="f" focussize="0,0"/>
                        <v:stroke color="#000000" joinstyle="round" endarrow="block"/>
                        <v:imagedata o:title=""/>
                        <o:lock v:ext="edit" aspectratio="f"/>
                      </v:shape>
                      <v:line id="直接连接符 183" o:spid="_x0000_s1026" o:spt="20" style="position:absolute;left:1662430;top:953770;height:0;width:1123950;" filled="f" stroked="t" coordsize="21600,21600" o:gfxdata="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CjSb7VAAAA&#10;BQEAAA8AAAAAAAAAAQAgAAAAIgAAAGRycy9kb3ducmV2LnhtbFBLAQIUABQAAAAIAIdO4kClsqN7&#10;5wEAAKkDAAAOAAAAAAAAAAEAIAAAACQBAABkcnMvZTJvRG9jLnhtbFBLBQYAAAAABgAGAFkBAAB9&#10;BQAAAAA=&#10;">
                        <v:fill on="f" focussize="0,0"/>
                        <v:stroke color="#000000 [3213]" joinstyle="round"/>
                        <v:imagedata o:title=""/>
                        <o:lock v:ext="edit" aspectratio="f"/>
                      </v:line>
                      <v:shape id="直接箭头连接符 184" o:spid="_x0000_s1026" o:spt="32" type="#_x0000_t32" style="position:absolute;left:1656080;top:963295;flip:x;height:217805;width:6350;" filled="f" stroked="t" coordsize="21600,21600" o:gfxdata="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5J7ja&#10;1gAAAAUBAAAPAAAAAAAAAAEAIAAAACIAAABkcnMvZG93bnJldi54bWxQSwECFAAUAAAACACHTuJA&#10;VbnEAyMCAAAVBAAADgAAAAAAAAABACAAAAAlAQAAZHJzL2Uyb0RvYy54bWxQSwUGAAAAAAYABgBZ&#10;AQAAugUAAAAA&#10;">
                        <v:fill on="f" focussize="0,0"/>
                        <v:stroke color="#000000" joinstyle="round" endarrow="block"/>
                        <v:imagedata o:title=""/>
                        <o:lock v:ext="edit" aspectratio="f"/>
                      </v:shape>
                      <v:shape id="直接箭头连接符 185" o:spid="_x0000_s1026" o:spt="32" type="#_x0000_t32" style="position:absolute;left:2770505;top:960755;flip:x;height:217805;width:6350;" filled="f" stroked="t" coordsize="21600,21600" o:gfxdata="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knuNrW&#10;AAAABQEAAA8AAAAAAAAAAQAgAAAAIgAAAGRycy9kb3ducmV2LnhtbFBLAQIUABQAAAAIAIdO4kAY&#10;HbJqIgIAABUEAAAOAAAAAAAAAAEAIAAAACUBAABkcnMvZTJvRG9jLnhtbFBLBQYAAAAABgAGAFkB&#10;AAC5BQAAAAA=&#10;">
                        <v:fill on="f" focussize="0,0"/>
                        <v:stroke color="#000000" joinstyle="round" endarrow="block"/>
                        <v:imagedata o:title=""/>
                        <o:lock v:ext="edit" aspectratio="f"/>
                      </v:shape>
                      <w10:wrap type="none"/>
                      <w10:anchorlock/>
                    </v:group>
                  </w:pict>
                </mc:Fallback>
              </mc:AlternateContent>
            </w:r>
          </w:p>
          <w:p w14:paraId="2BE78800">
            <w:pPr>
              <w:pStyle w:val="23"/>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图2-4</w:t>
            </w:r>
            <w:r>
              <w:rPr>
                <w:rFonts w:hint="default" w:ascii="Times New Roman" w:hAnsi="Times New Roman" w:cs="Times New Roman"/>
                <w:b/>
                <w:bCs/>
                <w:snapToGrid w:val="0"/>
                <w:color w:val="auto"/>
                <w:highlight w:val="none"/>
              </w:rPr>
              <w:t>铸铁件、铸钢件表面处理</w:t>
            </w:r>
            <w:r>
              <w:rPr>
                <w:rFonts w:hint="default" w:ascii="Times New Roman" w:hAnsi="Times New Roman" w:cs="Times New Roman"/>
                <w:b/>
                <w:bCs/>
                <w:color w:val="auto"/>
                <w:highlight w:val="none"/>
              </w:rPr>
              <w:t>工艺流程图及产污节点</w:t>
            </w:r>
          </w:p>
          <w:p w14:paraId="6C5920DE">
            <w:pPr>
              <w:pStyle w:val="7"/>
              <w:spacing w:line="360" w:lineRule="auto"/>
              <w:ind w:firstLine="482"/>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工艺简述：</w:t>
            </w:r>
          </w:p>
          <w:p w14:paraId="324EDFAF">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本项目在现有铸件生产基础上，根据客户个性化需求，对已制成的铁铸件和碳钢铸件进行表面涂装处理，包括粉末喷涂和液体油漆喷涂两种工艺。</w:t>
            </w:r>
          </w:p>
          <w:p w14:paraId="16E7F9F1">
            <w:pPr>
              <w:widowControl/>
              <w:spacing w:line="360" w:lineRule="auto"/>
              <w:ind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一、粉末喷涂工艺</w:t>
            </w:r>
          </w:p>
          <w:p w14:paraId="5C6C6352">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粉末喷涂作业在密闭式喷粉房内进行。喷粉房内设有3台独立喷粉柜，每台喷粉柜配备静电喷枪及配套供粉系统。操作时，将待处理铸件通过专用挂具悬挂在输送系统上，并送至喷粉工位。操作人员手持静电喷枪，在喷粉柜前对铸件表面进行均匀喷涂。</w:t>
            </w:r>
          </w:p>
          <w:p w14:paraId="452B39A6">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喷涂过程中，粉末涂料在喷枪高压静电场(通常为60~100kV)作用下带上负电荷，而接地的金属铸件则形成正电势，二者之间产生静电引力，使带电粉末颗粒高效、均匀地吸附于铸件表面，完成初步涂覆。未附着的过喷粉末随气流进入喷粉柜底部的滤芯回收系统，经高效过滤后被收集并自动输送回储粉柜，实现粉末的循环利用。</w:t>
            </w:r>
          </w:p>
          <w:p w14:paraId="264F6E9F">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完成喷涂的铸件随即进入密闭式电热固化烤箱，在180~200℃的恒温条件下烘烤约15~30分钟。在此过程中，粉末涂料经历熔融、流平、交联固化三个阶段，最终形成一层连续、致密、附着力强且耐腐蚀的高分子涂层。</w:t>
            </w:r>
          </w:p>
          <w:p w14:paraId="50539105">
            <w:pPr>
              <w:widowControl/>
              <w:spacing w:line="360" w:lineRule="auto"/>
              <w:ind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二、液体油漆喷涂工艺</w:t>
            </w:r>
          </w:p>
          <w:p w14:paraId="30EF3CB1">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液体油漆喷涂在独立密闭的喷漆房内进行，房内配置1台水帘式喷漆柜。根据客户对颜色、光泽及性能的要求，操作人员按比例将油漆与稀释剂现场调配后，使用空气喷枪对铸件进行喷涂。</w:t>
            </w:r>
          </w:p>
          <w:p w14:paraId="64F81DE7">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喷涂过程中，漆雾在排风系统引导下流向水帘板，与流动水膜充分接触，大部分漆雾被水捕集并沉降至循环水槽中，有效减少漆雾外逸，保障作业环境清洁。喷涂完成后的铸件由输送系统转移至专用风干房，在常温条件下通过自然通风干燥，使溶剂逐步挥发，漆膜固化成形。</w:t>
            </w:r>
          </w:p>
          <w:p w14:paraId="1DA00B53">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喷粉过程产生粉尘，烘烤过程产生挥发性有机废气，喷漆过程产生漆雾（以颗粒物表征）和挥发性有机废气，风干、洗枪过程产生挥发性有机废气。</w:t>
            </w:r>
          </w:p>
          <w:p w14:paraId="1FDF31EA">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二、产污环节分析</w:t>
            </w:r>
          </w:p>
          <w:p w14:paraId="508AB1C7">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本项目营运期污染工序与污染因子见下表。</w:t>
            </w:r>
          </w:p>
          <w:p w14:paraId="73D2FBFA">
            <w:pPr>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表2-10 项目产污环节汇总表</w:t>
            </w:r>
          </w:p>
          <w:tbl>
            <w:tblPr>
              <w:tblStyle w:val="26"/>
              <w:tblW w:w="8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900"/>
              <w:gridCol w:w="2365"/>
              <w:gridCol w:w="3335"/>
            </w:tblGrid>
            <w:tr w14:paraId="3EFC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167" w:type="dxa"/>
                  <w:vAlign w:val="center"/>
                </w:tcPr>
                <w:p w14:paraId="00199A1D">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类别</w:t>
                  </w:r>
                </w:p>
              </w:tc>
              <w:tc>
                <w:tcPr>
                  <w:tcW w:w="1900" w:type="dxa"/>
                  <w:vAlign w:val="center"/>
                </w:tcPr>
                <w:p w14:paraId="7139FA69">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产生环节</w:t>
                  </w:r>
                </w:p>
              </w:tc>
              <w:tc>
                <w:tcPr>
                  <w:tcW w:w="2365" w:type="dxa"/>
                  <w:vAlign w:val="center"/>
                </w:tcPr>
                <w:p w14:paraId="584890F8">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污染物种类</w:t>
                  </w:r>
                </w:p>
              </w:tc>
              <w:tc>
                <w:tcPr>
                  <w:tcW w:w="3335" w:type="dxa"/>
                  <w:vAlign w:val="center"/>
                </w:tcPr>
                <w:p w14:paraId="72EE6743">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污染因子</w:t>
                  </w:r>
                </w:p>
              </w:tc>
            </w:tr>
            <w:tr w14:paraId="7FEF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67" w:type="dxa"/>
                  <w:vMerge w:val="restart"/>
                  <w:vAlign w:val="center"/>
                </w:tcPr>
                <w:p w14:paraId="74339E50">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废气</w:t>
                  </w:r>
                </w:p>
              </w:tc>
              <w:tc>
                <w:tcPr>
                  <w:tcW w:w="1900" w:type="dxa"/>
                  <w:vAlign w:val="center"/>
                </w:tcPr>
                <w:p w14:paraId="7B4D6B94">
                  <w:pPr>
                    <w:pStyle w:val="23"/>
                    <w:widowControl w:val="0"/>
                    <w:spacing w:before="0" w:beforeAutospacing="0" w:after="0" w:afterAutospacing="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喷粉</w:t>
                  </w:r>
                </w:p>
              </w:tc>
              <w:tc>
                <w:tcPr>
                  <w:tcW w:w="2365" w:type="dxa"/>
                  <w:vAlign w:val="center"/>
                </w:tcPr>
                <w:p w14:paraId="64250B2B">
                  <w:pPr>
                    <w:pStyle w:val="23"/>
                    <w:widowControl w:val="0"/>
                    <w:spacing w:before="0" w:beforeAutospacing="0" w:after="0" w:afterAutospacing="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粉尘</w:t>
                  </w:r>
                </w:p>
              </w:tc>
              <w:tc>
                <w:tcPr>
                  <w:tcW w:w="3335" w:type="dxa"/>
                  <w:vAlign w:val="center"/>
                </w:tcPr>
                <w:p w14:paraId="7C2A5AF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颗粒物</w:t>
                  </w:r>
                </w:p>
              </w:tc>
            </w:tr>
            <w:tr w14:paraId="3625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67" w:type="dxa"/>
                  <w:vMerge w:val="continue"/>
                  <w:vAlign w:val="center"/>
                </w:tcPr>
                <w:p w14:paraId="2C8F219F">
                  <w:pPr>
                    <w:jc w:val="center"/>
                    <w:rPr>
                      <w:rFonts w:hint="default" w:ascii="Times New Roman" w:hAnsi="Times New Roman" w:cs="Times New Roman"/>
                      <w:bCs/>
                      <w:color w:val="auto"/>
                      <w:szCs w:val="21"/>
                      <w:highlight w:val="none"/>
                    </w:rPr>
                  </w:pPr>
                </w:p>
              </w:tc>
              <w:tc>
                <w:tcPr>
                  <w:tcW w:w="1900" w:type="dxa"/>
                  <w:vAlign w:val="center"/>
                </w:tcPr>
                <w:p w14:paraId="0A098C55">
                  <w:pPr>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烘烤</w:t>
                  </w:r>
                </w:p>
              </w:tc>
              <w:tc>
                <w:tcPr>
                  <w:tcW w:w="2365" w:type="dxa"/>
                  <w:vAlign w:val="center"/>
                </w:tcPr>
                <w:p w14:paraId="2B595BDE">
                  <w:pPr>
                    <w:pStyle w:val="23"/>
                    <w:widowControl w:val="0"/>
                    <w:spacing w:before="0" w:beforeAutospacing="0" w:after="0" w:afterAutospacing="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烘烤废气</w:t>
                  </w:r>
                </w:p>
              </w:tc>
              <w:tc>
                <w:tcPr>
                  <w:tcW w:w="3335" w:type="dxa"/>
                  <w:vAlign w:val="center"/>
                </w:tcPr>
                <w:p w14:paraId="1E2615F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w:t>
                  </w:r>
                </w:p>
              </w:tc>
            </w:tr>
            <w:tr w14:paraId="6900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67" w:type="dxa"/>
                  <w:vMerge w:val="continue"/>
                  <w:vAlign w:val="center"/>
                </w:tcPr>
                <w:p w14:paraId="5048AB59">
                  <w:pPr>
                    <w:jc w:val="center"/>
                    <w:rPr>
                      <w:rFonts w:hint="default" w:ascii="Times New Roman" w:hAnsi="Times New Roman" w:cs="Times New Roman"/>
                      <w:bCs/>
                      <w:color w:val="auto"/>
                      <w:szCs w:val="21"/>
                      <w:highlight w:val="none"/>
                    </w:rPr>
                  </w:pPr>
                </w:p>
              </w:tc>
              <w:tc>
                <w:tcPr>
                  <w:tcW w:w="1900" w:type="dxa"/>
                  <w:vAlign w:val="center"/>
                </w:tcPr>
                <w:p w14:paraId="0EE26760">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洗枪</w:t>
                  </w:r>
                </w:p>
              </w:tc>
              <w:tc>
                <w:tcPr>
                  <w:tcW w:w="2365" w:type="dxa"/>
                  <w:vAlign w:val="center"/>
                </w:tcPr>
                <w:p w14:paraId="1EA492E3">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洗枪废气</w:t>
                  </w:r>
                </w:p>
              </w:tc>
              <w:tc>
                <w:tcPr>
                  <w:tcW w:w="3335" w:type="dxa"/>
                  <w:vAlign w:val="center"/>
                </w:tcPr>
                <w:p w14:paraId="2AA3CD1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w:t>
                  </w:r>
                </w:p>
              </w:tc>
            </w:tr>
            <w:tr w14:paraId="54AD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67" w:type="dxa"/>
                  <w:vMerge w:val="continue"/>
                  <w:vAlign w:val="center"/>
                </w:tcPr>
                <w:p w14:paraId="4D6161CE">
                  <w:pPr>
                    <w:jc w:val="center"/>
                    <w:rPr>
                      <w:rFonts w:hint="default" w:ascii="Times New Roman" w:hAnsi="Times New Roman" w:cs="Times New Roman"/>
                      <w:bCs/>
                      <w:color w:val="auto"/>
                      <w:szCs w:val="21"/>
                      <w:highlight w:val="none"/>
                    </w:rPr>
                  </w:pPr>
                </w:p>
              </w:tc>
              <w:tc>
                <w:tcPr>
                  <w:tcW w:w="1900" w:type="dxa"/>
                  <w:vAlign w:val="center"/>
                </w:tcPr>
                <w:p w14:paraId="2BF1FB85">
                  <w:pPr>
                    <w:pStyle w:val="23"/>
                    <w:widowControl w:val="0"/>
                    <w:spacing w:before="0" w:beforeAutospacing="0" w:after="0" w:afterAutospacing="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喷漆</w:t>
                  </w:r>
                </w:p>
              </w:tc>
              <w:tc>
                <w:tcPr>
                  <w:tcW w:w="2365" w:type="dxa"/>
                  <w:vAlign w:val="center"/>
                </w:tcPr>
                <w:p w14:paraId="7D4AF56E">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喷漆废气</w:t>
                  </w:r>
                </w:p>
              </w:tc>
              <w:tc>
                <w:tcPr>
                  <w:tcW w:w="3335" w:type="dxa"/>
                  <w:vAlign w:val="center"/>
                </w:tcPr>
                <w:p w14:paraId="3FB66E2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颗粒物、TVOC</w:t>
                  </w:r>
                </w:p>
              </w:tc>
            </w:tr>
            <w:tr w14:paraId="4959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167" w:type="dxa"/>
                  <w:vMerge w:val="continue"/>
                  <w:vAlign w:val="center"/>
                </w:tcPr>
                <w:p w14:paraId="23DAFA97">
                  <w:pPr>
                    <w:jc w:val="center"/>
                    <w:rPr>
                      <w:rFonts w:hint="default" w:ascii="Times New Roman" w:hAnsi="Times New Roman" w:cs="Times New Roman"/>
                      <w:bCs/>
                      <w:color w:val="auto"/>
                      <w:szCs w:val="21"/>
                      <w:highlight w:val="none"/>
                    </w:rPr>
                  </w:pPr>
                </w:p>
              </w:tc>
              <w:tc>
                <w:tcPr>
                  <w:tcW w:w="1900" w:type="dxa"/>
                  <w:vAlign w:val="center"/>
                </w:tcPr>
                <w:p w14:paraId="22CC3EC3">
                  <w:pPr>
                    <w:pStyle w:val="23"/>
                    <w:widowControl w:val="0"/>
                    <w:spacing w:before="0" w:beforeAutospacing="0" w:after="0" w:afterAutospacing="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风干</w:t>
                  </w:r>
                </w:p>
              </w:tc>
              <w:tc>
                <w:tcPr>
                  <w:tcW w:w="2365" w:type="dxa"/>
                  <w:vAlign w:val="center"/>
                </w:tcPr>
                <w:p w14:paraId="10907265">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风干废气</w:t>
                  </w:r>
                </w:p>
              </w:tc>
              <w:tc>
                <w:tcPr>
                  <w:tcW w:w="3335" w:type="dxa"/>
                  <w:vAlign w:val="center"/>
                </w:tcPr>
                <w:p w14:paraId="10813EF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w:t>
                  </w:r>
                </w:p>
              </w:tc>
            </w:tr>
            <w:tr w14:paraId="35A0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vAlign w:val="center"/>
                </w:tcPr>
                <w:p w14:paraId="0A5E0F63">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噪声</w:t>
                  </w:r>
                </w:p>
              </w:tc>
              <w:tc>
                <w:tcPr>
                  <w:tcW w:w="1900" w:type="dxa"/>
                  <w:vAlign w:val="center"/>
                </w:tcPr>
                <w:p w14:paraId="55811132">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生产</w:t>
                  </w:r>
                </w:p>
              </w:tc>
              <w:tc>
                <w:tcPr>
                  <w:tcW w:w="2365" w:type="dxa"/>
                  <w:vAlign w:val="center"/>
                </w:tcPr>
                <w:p w14:paraId="537D88E6">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噪声</w:t>
                  </w:r>
                </w:p>
              </w:tc>
              <w:tc>
                <w:tcPr>
                  <w:tcW w:w="3335" w:type="dxa"/>
                  <w:vAlign w:val="center"/>
                </w:tcPr>
                <w:p w14:paraId="11F9C250">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噪声</w:t>
                  </w:r>
                </w:p>
              </w:tc>
            </w:tr>
            <w:tr w14:paraId="57F6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167" w:type="dxa"/>
                  <w:vMerge w:val="restart"/>
                  <w:vAlign w:val="center"/>
                </w:tcPr>
                <w:p w14:paraId="5EDCE729">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固体废物</w:t>
                  </w:r>
                </w:p>
              </w:tc>
              <w:tc>
                <w:tcPr>
                  <w:tcW w:w="1900" w:type="dxa"/>
                  <w:vAlign w:val="center"/>
                </w:tcPr>
                <w:p w14:paraId="5B9D0AB3">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生活</w:t>
                  </w:r>
                </w:p>
              </w:tc>
              <w:tc>
                <w:tcPr>
                  <w:tcW w:w="2365" w:type="dxa"/>
                  <w:vAlign w:val="center"/>
                </w:tcPr>
                <w:p w14:paraId="32B06A11">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生活垃圾</w:t>
                  </w:r>
                </w:p>
              </w:tc>
              <w:tc>
                <w:tcPr>
                  <w:tcW w:w="3335" w:type="dxa"/>
                  <w:vAlign w:val="center"/>
                </w:tcPr>
                <w:p w14:paraId="34E1DD60">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生活垃圾</w:t>
                  </w:r>
                </w:p>
              </w:tc>
            </w:tr>
            <w:tr w14:paraId="56FA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167" w:type="dxa"/>
                  <w:vMerge w:val="continue"/>
                  <w:vAlign w:val="center"/>
                </w:tcPr>
                <w:p w14:paraId="276BEF8B">
                  <w:pPr>
                    <w:jc w:val="center"/>
                    <w:rPr>
                      <w:rFonts w:hint="default" w:ascii="Times New Roman" w:hAnsi="Times New Roman" w:cs="Times New Roman"/>
                      <w:bCs/>
                      <w:color w:val="auto"/>
                      <w:szCs w:val="21"/>
                      <w:highlight w:val="none"/>
                    </w:rPr>
                  </w:pPr>
                </w:p>
              </w:tc>
              <w:tc>
                <w:tcPr>
                  <w:tcW w:w="1900" w:type="dxa"/>
                  <w:vAlign w:val="center"/>
                </w:tcPr>
                <w:p w14:paraId="72D166E2">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喷粉废气处理</w:t>
                  </w:r>
                </w:p>
              </w:tc>
              <w:tc>
                <w:tcPr>
                  <w:tcW w:w="2365" w:type="dxa"/>
                  <w:vAlign w:val="center"/>
                </w:tcPr>
                <w:p w14:paraId="6664DF90">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废粉末过滤筒</w:t>
                  </w:r>
                </w:p>
              </w:tc>
              <w:tc>
                <w:tcPr>
                  <w:tcW w:w="3335" w:type="dxa"/>
                  <w:vAlign w:val="center"/>
                </w:tcPr>
                <w:p w14:paraId="46E19411">
                  <w:pPr>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szCs w:val="21"/>
                      <w:highlight w:val="none"/>
                    </w:rPr>
                    <w:t>粉末喷涂废滤芯</w:t>
                  </w:r>
                </w:p>
              </w:tc>
            </w:tr>
            <w:tr w14:paraId="2CD2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167" w:type="dxa"/>
                  <w:vMerge w:val="continue"/>
                  <w:vAlign w:val="center"/>
                </w:tcPr>
                <w:p w14:paraId="58A5F08B">
                  <w:pPr>
                    <w:jc w:val="center"/>
                    <w:rPr>
                      <w:rFonts w:hint="default" w:ascii="Times New Roman" w:hAnsi="Times New Roman" w:cs="Times New Roman"/>
                      <w:bCs/>
                      <w:color w:val="auto"/>
                      <w:szCs w:val="21"/>
                      <w:highlight w:val="none"/>
                    </w:rPr>
                  </w:pPr>
                </w:p>
              </w:tc>
              <w:tc>
                <w:tcPr>
                  <w:tcW w:w="1900" w:type="dxa"/>
                  <w:vAlign w:val="center"/>
                </w:tcPr>
                <w:p w14:paraId="7109E7D9">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喷漆废气处理</w:t>
                  </w:r>
                </w:p>
              </w:tc>
              <w:tc>
                <w:tcPr>
                  <w:tcW w:w="2365" w:type="dxa"/>
                  <w:vAlign w:val="center"/>
                </w:tcPr>
                <w:p w14:paraId="24106A7E">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水帘柜废水</w:t>
                  </w:r>
                </w:p>
              </w:tc>
              <w:tc>
                <w:tcPr>
                  <w:tcW w:w="3335" w:type="dxa"/>
                  <w:vAlign w:val="center"/>
                </w:tcPr>
                <w:p w14:paraId="24D22497">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水帘柜废水</w:t>
                  </w:r>
                </w:p>
              </w:tc>
            </w:tr>
            <w:tr w14:paraId="1FE8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167" w:type="dxa"/>
                  <w:vMerge w:val="continue"/>
                  <w:vAlign w:val="center"/>
                </w:tcPr>
                <w:p w14:paraId="1FA8AEAA">
                  <w:pPr>
                    <w:jc w:val="center"/>
                    <w:rPr>
                      <w:rFonts w:hint="default" w:ascii="Times New Roman" w:hAnsi="Times New Roman" w:cs="Times New Roman"/>
                      <w:bCs/>
                      <w:color w:val="auto"/>
                      <w:szCs w:val="21"/>
                      <w:highlight w:val="none"/>
                    </w:rPr>
                  </w:pPr>
                </w:p>
              </w:tc>
              <w:tc>
                <w:tcPr>
                  <w:tcW w:w="1900" w:type="dxa"/>
                  <w:vAlign w:val="center"/>
                </w:tcPr>
                <w:p w14:paraId="254173F2">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喷漆废气处理</w:t>
                  </w:r>
                </w:p>
              </w:tc>
              <w:tc>
                <w:tcPr>
                  <w:tcW w:w="2365" w:type="dxa"/>
                  <w:vAlign w:val="center"/>
                </w:tcPr>
                <w:p w14:paraId="5B09C9A1">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废活性炭及其吸附物</w:t>
                  </w:r>
                </w:p>
              </w:tc>
              <w:tc>
                <w:tcPr>
                  <w:tcW w:w="3335" w:type="dxa"/>
                  <w:vAlign w:val="center"/>
                </w:tcPr>
                <w:p w14:paraId="2189009A">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废活性炭及其吸附物</w:t>
                  </w:r>
                </w:p>
              </w:tc>
            </w:tr>
            <w:tr w14:paraId="04AC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167" w:type="dxa"/>
                  <w:vMerge w:val="continue"/>
                  <w:vAlign w:val="center"/>
                </w:tcPr>
                <w:p w14:paraId="453F11F8">
                  <w:pPr>
                    <w:jc w:val="center"/>
                    <w:rPr>
                      <w:rFonts w:hint="default" w:ascii="Times New Roman" w:hAnsi="Times New Roman" w:cs="Times New Roman"/>
                      <w:bCs/>
                      <w:color w:val="auto"/>
                      <w:szCs w:val="21"/>
                      <w:highlight w:val="none"/>
                    </w:rPr>
                  </w:pPr>
                </w:p>
              </w:tc>
              <w:tc>
                <w:tcPr>
                  <w:tcW w:w="1900" w:type="dxa"/>
                  <w:vAlign w:val="center"/>
                </w:tcPr>
                <w:p w14:paraId="1FA12BB1">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生产</w:t>
                  </w:r>
                </w:p>
              </w:tc>
              <w:tc>
                <w:tcPr>
                  <w:tcW w:w="2365" w:type="dxa"/>
                  <w:vAlign w:val="center"/>
                </w:tcPr>
                <w:p w14:paraId="0515DB8E">
                  <w:pPr>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废包装桶</w:t>
                  </w:r>
                </w:p>
              </w:tc>
              <w:tc>
                <w:tcPr>
                  <w:tcW w:w="3335" w:type="dxa"/>
                  <w:vAlign w:val="center"/>
                </w:tcPr>
                <w:p w14:paraId="3294772E">
                  <w:pPr>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废包装桶</w:t>
                  </w:r>
                </w:p>
              </w:tc>
            </w:tr>
            <w:tr w14:paraId="1E64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167" w:type="dxa"/>
                  <w:vMerge w:val="continue"/>
                  <w:vAlign w:val="center"/>
                </w:tcPr>
                <w:p w14:paraId="7B0286FC">
                  <w:pPr>
                    <w:jc w:val="center"/>
                    <w:rPr>
                      <w:rFonts w:hint="default" w:ascii="Times New Roman" w:hAnsi="Times New Roman" w:cs="Times New Roman"/>
                      <w:bCs/>
                      <w:color w:val="auto"/>
                      <w:szCs w:val="21"/>
                      <w:highlight w:val="none"/>
                    </w:rPr>
                  </w:pPr>
                </w:p>
              </w:tc>
              <w:tc>
                <w:tcPr>
                  <w:tcW w:w="1900" w:type="dxa"/>
                  <w:vAlign w:val="center"/>
                </w:tcPr>
                <w:p w14:paraId="2B017AD1">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生产</w:t>
                  </w:r>
                </w:p>
              </w:tc>
              <w:tc>
                <w:tcPr>
                  <w:tcW w:w="2365" w:type="dxa"/>
                  <w:vAlign w:val="center"/>
                </w:tcPr>
                <w:p w14:paraId="72D174C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漆渣、</w:t>
                  </w:r>
                  <w:r>
                    <w:rPr>
                      <w:rFonts w:hint="default" w:ascii="Times New Roman" w:hAnsi="Times New Roman" w:cs="Times New Roman"/>
                      <w:color w:val="auto"/>
                      <w:kern w:val="0"/>
                      <w:szCs w:val="21"/>
                      <w:highlight w:val="none"/>
                    </w:rPr>
                    <w:t>废喷粉</w:t>
                  </w:r>
                </w:p>
              </w:tc>
              <w:tc>
                <w:tcPr>
                  <w:tcW w:w="3335" w:type="dxa"/>
                  <w:vAlign w:val="center"/>
                </w:tcPr>
                <w:p w14:paraId="6879A96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漆渣、</w:t>
                  </w:r>
                  <w:r>
                    <w:rPr>
                      <w:rFonts w:hint="default" w:ascii="Times New Roman" w:hAnsi="Times New Roman" w:cs="Times New Roman"/>
                      <w:color w:val="auto"/>
                      <w:kern w:val="0"/>
                      <w:szCs w:val="21"/>
                      <w:highlight w:val="none"/>
                    </w:rPr>
                    <w:t>废喷粉</w:t>
                  </w:r>
                </w:p>
              </w:tc>
            </w:tr>
            <w:tr w14:paraId="1262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167" w:type="dxa"/>
                  <w:vMerge w:val="continue"/>
                  <w:vAlign w:val="center"/>
                </w:tcPr>
                <w:p w14:paraId="0B51F7D7">
                  <w:pPr>
                    <w:jc w:val="center"/>
                    <w:rPr>
                      <w:rFonts w:hint="default" w:ascii="Times New Roman" w:hAnsi="Times New Roman" w:cs="Times New Roman"/>
                      <w:bCs/>
                      <w:color w:val="auto"/>
                      <w:szCs w:val="21"/>
                      <w:highlight w:val="none"/>
                    </w:rPr>
                  </w:pPr>
                </w:p>
              </w:tc>
              <w:tc>
                <w:tcPr>
                  <w:tcW w:w="1900" w:type="dxa"/>
                  <w:vAlign w:val="center"/>
                </w:tcPr>
                <w:p w14:paraId="629DB737">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生产</w:t>
                  </w:r>
                </w:p>
              </w:tc>
              <w:tc>
                <w:tcPr>
                  <w:tcW w:w="2365" w:type="dxa"/>
                  <w:vAlign w:val="center"/>
                </w:tcPr>
                <w:p w14:paraId="578A9717">
                  <w:pPr>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滤筒收集粉尘</w:t>
                  </w:r>
                </w:p>
              </w:tc>
              <w:tc>
                <w:tcPr>
                  <w:tcW w:w="3335" w:type="dxa"/>
                  <w:vAlign w:val="center"/>
                </w:tcPr>
                <w:p w14:paraId="7AD32C96">
                  <w:pPr>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滤筒收集粉尘</w:t>
                  </w:r>
                </w:p>
              </w:tc>
            </w:tr>
          </w:tbl>
          <w:p w14:paraId="65AA0568">
            <w:pPr>
              <w:pStyle w:val="23"/>
              <w:shd w:val="clear" w:color="auto" w:fill="FFFFFF"/>
              <w:wordWrap w:val="0"/>
              <w:spacing w:before="0" w:beforeAutospacing="0" w:after="210" w:afterAutospacing="0" w:line="360" w:lineRule="auto"/>
              <w:rPr>
                <w:rFonts w:hint="default" w:ascii="Times New Roman" w:hAnsi="Times New Roman" w:eastAsia="黑体" w:cs="Times New Roman"/>
                <w:snapToGrid w:val="0"/>
                <w:color w:val="auto"/>
                <w:sz w:val="36"/>
                <w:szCs w:val="36"/>
                <w:highlight w:val="none"/>
              </w:rPr>
            </w:pPr>
          </w:p>
        </w:tc>
      </w:tr>
      <w:tr w14:paraId="3C0F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6" w:hRule="atLeast"/>
        </w:trPr>
        <w:tc>
          <w:tcPr>
            <w:tcW w:w="790" w:type="dxa"/>
            <w:vAlign w:val="center"/>
          </w:tcPr>
          <w:p w14:paraId="4485D2DE">
            <w:pPr>
              <w:pStyle w:val="23"/>
              <w:adjustRightInd w:val="0"/>
              <w:snapToGrid w:val="0"/>
              <w:spacing w:before="0" w:beforeAutospacing="0" w:after="0" w:afterAutospacing="0"/>
              <w:jc w:val="center"/>
              <w:rPr>
                <w:rFonts w:hint="default" w:ascii="Times New Roman" w:hAnsi="Times New Roman" w:cs="Times New Roman"/>
                <w:color w:val="auto"/>
                <w:szCs w:val="24"/>
                <w:highlight w:val="none"/>
              </w:rPr>
            </w:pPr>
            <w:r>
              <w:rPr>
                <w:rFonts w:hint="default" w:ascii="Times New Roman" w:hAnsi="Times New Roman" w:cs="Times New Roman"/>
                <w:bCs/>
                <w:color w:val="auto"/>
                <w:kern w:val="2"/>
                <w:szCs w:val="24"/>
                <w:highlight w:val="none"/>
              </w:rPr>
              <w:t>与项目有关的原有环境污染问题</w:t>
            </w:r>
          </w:p>
        </w:tc>
        <w:tc>
          <w:tcPr>
            <w:tcW w:w="9064" w:type="dxa"/>
            <w:vAlign w:val="center"/>
          </w:tcPr>
          <w:p w14:paraId="5CF767F6">
            <w:pPr>
              <w:numPr>
                <w:ilvl w:val="0"/>
                <w:numId w:val="7"/>
              </w:numPr>
              <w:adjustRightInd w:val="0"/>
              <w:snapToGrid w:val="0"/>
              <w:spacing w:before="240" w:beforeLines="10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原项目环保手续履行情况</w:t>
            </w:r>
          </w:p>
          <w:p w14:paraId="1A5C35FD">
            <w:pPr>
              <w:pStyle w:val="4"/>
              <w:ind w:left="0" w:firstLine="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表2-11 环保手续办理情况一览表</w:t>
            </w:r>
          </w:p>
          <w:tbl>
            <w:tblPr>
              <w:tblStyle w:val="27"/>
              <w:tblW w:w="8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2658"/>
              <w:gridCol w:w="2925"/>
              <w:gridCol w:w="1603"/>
              <w:gridCol w:w="1105"/>
            </w:tblGrid>
            <w:tr w14:paraId="098C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5E8FFAC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2658" w:type="dxa"/>
                  <w:vAlign w:val="center"/>
                </w:tcPr>
                <w:p w14:paraId="5494BC9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环保文件</w:t>
                  </w:r>
                </w:p>
              </w:tc>
              <w:tc>
                <w:tcPr>
                  <w:tcW w:w="2925" w:type="dxa"/>
                  <w:vAlign w:val="center"/>
                </w:tcPr>
                <w:p w14:paraId="6915042A">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审批文号/编号/意见</w:t>
                  </w:r>
                </w:p>
              </w:tc>
              <w:tc>
                <w:tcPr>
                  <w:tcW w:w="1603" w:type="dxa"/>
                  <w:vAlign w:val="center"/>
                </w:tcPr>
                <w:p w14:paraId="664DA86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时间</w:t>
                  </w:r>
                </w:p>
              </w:tc>
              <w:tc>
                <w:tcPr>
                  <w:tcW w:w="1105" w:type="dxa"/>
                  <w:vAlign w:val="center"/>
                </w:tcPr>
                <w:p w14:paraId="4C418B5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r>
            <w:tr w14:paraId="6C09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71B7AA73">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658" w:type="dxa"/>
                  <w:vAlign w:val="center"/>
                </w:tcPr>
                <w:p w14:paraId="2E12FA6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《韶关博尔兹阀门工业有限公司年产5000件阀门生产项目</w:t>
                  </w:r>
                  <w:r>
                    <w:rPr>
                      <w:rFonts w:hint="default" w:ascii="Times New Roman" w:hAnsi="Times New Roman" w:cs="Times New Roman"/>
                      <w:bCs/>
                      <w:color w:val="auto"/>
                      <w:szCs w:val="21"/>
                      <w:highlight w:val="none"/>
                    </w:rPr>
                    <w:t>环境影响报告表</w:t>
                  </w:r>
                  <w:r>
                    <w:rPr>
                      <w:rFonts w:hint="default" w:ascii="Times New Roman" w:hAnsi="Times New Roman" w:cs="Times New Roman"/>
                      <w:color w:val="auto"/>
                      <w:szCs w:val="21"/>
                      <w:highlight w:val="none"/>
                    </w:rPr>
                    <w:t>》</w:t>
                  </w:r>
                </w:p>
              </w:tc>
              <w:tc>
                <w:tcPr>
                  <w:tcW w:w="2925" w:type="dxa"/>
                  <w:vAlign w:val="center"/>
                </w:tcPr>
                <w:p w14:paraId="291C5E24">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乐环函[2009]94号</w:t>
                  </w:r>
                </w:p>
              </w:tc>
              <w:tc>
                <w:tcPr>
                  <w:tcW w:w="1603" w:type="dxa"/>
                  <w:vAlign w:val="center"/>
                </w:tcPr>
                <w:p w14:paraId="40544B1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2009年11月26日</w:t>
                  </w:r>
                </w:p>
              </w:tc>
              <w:tc>
                <w:tcPr>
                  <w:tcW w:w="1105" w:type="dxa"/>
                  <w:vAlign w:val="center"/>
                </w:tcPr>
                <w:p w14:paraId="7CD0A9A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环评文件</w:t>
                  </w:r>
                </w:p>
              </w:tc>
            </w:tr>
            <w:tr w14:paraId="5466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4683B63C">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2658" w:type="dxa"/>
                  <w:vAlign w:val="center"/>
                </w:tcPr>
                <w:p w14:paraId="45F30153">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《韶关博尔兹阀门工业有限公司年产5000件阀门生产项目竣工环境保护验收</w:t>
                  </w:r>
                  <w:r>
                    <w:rPr>
                      <w:rFonts w:hint="default" w:ascii="Times New Roman" w:hAnsi="Times New Roman" w:cs="Times New Roman"/>
                      <w:bCs/>
                      <w:color w:val="auto"/>
                      <w:szCs w:val="21"/>
                      <w:highlight w:val="none"/>
                    </w:rPr>
                    <w:t>报告表</w:t>
                  </w:r>
                  <w:r>
                    <w:rPr>
                      <w:rFonts w:hint="default" w:ascii="Times New Roman" w:hAnsi="Times New Roman" w:cs="Times New Roman"/>
                      <w:color w:val="auto"/>
                      <w:szCs w:val="21"/>
                      <w:highlight w:val="none"/>
                    </w:rPr>
                    <w:t>》</w:t>
                  </w:r>
                </w:p>
              </w:tc>
              <w:tc>
                <w:tcPr>
                  <w:tcW w:w="2925" w:type="dxa"/>
                  <w:vAlign w:val="center"/>
                </w:tcPr>
                <w:p w14:paraId="1686ABB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乐环备[2017]001号</w:t>
                  </w:r>
                </w:p>
              </w:tc>
              <w:tc>
                <w:tcPr>
                  <w:tcW w:w="1603" w:type="dxa"/>
                  <w:vAlign w:val="center"/>
                </w:tcPr>
                <w:p w14:paraId="477647CC">
                  <w:pPr>
                    <w:adjustRightInd w:val="0"/>
                    <w:snapToGrid w:val="0"/>
                    <w:spacing w:before="120" w:beforeLines="5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2017年1月4日</w:t>
                  </w:r>
                </w:p>
              </w:tc>
              <w:tc>
                <w:tcPr>
                  <w:tcW w:w="1105" w:type="dxa"/>
                  <w:vAlign w:val="center"/>
                </w:tcPr>
                <w:p w14:paraId="1FAD3F6B">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验收文件</w:t>
                  </w:r>
                </w:p>
              </w:tc>
            </w:tr>
            <w:tr w14:paraId="2BF6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01C7D65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2658" w:type="dxa"/>
                  <w:vAlign w:val="center"/>
                </w:tcPr>
                <w:p w14:paraId="6A758D4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《韶关博尔兹阀门工业有限公司年产35000吨铸件改扩建项目</w:t>
                  </w:r>
                  <w:r>
                    <w:rPr>
                      <w:rFonts w:hint="default" w:ascii="Times New Roman" w:hAnsi="Times New Roman" w:cs="Times New Roman"/>
                      <w:bCs/>
                      <w:color w:val="auto"/>
                      <w:szCs w:val="21"/>
                      <w:highlight w:val="none"/>
                    </w:rPr>
                    <w:t>环境影响报告表</w:t>
                  </w:r>
                  <w:r>
                    <w:rPr>
                      <w:rFonts w:hint="default" w:ascii="Times New Roman" w:hAnsi="Times New Roman" w:cs="Times New Roman"/>
                      <w:color w:val="auto"/>
                      <w:szCs w:val="21"/>
                      <w:highlight w:val="none"/>
                    </w:rPr>
                    <w:t>》</w:t>
                  </w:r>
                </w:p>
              </w:tc>
              <w:tc>
                <w:tcPr>
                  <w:tcW w:w="2925" w:type="dxa"/>
                  <w:vAlign w:val="center"/>
                </w:tcPr>
                <w:p w14:paraId="3AB900C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乐环审[2018]65号</w:t>
                  </w:r>
                </w:p>
              </w:tc>
              <w:tc>
                <w:tcPr>
                  <w:tcW w:w="1603" w:type="dxa"/>
                  <w:vAlign w:val="center"/>
                </w:tcPr>
                <w:p w14:paraId="665FE766">
                  <w:pPr>
                    <w:adjustRightInd w:val="0"/>
                    <w:snapToGrid w:val="0"/>
                    <w:spacing w:before="120" w:beforeLines="5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2018年12月26日</w:t>
                  </w:r>
                </w:p>
              </w:tc>
              <w:tc>
                <w:tcPr>
                  <w:tcW w:w="1105" w:type="dxa"/>
                  <w:vAlign w:val="center"/>
                </w:tcPr>
                <w:p w14:paraId="083D1FBB">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环评文件</w:t>
                  </w:r>
                </w:p>
              </w:tc>
            </w:tr>
            <w:tr w14:paraId="3495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3D57F8A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2658" w:type="dxa"/>
                  <w:vAlign w:val="center"/>
                </w:tcPr>
                <w:p w14:paraId="72EAF954">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《国家排污许可证》</w:t>
                  </w:r>
                </w:p>
              </w:tc>
              <w:tc>
                <w:tcPr>
                  <w:tcW w:w="2925" w:type="dxa"/>
                  <w:vAlign w:val="center"/>
                </w:tcPr>
                <w:p w14:paraId="3B6C037A">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91440281555628918B001U</w:t>
                  </w:r>
                </w:p>
              </w:tc>
              <w:tc>
                <w:tcPr>
                  <w:tcW w:w="1603" w:type="dxa"/>
                  <w:vAlign w:val="center"/>
                </w:tcPr>
                <w:p w14:paraId="39CE31D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2020年8月5日第一次申领，2025年7月28日重新申领</w:t>
                  </w:r>
                </w:p>
              </w:tc>
              <w:tc>
                <w:tcPr>
                  <w:tcW w:w="1105" w:type="dxa"/>
                  <w:vAlign w:val="center"/>
                </w:tcPr>
                <w:p w14:paraId="3659F83E">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排污许可</w:t>
                  </w:r>
                </w:p>
              </w:tc>
            </w:tr>
            <w:tr w14:paraId="4BA8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5970AD8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2658" w:type="dxa"/>
                  <w:vAlign w:val="center"/>
                </w:tcPr>
                <w:p w14:paraId="52BE060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《韶关博尔兹阀门工业有限公司年产35000吨铸件改扩建项目（二期、三期）</w:t>
                  </w:r>
                  <w:r>
                    <w:rPr>
                      <w:rFonts w:hint="default" w:ascii="Times New Roman" w:hAnsi="Times New Roman" w:cs="Times New Roman"/>
                      <w:bCs/>
                      <w:color w:val="auto"/>
                      <w:szCs w:val="21"/>
                      <w:highlight w:val="none"/>
                    </w:rPr>
                    <w:t>竣工</w:t>
                  </w:r>
                  <w:r>
                    <w:rPr>
                      <w:rFonts w:hint="default" w:ascii="Times New Roman" w:hAnsi="Times New Roman" w:cs="Times New Roman"/>
                      <w:color w:val="auto"/>
                      <w:szCs w:val="21"/>
                      <w:highlight w:val="none"/>
                    </w:rPr>
                    <w:t>环境保护验收监测报告表》</w:t>
                  </w:r>
                </w:p>
              </w:tc>
              <w:tc>
                <w:tcPr>
                  <w:tcW w:w="2925" w:type="dxa"/>
                  <w:vAlign w:val="center"/>
                </w:tcPr>
                <w:p w14:paraId="5EF95F2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韶关博尔兹阀门工业有限公司年产35000吨铸件改扩建项目（二期、三期）</w:t>
                  </w:r>
                  <w:r>
                    <w:rPr>
                      <w:rFonts w:hint="default" w:ascii="Times New Roman" w:hAnsi="Times New Roman" w:cs="Times New Roman"/>
                      <w:bCs/>
                      <w:color w:val="auto"/>
                      <w:szCs w:val="21"/>
                      <w:highlight w:val="none"/>
                    </w:rPr>
                    <w:t>竣工</w:t>
                  </w:r>
                  <w:r>
                    <w:rPr>
                      <w:rFonts w:hint="default" w:ascii="Times New Roman" w:hAnsi="Times New Roman" w:cs="Times New Roman"/>
                      <w:color w:val="auto"/>
                      <w:szCs w:val="21"/>
                      <w:highlight w:val="none"/>
                    </w:rPr>
                    <w:t>环境保护验收监测验收意见</w:t>
                  </w:r>
                </w:p>
              </w:tc>
              <w:tc>
                <w:tcPr>
                  <w:tcW w:w="1603" w:type="dxa"/>
                  <w:vAlign w:val="center"/>
                </w:tcPr>
                <w:p w14:paraId="1FC35E1D">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2020年8月28日</w:t>
                  </w:r>
                </w:p>
              </w:tc>
              <w:tc>
                <w:tcPr>
                  <w:tcW w:w="1105" w:type="dxa"/>
                  <w:vAlign w:val="center"/>
                </w:tcPr>
                <w:p w14:paraId="24FE524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验收文件</w:t>
                  </w:r>
                </w:p>
              </w:tc>
            </w:tr>
          </w:tbl>
          <w:p w14:paraId="141F4F1C">
            <w:pPr>
              <w:adjustRightInd w:val="0"/>
              <w:snapToGrid w:val="0"/>
              <w:spacing w:before="120" w:beforeLines="5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w:t>
            </w:r>
            <w:r>
              <w:rPr>
                <w:rFonts w:hint="default" w:ascii="Times New Roman" w:hAnsi="Times New Roman" w:cs="Times New Roman"/>
                <w:b/>
                <w:bCs/>
                <w:color w:val="auto"/>
                <w:sz w:val="24"/>
                <w:highlight w:val="none"/>
                <w:lang w:val="en-US" w:eastAsia="zh-CN"/>
              </w:rPr>
              <w:t>.</w:t>
            </w:r>
            <w:r>
              <w:rPr>
                <w:rFonts w:hint="default" w:ascii="Times New Roman" w:hAnsi="Times New Roman" w:cs="Times New Roman"/>
                <w:b/>
                <w:bCs/>
                <w:color w:val="auto"/>
                <w:sz w:val="24"/>
                <w:highlight w:val="none"/>
              </w:rPr>
              <w:t>与本项目有关的原有污染情况</w:t>
            </w:r>
          </w:p>
          <w:p w14:paraId="102A950E">
            <w:pPr>
              <w:pStyle w:val="126"/>
              <w:numPr>
                <w:ilvl w:val="0"/>
                <w:numId w:val="0"/>
              </w:numPr>
              <w:autoSpaceDE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cs="Times New Roman"/>
                <w:bCs/>
                <w:color w:val="auto"/>
                <w:sz w:val="24"/>
                <w:highlight w:val="none"/>
              </w:rPr>
              <w:t>本项目为技改项目，原有污染主要为韶关博尔兹阀门工业有限公司原项目生产过程中产生的废气、废水、噪声及固体废物对周围环境的影响。</w:t>
            </w:r>
            <w:r>
              <w:rPr>
                <w:rFonts w:hint="default" w:ascii="Times New Roman" w:hAnsi="Times New Roman" w:cs="Times New Roman"/>
                <w:bCs/>
                <w:color w:val="auto"/>
                <w:sz w:val="24"/>
                <w:highlight w:val="none"/>
                <w:lang w:val="en-US" w:eastAsia="zh-CN"/>
              </w:rPr>
              <w:t>原项目一期、二期、三期已完成验收并正式投产，原项目四期、五期未进行建设。</w:t>
            </w:r>
          </w:p>
          <w:p w14:paraId="4CA4F02F">
            <w:pPr>
              <w:pStyle w:val="10"/>
              <w:spacing w:line="360" w:lineRule="auto"/>
              <w:ind w:firstLine="480" w:firstLineChars="200"/>
              <w:rPr>
                <w:rFonts w:hint="default" w:ascii="Times New Roman" w:hAnsi="Times New Roman" w:cs="Times New Roman"/>
                <w:bCs/>
                <w:color w:val="auto"/>
                <w:sz w:val="24"/>
                <w:szCs w:val="24"/>
              </w:rPr>
            </w:pPr>
            <w:r>
              <w:rPr>
                <w:rFonts w:hint="default" w:ascii="Times New Roman" w:hAnsi="Times New Roman" w:cs="Times New Roman"/>
                <w:bCs/>
                <w:color w:val="auto"/>
                <w:sz w:val="24"/>
                <w:highlight w:val="none"/>
              </w:rPr>
              <w:t>根据业主提供的资料，</w:t>
            </w:r>
            <w:r>
              <w:rPr>
                <w:rFonts w:hint="default" w:ascii="Times New Roman" w:hAnsi="Times New Roman" w:cs="Times New Roman"/>
                <w:color w:val="auto"/>
                <w:sz w:val="24"/>
                <w:highlight w:val="none"/>
              </w:rPr>
              <w:t>2023年11月30开始，本企业铸造工序停产（见附件13），外购铸铁件、铸钢件、阀门零件回厂机加工后组装出货，2025年度产能约为阀门5000件、铸铁件2500t、铸钢件1000t。因此，</w:t>
            </w:r>
            <w:r>
              <w:rPr>
                <w:rFonts w:hint="default" w:ascii="Times New Roman" w:hAnsi="Times New Roman" w:cs="Times New Roman"/>
                <w:color w:val="auto"/>
                <w:highlight w:val="none"/>
              </w:rPr>
              <w:t>本企业现有的金属熔炼、抛丸、砂处理、浇注工序停产</w:t>
            </w:r>
            <w:r>
              <w:rPr>
                <w:rFonts w:hint="default" w:ascii="Times New Roman" w:hAnsi="Times New Roman" w:cs="Times New Roman"/>
                <w:color w:val="auto"/>
                <w:sz w:val="24"/>
                <w:highlight w:val="none"/>
              </w:rPr>
              <w:t>，仅有机加工无组织废气、噪声和生活污水。由于企业</w:t>
            </w:r>
            <w:r>
              <w:rPr>
                <w:rFonts w:hint="default" w:ascii="Times New Roman" w:hAnsi="Times New Roman" w:cs="Times New Roman"/>
                <w:color w:val="auto"/>
                <w:sz w:val="24"/>
                <w:highlight w:val="none"/>
                <w:lang w:val="en-US" w:eastAsia="zh-CN"/>
              </w:rPr>
              <w:t>主要工序</w:t>
            </w:r>
            <w:r>
              <w:rPr>
                <w:rFonts w:hint="default" w:ascii="Times New Roman" w:hAnsi="Times New Roman" w:cs="Times New Roman"/>
                <w:color w:val="auto"/>
                <w:highlight w:val="none"/>
              </w:rPr>
              <w:t>金属熔炼、抛丸、砂处理、浇注</w:t>
            </w:r>
            <w:r>
              <w:rPr>
                <w:rFonts w:hint="default" w:ascii="Times New Roman" w:hAnsi="Times New Roman" w:cs="Times New Roman"/>
                <w:color w:val="auto"/>
                <w:highlight w:val="none"/>
                <w:lang w:val="en-US" w:eastAsia="zh-CN"/>
              </w:rPr>
              <w:t>等停产，</w:t>
            </w:r>
            <w:r>
              <w:rPr>
                <w:rFonts w:hint="default" w:ascii="Times New Roman" w:hAnsi="Times New Roman" w:cs="Times New Roman"/>
                <w:color w:val="auto"/>
                <w:sz w:val="24"/>
                <w:highlight w:val="none"/>
              </w:rPr>
              <w:t>2025年度未对厂界无组织废气、噪声和废水进行自行监测，</w:t>
            </w:r>
            <w:r>
              <w:rPr>
                <w:rFonts w:hint="default" w:ascii="Times New Roman" w:hAnsi="Times New Roman" w:cs="Times New Roman"/>
                <w:color w:val="auto"/>
                <w:sz w:val="24"/>
                <w:highlight w:val="none"/>
                <w:lang w:val="en-US" w:eastAsia="zh-CN"/>
              </w:rPr>
              <w:t>原项目</w:t>
            </w:r>
            <w:r>
              <w:rPr>
                <w:rFonts w:hint="default" w:ascii="Times New Roman" w:hAnsi="Times New Roman" w:cs="Times New Roman"/>
                <w:color w:val="auto"/>
                <w:sz w:val="24"/>
                <w:highlight w:val="none"/>
              </w:rPr>
              <w:t>废气、噪声和废水达标情况参照2023年</w:t>
            </w:r>
            <w:r>
              <w:rPr>
                <w:rFonts w:hint="default" w:ascii="Times New Roman" w:hAnsi="Times New Roman" w:cs="Times New Roman"/>
                <w:color w:val="auto"/>
                <w:sz w:val="24"/>
                <w:highlight w:val="none"/>
                <w:lang w:val="en-US" w:eastAsia="zh-CN"/>
              </w:rPr>
              <w:t>度</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2022年</w:t>
            </w:r>
            <w:r>
              <w:rPr>
                <w:rFonts w:hint="default" w:ascii="Times New Roman" w:hAnsi="Times New Roman" w:cs="Times New Roman"/>
                <w:color w:val="auto"/>
                <w:sz w:val="24"/>
                <w:highlight w:val="none"/>
              </w:rPr>
              <w:t>度自行监测报告。</w:t>
            </w:r>
            <w:r>
              <w:rPr>
                <w:rFonts w:hint="default" w:ascii="Times New Roman" w:hAnsi="Times New Roman" w:cs="Times New Roman"/>
                <w:color w:val="auto"/>
                <w:sz w:val="24"/>
                <w:highlight w:val="none"/>
                <w:lang w:val="en-US" w:eastAsia="zh-CN"/>
              </w:rPr>
              <w:t>原项目污染产排情况根据</w:t>
            </w:r>
            <w:r>
              <w:rPr>
                <w:rFonts w:hint="default" w:ascii="Times New Roman" w:hAnsi="Times New Roman" w:cs="Times New Roman"/>
                <w:color w:val="auto"/>
                <w:sz w:val="24"/>
                <w:szCs w:val="24"/>
                <w:highlight w:val="none"/>
                <w:lang w:val="en-US" w:eastAsia="zh-CN"/>
              </w:rPr>
              <w:t>相关</w:t>
            </w:r>
            <w:r>
              <w:rPr>
                <w:rFonts w:hint="default" w:ascii="Times New Roman" w:hAnsi="Times New Roman" w:cs="Times New Roman"/>
                <w:bCs/>
                <w:color w:val="auto"/>
                <w:sz w:val="24"/>
                <w:szCs w:val="24"/>
              </w:rPr>
              <w:t>环保审批文件进行核算。</w:t>
            </w:r>
          </w:p>
          <w:p w14:paraId="467F7F53">
            <w:pPr>
              <w:pStyle w:val="126"/>
              <w:numPr>
                <w:ilvl w:val="0"/>
                <w:numId w:val="8"/>
              </w:numPr>
              <w:autoSpaceDE w:val="0"/>
              <w:spacing w:line="360" w:lineRule="auto"/>
              <w:rPr>
                <w:rFonts w:hint="default" w:ascii="Times New Roman" w:hAnsi="Times New Roman" w:cs="Times New Roman"/>
                <w:b/>
                <w:bCs w:val="0"/>
                <w:color w:val="auto"/>
                <w:sz w:val="24"/>
                <w:szCs w:val="24"/>
              </w:rPr>
            </w:pPr>
            <w:r>
              <w:rPr>
                <w:rFonts w:hint="default" w:ascii="Times New Roman" w:hAnsi="Times New Roman" w:cs="Times New Roman"/>
                <w:b/>
                <w:bCs w:val="0"/>
                <w:color w:val="auto"/>
                <w:sz w:val="24"/>
                <w:highlight w:val="none"/>
                <w:lang w:val="en-US" w:eastAsia="zh-CN"/>
              </w:rPr>
              <w:t>原项目基本情况</w:t>
            </w:r>
          </w:p>
          <w:p w14:paraId="2161A374">
            <w:pPr>
              <w:pStyle w:val="126"/>
              <w:numPr>
                <w:ilvl w:val="0"/>
                <w:numId w:val="0"/>
              </w:numPr>
              <w:autoSpaceDE w:val="0"/>
              <w:spacing w:line="360" w:lineRule="auto"/>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cs="Times New Roman"/>
                <w:bCs/>
                <w:color w:val="auto"/>
                <w:sz w:val="24"/>
                <w:szCs w:val="24"/>
                <w:highlight w:val="none"/>
                <w:lang w:val="en-US" w:eastAsia="zh-CN"/>
              </w:rPr>
              <w:t>原项目一期、二期、三期共劳动定员</w:t>
            </w:r>
            <w:r>
              <w:rPr>
                <w:rFonts w:hint="default" w:ascii="Times New Roman" w:hAnsi="Times New Roman" w:cs="Times New Roman"/>
                <w:bCs/>
                <w:color w:val="auto"/>
                <w:sz w:val="24"/>
                <w:szCs w:val="24"/>
                <w:lang w:val="en-US" w:eastAsia="zh-CN"/>
              </w:rPr>
              <w:t>76</w:t>
            </w:r>
            <w:r>
              <w:rPr>
                <w:rFonts w:hint="default" w:ascii="Times New Roman" w:hAnsi="Times New Roman" w:cs="Times New Roman"/>
                <w:bCs/>
                <w:color w:val="auto"/>
                <w:sz w:val="24"/>
                <w:szCs w:val="24"/>
              </w:rPr>
              <w:t>人，年工作300天，实行一天1班，一班8小时工作制，</w:t>
            </w:r>
            <w:r>
              <w:rPr>
                <w:rFonts w:hint="default" w:ascii="Times New Roman" w:hAnsi="Times New Roman" w:cs="Times New Roman"/>
                <w:color w:val="auto"/>
                <w:sz w:val="24"/>
                <w:szCs w:val="24"/>
                <w:highlight w:val="none"/>
                <w:lang w:val="en-US" w:eastAsia="zh-CN"/>
              </w:rPr>
              <w:t>厂内不提供住宿，由饭堂提供一餐</w:t>
            </w:r>
            <w:r>
              <w:rPr>
                <w:rFonts w:hint="default" w:ascii="Times New Roman" w:hAnsi="Times New Roman" w:cs="Times New Roman"/>
                <w:color w:val="auto"/>
                <w:sz w:val="24"/>
                <w:szCs w:val="24"/>
                <w:highlight w:val="none"/>
              </w:rPr>
              <w:t>。</w:t>
            </w:r>
          </w:p>
          <w:p w14:paraId="2A263F6A">
            <w:pPr>
              <w:pStyle w:val="126"/>
              <w:spacing w:before="120" w:line="360" w:lineRule="auto"/>
              <w:ind w:firstLine="420"/>
              <w:rPr>
                <w:rFonts w:hint="default" w:ascii="Times New Roman" w:hAnsi="Times New Roman" w:cs="Times New Roman"/>
                <w:color w:val="auto"/>
                <w:sz w:val="24"/>
                <w:szCs w:val="24"/>
              </w:rPr>
            </w:pPr>
            <w:r>
              <w:rPr>
                <w:rFonts w:hint="default" w:ascii="Times New Roman" w:hAnsi="Times New Roman" w:cs="Times New Roman"/>
                <w:bCs/>
                <w:color w:val="auto"/>
                <w:sz w:val="24"/>
                <w:szCs w:val="24"/>
              </w:rPr>
              <w:t>原有项目原辅料情况见下表：</w:t>
            </w:r>
          </w:p>
          <w:p w14:paraId="5028E530">
            <w:pPr>
              <w:keepNext/>
              <w:widowControl/>
              <w:spacing w:line="360" w:lineRule="auto"/>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2-12</w:t>
            </w:r>
            <w:r>
              <w:rPr>
                <w:rFonts w:hint="default" w:ascii="Times New Roman" w:hAnsi="Times New Roman" w:cs="Times New Roman"/>
                <w:b/>
                <w:bCs/>
                <w:color w:val="auto"/>
                <w:sz w:val="24"/>
                <w:szCs w:val="24"/>
              </w:rPr>
              <w:t xml:space="preserve">  原有项目主要原辅材料情况一览表</w:t>
            </w:r>
          </w:p>
          <w:tbl>
            <w:tblPr>
              <w:tblStyle w:val="26"/>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2264"/>
              <w:gridCol w:w="2754"/>
              <w:gridCol w:w="2613"/>
            </w:tblGrid>
            <w:tr w14:paraId="319C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117" w:type="dxa"/>
                  <w:vAlign w:val="center"/>
                </w:tcPr>
                <w:p w14:paraId="6FDF946E">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2264" w:type="dxa"/>
                  <w:vAlign w:val="center"/>
                </w:tcPr>
                <w:p w14:paraId="48DE7C48">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名称</w:t>
                  </w:r>
                </w:p>
              </w:tc>
              <w:tc>
                <w:tcPr>
                  <w:tcW w:w="2754" w:type="dxa"/>
                  <w:vAlign w:val="center"/>
                </w:tcPr>
                <w:p w14:paraId="0A3A70C9">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color w:val="auto"/>
                      <w:szCs w:val="21"/>
                      <w:highlight w:val="none"/>
                    </w:rPr>
                    <w:t>原项目年用量</w:t>
                  </w:r>
                </w:p>
              </w:tc>
              <w:tc>
                <w:tcPr>
                  <w:tcW w:w="2613" w:type="dxa"/>
                  <w:vAlign w:val="center"/>
                </w:tcPr>
                <w:p w14:paraId="6BEB44ED">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最大储量</w:t>
                  </w:r>
                </w:p>
              </w:tc>
            </w:tr>
            <w:tr w14:paraId="2F89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748" w:type="dxa"/>
                  <w:gridSpan w:val="4"/>
                  <w:vAlign w:val="center"/>
                </w:tcPr>
                <w:p w14:paraId="045071DC">
                  <w:pPr>
                    <w:widowControl/>
                    <w:jc w:val="center"/>
                    <w:textAlignment w:val="center"/>
                    <w:rPr>
                      <w:rFonts w:hint="default" w:ascii="Times New Roman" w:hAnsi="Times New Roman" w:cs="Times New Roman"/>
                      <w:b/>
                      <w:bCs/>
                      <w:color w:val="auto"/>
                      <w:kern w:val="0"/>
                      <w:sz w:val="22"/>
                      <w:szCs w:val="22"/>
                      <w:highlight w:val="none"/>
                      <w:lang w:val="en-US" w:eastAsia="zh-CN" w:bidi="ar"/>
                    </w:rPr>
                  </w:pPr>
                  <w:r>
                    <w:rPr>
                      <w:rFonts w:hint="default" w:ascii="Times New Roman" w:hAnsi="Times New Roman" w:cs="Times New Roman"/>
                      <w:b/>
                      <w:bCs/>
                      <w:color w:val="auto"/>
                      <w:kern w:val="0"/>
                      <w:sz w:val="22"/>
                      <w:szCs w:val="22"/>
                      <w:highlight w:val="none"/>
                      <w:lang w:val="en-US" w:eastAsia="zh-CN" w:bidi="ar"/>
                    </w:rPr>
                    <w:t>一期主要原辅材料</w:t>
                  </w:r>
                </w:p>
              </w:tc>
            </w:tr>
            <w:tr w14:paraId="5BB1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7" w:type="dxa"/>
                  <w:vAlign w:val="center"/>
                </w:tcPr>
                <w:p w14:paraId="0C52E95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264" w:type="dxa"/>
                  <w:vAlign w:val="center"/>
                </w:tcPr>
                <w:p w14:paraId="1F7E0275">
                  <w:pPr>
                    <w:adjustRightInd w:val="0"/>
                    <w:snapToGrid w:val="0"/>
                    <w:spacing w:before="120" w:beforeLines="5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钢胚</w:t>
                  </w:r>
                </w:p>
              </w:tc>
              <w:tc>
                <w:tcPr>
                  <w:tcW w:w="2754" w:type="dxa"/>
                  <w:vAlign w:val="center"/>
                </w:tcPr>
                <w:p w14:paraId="3D9EC4A4">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250t</w:t>
                  </w:r>
                </w:p>
              </w:tc>
              <w:tc>
                <w:tcPr>
                  <w:tcW w:w="2613" w:type="dxa"/>
                  <w:vAlign w:val="center"/>
                </w:tcPr>
                <w:p w14:paraId="0384A0F1">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20</w:t>
                  </w:r>
                  <w:r>
                    <w:rPr>
                      <w:rFonts w:hint="default" w:ascii="Times New Roman" w:hAnsi="Times New Roman" w:cs="Times New Roman"/>
                      <w:color w:val="auto"/>
                      <w:szCs w:val="21"/>
                      <w:highlight w:val="none"/>
                      <w:lang w:val="en-US" w:eastAsia="zh-CN"/>
                    </w:rPr>
                    <w:t>t</w:t>
                  </w:r>
                </w:p>
              </w:tc>
            </w:tr>
            <w:tr w14:paraId="6AAF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7" w:type="dxa"/>
                  <w:vAlign w:val="center"/>
                </w:tcPr>
                <w:p w14:paraId="43A9FFB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2264" w:type="dxa"/>
                  <w:vAlign w:val="center"/>
                </w:tcPr>
                <w:p w14:paraId="4CC5B008">
                  <w:pPr>
                    <w:adjustRightInd w:val="0"/>
                    <w:snapToGrid w:val="0"/>
                    <w:spacing w:before="120" w:beforeLines="5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石英砂</w:t>
                  </w:r>
                </w:p>
              </w:tc>
              <w:tc>
                <w:tcPr>
                  <w:tcW w:w="2754" w:type="dxa"/>
                  <w:vAlign w:val="center"/>
                </w:tcPr>
                <w:p w14:paraId="5129CA3C">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10t</w:t>
                  </w:r>
                </w:p>
              </w:tc>
              <w:tc>
                <w:tcPr>
                  <w:tcW w:w="2613" w:type="dxa"/>
                  <w:vAlign w:val="center"/>
                </w:tcPr>
                <w:p w14:paraId="1BCEE558">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1</w:t>
                  </w:r>
                  <w:r>
                    <w:rPr>
                      <w:rFonts w:hint="default" w:ascii="Times New Roman" w:hAnsi="Times New Roman" w:cs="Times New Roman"/>
                      <w:color w:val="auto"/>
                      <w:szCs w:val="21"/>
                      <w:highlight w:val="none"/>
                      <w:lang w:val="en-US" w:eastAsia="zh-CN"/>
                    </w:rPr>
                    <w:t>t</w:t>
                  </w:r>
                </w:p>
              </w:tc>
            </w:tr>
            <w:tr w14:paraId="0C03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7" w:type="dxa"/>
                  <w:vAlign w:val="center"/>
                </w:tcPr>
                <w:p w14:paraId="7D58AAA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2264" w:type="dxa"/>
                  <w:vAlign w:val="center"/>
                </w:tcPr>
                <w:p w14:paraId="4C9282FD">
                  <w:pPr>
                    <w:adjustRightInd w:val="0"/>
                    <w:snapToGrid w:val="0"/>
                    <w:spacing w:before="120" w:beforeLines="5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耐火材料</w:t>
                  </w:r>
                </w:p>
              </w:tc>
              <w:tc>
                <w:tcPr>
                  <w:tcW w:w="2754" w:type="dxa"/>
                  <w:vAlign w:val="center"/>
                </w:tcPr>
                <w:p w14:paraId="4C4EC89F">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2.5t</w:t>
                  </w:r>
                </w:p>
              </w:tc>
              <w:tc>
                <w:tcPr>
                  <w:tcW w:w="2613" w:type="dxa"/>
                  <w:vAlign w:val="center"/>
                </w:tcPr>
                <w:p w14:paraId="02DAE10C">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0.2</w:t>
                  </w:r>
                  <w:r>
                    <w:rPr>
                      <w:rFonts w:hint="default" w:ascii="Times New Roman" w:hAnsi="Times New Roman" w:cs="Times New Roman"/>
                      <w:color w:val="auto"/>
                      <w:szCs w:val="21"/>
                      <w:highlight w:val="none"/>
                      <w:lang w:val="en-US" w:eastAsia="zh-CN"/>
                    </w:rPr>
                    <w:t>t</w:t>
                  </w:r>
                </w:p>
              </w:tc>
            </w:tr>
            <w:tr w14:paraId="708F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748" w:type="dxa"/>
                  <w:gridSpan w:val="4"/>
                  <w:vAlign w:val="center"/>
                </w:tcPr>
                <w:p w14:paraId="42D25E8A">
                  <w:pPr>
                    <w:widowControl/>
                    <w:jc w:val="center"/>
                    <w:textAlignment w:val="center"/>
                    <w:rPr>
                      <w:rFonts w:hint="default" w:ascii="Times New Roman" w:hAnsi="Times New Roman" w:cs="Times New Roman"/>
                      <w:b/>
                      <w:bCs/>
                      <w:color w:val="auto"/>
                      <w:kern w:val="0"/>
                      <w:sz w:val="22"/>
                      <w:szCs w:val="22"/>
                      <w:highlight w:val="none"/>
                      <w:lang w:val="en-US" w:eastAsia="zh-CN" w:bidi="ar"/>
                    </w:rPr>
                  </w:pPr>
                  <w:r>
                    <w:rPr>
                      <w:rFonts w:hint="default" w:ascii="Times New Roman" w:hAnsi="Times New Roman" w:cs="Times New Roman"/>
                      <w:b/>
                      <w:bCs/>
                      <w:color w:val="auto"/>
                      <w:kern w:val="0"/>
                      <w:sz w:val="22"/>
                      <w:szCs w:val="22"/>
                      <w:highlight w:val="none"/>
                      <w:lang w:val="en-US" w:eastAsia="zh-CN" w:bidi="ar"/>
                    </w:rPr>
                    <w:t>二期主要原辅材料</w:t>
                  </w:r>
                </w:p>
              </w:tc>
            </w:tr>
            <w:tr w14:paraId="7795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7" w:type="dxa"/>
                  <w:vAlign w:val="center"/>
                </w:tcPr>
                <w:p w14:paraId="5DAC578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2264" w:type="dxa"/>
                  <w:vAlign w:val="center"/>
                </w:tcPr>
                <w:p w14:paraId="3C635A03">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冷轧打包料</w:t>
                  </w:r>
                </w:p>
              </w:tc>
              <w:tc>
                <w:tcPr>
                  <w:tcW w:w="2754" w:type="dxa"/>
                  <w:vAlign w:val="center"/>
                </w:tcPr>
                <w:p w14:paraId="786BBB6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17</w:t>
                  </w:r>
                  <w:r>
                    <w:rPr>
                      <w:rFonts w:hint="default" w:ascii="Times New Roman" w:hAnsi="Times New Roman" w:cs="Times New Roman"/>
                      <w:color w:val="auto"/>
                      <w:szCs w:val="21"/>
                      <w:highlight w:val="none"/>
                    </w:rPr>
                    <w:t>00m</w:t>
                  </w:r>
                  <w:r>
                    <w:rPr>
                      <w:rFonts w:hint="default" w:ascii="Times New Roman" w:hAnsi="Times New Roman" w:cs="Times New Roman"/>
                      <w:color w:val="auto"/>
                      <w:szCs w:val="21"/>
                      <w:highlight w:val="none"/>
                      <w:vertAlign w:val="superscript"/>
                    </w:rPr>
                    <w:t>3</w:t>
                  </w:r>
                </w:p>
              </w:tc>
              <w:tc>
                <w:tcPr>
                  <w:tcW w:w="2613" w:type="dxa"/>
                  <w:vAlign w:val="center"/>
                </w:tcPr>
                <w:p w14:paraId="0D5AFF21">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120</w:t>
                  </w: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r>
            <w:tr w14:paraId="5E41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2493D48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2264" w:type="dxa"/>
                  <w:vAlign w:val="center"/>
                </w:tcPr>
                <w:p w14:paraId="24B3354E">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铁粉</w:t>
                  </w:r>
                </w:p>
              </w:tc>
              <w:tc>
                <w:tcPr>
                  <w:tcW w:w="2754" w:type="dxa"/>
                  <w:vAlign w:val="center"/>
                </w:tcPr>
                <w:p w14:paraId="7D50074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0.</w:t>
                  </w:r>
                  <w:r>
                    <w:rPr>
                      <w:rFonts w:hint="default" w:ascii="Times New Roman" w:hAnsi="Times New Roman" w:cs="Times New Roman"/>
                      <w:color w:val="auto"/>
                      <w:szCs w:val="21"/>
                      <w:highlight w:val="none"/>
                    </w:rPr>
                    <w:t>7t</w:t>
                  </w:r>
                </w:p>
              </w:tc>
              <w:tc>
                <w:tcPr>
                  <w:tcW w:w="2613" w:type="dxa"/>
                  <w:vAlign w:val="center"/>
                </w:tcPr>
                <w:p w14:paraId="5D143C28">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 w:val="22"/>
                      <w:szCs w:val="22"/>
                      <w:highlight w:val="none"/>
                      <w:lang w:val="en-US" w:eastAsia="zh-CN" w:bidi="ar"/>
                    </w:rPr>
                    <w:t>1</w:t>
                  </w:r>
                  <w:r>
                    <w:rPr>
                      <w:rFonts w:hint="default" w:ascii="Times New Roman" w:hAnsi="Times New Roman" w:cs="Times New Roman"/>
                      <w:color w:val="auto"/>
                      <w:szCs w:val="21"/>
                      <w:highlight w:val="none"/>
                      <w:lang w:val="en-US" w:eastAsia="zh-CN"/>
                    </w:rPr>
                    <w:t>t</w:t>
                  </w:r>
                </w:p>
              </w:tc>
            </w:tr>
            <w:tr w14:paraId="01DCF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2E83351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2264" w:type="dxa"/>
                  <w:vAlign w:val="center"/>
                </w:tcPr>
                <w:p w14:paraId="45E5E37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原生铁</w:t>
                  </w:r>
                </w:p>
              </w:tc>
              <w:tc>
                <w:tcPr>
                  <w:tcW w:w="2754" w:type="dxa"/>
                  <w:vAlign w:val="center"/>
                </w:tcPr>
                <w:p w14:paraId="468B16B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0.15t</w:t>
                  </w:r>
                </w:p>
              </w:tc>
              <w:tc>
                <w:tcPr>
                  <w:tcW w:w="2613" w:type="dxa"/>
                  <w:vAlign w:val="center"/>
                </w:tcPr>
                <w:p w14:paraId="76154B88">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0.5</w:t>
                  </w:r>
                  <w:r>
                    <w:rPr>
                      <w:rFonts w:hint="default" w:ascii="Times New Roman" w:hAnsi="Times New Roman" w:cs="Times New Roman"/>
                      <w:color w:val="auto"/>
                      <w:szCs w:val="21"/>
                      <w:highlight w:val="none"/>
                      <w:lang w:val="en-US" w:eastAsia="zh-CN"/>
                    </w:rPr>
                    <w:t>t</w:t>
                  </w:r>
                </w:p>
              </w:tc>
            </w:tr>
            <w:tr w14:paraId="22B6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067C1FE8">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7</w:t>
                  </w:r>
                </w:p>
              </w:tc>
              <w:tc>
                <w:tcPr>
                  <w:tcW w:w="2264" w:type="dxa"/>
                  <w:vAlign w:val="center"/>
                </w:tcPr>
                <w:p w14:paraId="6395F44E">
                  <w:pPr>
                    <w:adjustRightInd w:val="0"/>
                    <w:snapToGrid w:val="0"/>
                    <w:spacing w:before="120" w:beforeLines="5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不锈钢</w:t>
                  </w:r>
                  <w:r>
                    <w:rPr>
                      <w:rFonts w:hint="default" w:ascii="Times New Roman" w:hAnsi="Times New Roman" w:cs="Times New Roman"/>
                      <w:bCs/>
                      <w:color w:val="auto"/>
                      <w:szCs w:val="21"/>
                      <w:highlight w:val="none"/>
                      <w:lang w:val="en-US" w:eastAsia="zh-CN"/>
                    </w:rPr>
                    <w:t>打</w:t>
                  </w:r>
                  <w:r>
                    <w:rPr>
                      <w:rFonts w:hint="default" w:ascii="Times New Roman" w:hAnsi="Times New Roman" w:cs="Times New Roman"/>
                      <w:bCs/>
                      <w:color w:val="auto"/>
                      <w:szCs w:val="21"/>
                      <w:highlight w:val="none"/>
                    </w:rPr>
                    <w:t>包料</w:t>
                  </w:r>
                </w:p>
              </w:tc>
              <w:tc>
                <w:tcPr>
                  <w:tcW w:w="2754" w:type="dxa"/>
                  <w:vAlign w:val="center"/>
                </w:tcPr>
                <w:p w14:paraId="4311455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4000t</w:t>
                  </w:r>
                </w:p>
              </w:tc>
              <w:tc>
                <w:tcPr>
                  <w:tcW w:w="2613" w:type="dxa"/>
                  <w:vAlign w:val="center"/>
                </w:tcPr>
                <w:p w14:paraId="790C5705">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 w:val="22"/>
                      <w:szCs w:val="22"/>
                      <w:highlight w:val="none"/>
                      <w:lang w:bidi="ar"/>
                    </w:rPr>
                    <w:t>350</w:t>
                  </w:r>
                  <w:r>
                    <w:rPr>
                      <w:rFonts w:hint="default" w:ascii="Times New Roman" w:hAnsi="Times New Roman" w:cs="Times New Roman"/>
                      <w:color w:val="auto"/>
                      <w:szCs w:val="21"/>
                      <w:highlight w:val="none"/>
                      <w:lang w:val="en-US" w:eastAsia="zh-CN"/>
                    </w:rPr>
                    <w:t>t</w:t>
                  </w:r>
                </w:p>
              </w:tc>
            </w:tr>
            <w:tr w14:paraId="4C01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62D97A3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8</w:t>
                  </w:r>
                </w:p>
              </w:tc>
              <w:tc>
                <w:tcPr>
                  <w:tcW w:w="2264" w:type="dxa"/>
                  <w:vAlign w:val="center"/>
                </w:tcPr>
                <w:p w14:paraId="7FB8C07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球化剂</w:t>
                  </w:r>
                </w:p>
              </w:tc>
              <w:tc>
                <w:tcPr>
                  <w:tcW w:w="2754" w:type="dxa"/>
                  <w:vAlign w:val="center"/>
                </w:tcPr>
                <w:p w14:paraId="69E207E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64</w:t>
                  </w:r>
                  <w:r>
                    <w:rPr>
                      <w:rFonts w:hint="default" w:ascii="Times New Roman" w:hAnsi="Times New Roman" w:cs="Times New Roman"/>
                      <w:color w:val="auto"/>
                      <w:szCs w:val="21"/>
                      <w:highlight w:val="none"/>
                    </w:rPr>
                    <w:t>t</w:t>
                  </w:r>
                </w:p>
              </w:tc>
              <w:tc>
                <w:tcPr>
                  <w:tcW w:w="2613" w:type="dxa"/>
                  <w:vAlign w:val="center"/>
                </w:tcPr>
                <w:p w14:paraId="327C4B0F">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 w:val="22"/>
                      <w:szCs w:val="22"/>
                      <w:highlight w:val="none"/>
                      <w:lang w:val="en-US" w:eastAsia="zh-CN" w:bidi="ar"/>
                    </w:rPr>
                    <w:t>5</w:t>
                  </w:r>
                  <w:r>
                    <w:rPr>
                      <w:rFonts w:hint="default" w:ascii="Times New Roman" w:hAnsi="Times New Roman" w:cs="Times New Roman"/>
                      <w:color w:val="auto"/>
                      <w:szCs w:val="21"/>
                      <w:highlight w:val="none"/>
                      <w:lang w:val="en-US" w:eastAsia="zh-CN"/>
                    </w:rPr>
                    <w:t>t</w:t>
                  </w:r>
                </w:p>
              </w:tc>
            </w:tr>
            <w:tr w14:paraId="41F2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1CCD5EA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9</w:t>
                  </w:r>
                </w:p>
              </w:tc>
              <w:tc>
                <w:tcPr>
                  <w:tcW w:w="2264" w:type="dxa"/>
                  <w:vAlign w:val="center"/>
                </w:tcPr>
                <w:p w14:paraId="6DE825E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孕育剂</w:t>
                  </w:r>
                </w:p>
              </w:tc>
              <w:tc>
                <w:tcPr>
                  <w:tcW w:w="2754" w:type="dxa"/>
                  <w:vAlign w:val="center"/>
                </w:tcPr>
                <w:p w14:paraId="0C85CD1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48</w:t>
                  </w:r>
                  <w:r>
                    <w:rPr>
                      <w:rFonts w:hint="default" w:ascii="Times New Roman" w:hAnsi="Times New Roman" w:cs="Times New Roman"/>
                      <w:color w:val="auto"/>
                      <w:szCs w:val="21"/>
                      <w:highlight w:val="none"/>
                    </w:rPr>
                    <w:t>t</w:t>
                  </w:r>
                </w:p>
              </w:tc>
              <w:tc>
                <w:tcPr>
                  <w:tcW w:w="2613" w:type="dxa"/>
                  <w:vAlign w:val="center"/>
                </w:tcPr>
                <w:p w14:paraId="09D31E67">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 w:val="22"/>
                      <w:szCs w:val="22"/>
                      <w:highlight w:val="none"/>
                      <w:lang w:val="en-US" w:eastAsia="zh-CN" w:bidi="ar"/>
                    </w:rPr>
                    <w:t>5</w:t>
                  </w:r>
                  <w:r>
                    <w:rPr>
                      <w:rFonts w:hint="default" w:ascii="Times New Roman" w:hAnsi="Times New Roman" w:cs="Times New Roman"/>
                      <w:color w:val="auto"/>
                      <w:szCs w:val="21"/>
                      <w:highlight w:val="none"/>
                      <w:lang w:val="en-US" w:eastAsia="zh-CN"/>
                    </w:rPr>
                    <w:t>t</w:t>
                  </w:r>
                </w:p>
              </w:tc>
            </w:tr>
            <w:tr w14:paraId="0EF3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3DE70F1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10</w:t>
                  </w:r>
                </w:p>
              </w:tc>
              <w:tc>
                <w:tcPr>
                  <w:tcW w:w="2264" w:type="dxa"/>
                  <w:vAlign w:val="center"/>
                </w:tcPr>
                <w:p w14:paraId="3F45BE3C">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增碳剂</w:t>
                  </w:r>
                </w:p>
              </w:tc>
              <w:tc>
                <w:tcPr>
                  <w:tcW w:w="2754" w:type="dxa"/>
                  <w:vAlign w:val="center"/>
                </w:tcPr>
                <w:p w14:paraId="6ECB80D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420</w:t>
                  </w:r>
                  <w:r>
                    <w:rPr>
                      <w:rFonts w:hint="default" w:ascii="Times New Roman" w:hAnsi="Times New Roman" w:cs="Times New Roman"/>
                      <w:color w:val="auto"/>
                      <w:szCs w:val="21"/>
                      <w:highlight w:val="none"/>
                    </w:rPr>
                    <w:t>t</w:t>
                  </w:r>
                </w:p>
              </w:tc>
              <w:tc>
                <w:tcPr>
                  <w:tcW w:w="2613" w:type="dxa"/>
                  <w:vAlign w:val="center"/>
                </w:tcPr>
                <w:p w14:paraId="070D3BE8">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35</w:t>
                  </w:r>
                  <w:r>
                    <w:rPr>
                      <w:rFonts w:hint="default" w:ascii="Times New Roman" w:hAnsi="Times New Roman" w:cs="Times New Roman"/>
                      <w:color w:val="auto"/>
                      <w:szCs w:val="21"/>
                      <w:highlight w:val="none"/>
                      <w:lang w:val="en-US" w:eastAsia="zh-CN"/>
                    </w:rPr>
                    <w:t>t</w:t>
                  </w:r>
                </w:p>
              </w:tc>
            </w:tr>
            <w:tr w14:paraId="6377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3CDED87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11</w:t>
                  </w:r>
                </w:p>
              </w:tc>
              <w:tc>
                <w:tcPr>
                  <w:tcW w:w="2264" w:type="dxa"/>
                  <w:vAlign w:val="center"/>
                </w:tcPr>
                <w:p w14:paraId="28123BE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硅铁</w:t>
                  </w:r>
                </w:p>
              </w:tc>
              <w:tc>
                <w:tcPr>
                  <w:tcW w:w="2754" w:type="dxa"/>
                  <w:vAlign w:val="center"/>
                </w:tcPr>
                <w:p w14:paraId="0CEB73B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224</w:t>
                  </w:r>
                  <w:r>
                    <w:rPr>
                      <w:rFonts w:hint="default" w:ascii="Times New Roman" w:hAnsi="Times New Roman" w:cs="Times New Roman"/>
                      <w:color w:val="auto"/>
                      <w:szCs w:val="21"/>
                      <w:highlight w:val="none"/>
                    </w:rPr>
                    <w:t>t</w:t>
                  </w:r>
                </w:p>
              </w:tc>
              <w:tc>
                <w:tcPr>
                  <w:tcW w:w="2613" w:type="dxa"/>
                  <w:vAlign w:val="center"/>
                </w:tcPr>
                <w:p w14:paraId="3DDE44A3">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20</w:t>
                  </w:r>
                  <w:r>
                    <w:rPr>
                      <w:rFonts w:hint="default" w:ascii="Times New Roman" w:hAnsi="Times New Roman" w:cs="Times New Roman"/>
                      <w:color w:val="auto"/>
                      <w:szCs w:val="21"/>
                      <w:highlight w:val="none"/>
                      <w:lang w:val="en-US" w:eastAsia="zh-CN"/>
                    </w:rPr>
                    <w:t>t</w:t>
                  </w:r>
                </w:p>
              </w:tc>
            </w:tr>
            <w:tr w14:paraId="57B0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47A35C4C">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12</w:t>
                  </w:r>
                </w:p>
              </w:tc>
              <w:tc>
                <w:tcPr>
                  <w:tcW w:w="2264" w:type="dxa"/>
                  <w:vAlign w:val="center"/>
                </w:tcPr>
                <w:p w14:paraId="4D94375C">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石英砂</w:t>
                  </w:r>
                </w:p>
              </w:tc>
              <w:tc>
                <w:tcPr>
                  <w:tcW w:w="2754" w:type="dxa"/>
                  <w:vAlign w:val="center"/>
                </w:tcPr>
                <w:p w14:paraId="7749CCA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200</w:t>
                  </w:r>
                  <w:r>
                    <w:rPr>
                      <w:rFonts w:hint="default" w:ascii="Times New Roman" w:hAnsi="Times New Roman" w:cs="Times New Roman"/>
                      <w:color w:val="auto"/>
                      <w:szCs w:val="21"/>
                      <w:highlight w:val="none"/>
                    </w:rPr>
                    <w:t>t</w:t>
                  </w:r>
                </w:p>
              </w:tc>
              <w:tc>
                <w:tcPr>
                  <w:tcW w:w="2613" w:type="dxa"/>
                  <w:vAlign w:val="center"/>
                </w:tcPr>
                <w:p w14:paraId="0B4E4E07">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15</w:t>
                  </w:r>
                  <w:r>
                    <w:rPr>
                      <w:rFonts w:hint="default" w:ascii="Times New Roman" w:hAnsi="Times New Roman" w:cs="Times New Roman"/>
                      <w:color w:val="auto"/>
                      <w:szCs w:val="21"/>
                      <w:highlight w:val="none"/>
                      <w:lang w:val="en-US" w:eastAsia="zh-CN"/>
                    </w:rPr>
                    <w:t>t</w:t>
                  </w:r>
                </w:p>
              </w:tc>
            </w:tr>
            <w:tr w14:paraId="1957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5890C52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13</w:t>
                  </w:r>
                </w:p>
              </w:tc>
              <w:tc>
                <w:tcPr>
                  <w:tcW w:w="2264" w:type="dxa"/>
                  <w:vAlign w:val="center"/>
                </w:tcPr>
                <w:p w14:paraId="2CA7D355">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膨润土</w:t>
                  </w:r>
                </w:p>
              </w:tc>
              <w:tc>
                <w:tcPr>
                  <w:tcW w:w="2754" w:type="dxa"/>
                  <w:vAlign w:val="center"/>
                </w:tcPr>
                <w:p w14:paraId="6608B89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00t</w:t>
                  </w:r>
                </w:p>
              </w:tc>
              <w:tc>
                <w:tcPr>
                  <w:tcW w:w="2613" w:type="dxa"/>
                  <w:vAlign w:val="center"/>
                </w:tcPr>
                <w:p w14:paraId="42F489E2">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35</w:t>
                  </w:r>
                  <w:r>
                    <w:rPr>
                      <w:rFonts w:hint="default" w:ascii="Times New Roman" w:hAnsi="Times New Roman" w:cs="Times New Roman"/>
                      <w:color w:val="auto"/>
                      <w:szCs w:val="21"/>
                      <w:highlight w:val="none"/>
                      <w:lang w:val="en-US" w:eastAsia="zh-CN"/>
                    </w:rPr>
                    <w:t>t</w:t>
                  </w:r>
                </w:p>
              </w:tc>
            </w:tr>
            <w:tr w14:paraId="0DF4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075F12BF">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14</w:t>
                  </w:r>
                </w:p>
              </w:tc>
              <w:tc>
                <w:tcPr>
                  <w:tcW w:w="2264" w:type="dxa"/>
                  <w:vAlign w:val="center"/>
                </w:tcPr>
                <w:p w14:paraId="7338C35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煤灰</w:t>
                  </w:r>
                </w:p>
              </w:tc>
              <w:tc>
                <w:tcPr>
                  <w:tcW w:w="2754" w:type="dxa"/>
                  <w:vAlign w:val="center"/>
                </w:tcPr>
                <w:p w14:paraId="70FFA04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t</w:t>
                  </w:r>
                </w:p>
              </w:tc>
              <w:tc>
                <w:tcPr>
                  <w:tcW w:w="2613" w:type="dxa"/>
                  <w:vAlign w:val="center"/>
                </w:tcPr>
                <w:p w14:paraId="21CDD07E">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1t</w:t>
                  </w:r>
                </w:p>
              </w:tc>
            </w:tr>
            <w:tr w14:paraId="6706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70AB74C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15</w:t>
                  </w:r>
                </w:p>
              </w:tc>
              <w:tc>
                <w:tcPr>
                  <w:tcW w:w="2264" w:type="dxa"/>
                  <w:vAlign w:val="center"/>
                </w:tcPr>
                <w:p w14:paraId="2F76EEEB">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固化剂</w:t>
                  </w:r>
                </w:p>
              </w:tc>
              <w:tc>
                <w:tcPr>
                  <w:tcW w:w="2754" w:type="dxa"/>
                  <w:vAlign w:val="center"/>
                </w:tcPr>
                <w:p w14:paraId="73F9832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120</w:t>
                  </w:r>
                  <w:r>
                    <w:rPr>
                      <w:rFonts w:hint="default" w:ascii="Times New Roman" w:hAnsi="Times New Roman" w:cs="Times New Roman"/>
                      <w:color w:val="auto"/>
                      <w:szCs w:val="21"/>
                      <w:highlight w:val="none"/>
                    </w:rPr>
                    <w:t>t</w:t>
                  </w:r>
                </w:p>
              </w:tc>
              <w:tc>
                <w:tcPr>
                  <w:tcW w:w="2613" w:type="dxa"/>
                  <w:vAlign w:val="center"/>
                </w:tcPr>
                <w:p w14:paraId="5CD95EF1">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10</w:t>
                  </w:r>
                  <w:r>
                    <w:rPr>
                      <w:rFonts w:hint="default" w:ascii="Times New Roman" w:hAnsi="Times New Roman" w:cs="Times New Roman"/>
                      <w:color w:val="auto"/>
                      <w:szCs w:val="21"/>
                      <w:highlight w:val="none"/>
                      <w:lang w:val="en-US" w:eastAsia="zh-CN"/>
                    </w:rPr>
                    <w:t>t</w:t>
                  </w:r>
                </w:p>
              </w:tc>
            </w:tr>
            <w:tr w14:paraId="6BC9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7FDD52AE">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16</w:t>
                  </w:r>
                </w:p>
              </w:tc>
              <w:tc>
                <w:tcPr>
                  <w:tcW w:w="2264" w:type="dxa"/>
                  <w:vAlign w:val="center"/>
                </w:tcPr>
                <w:p w14:paraId="6988DF6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钢丸</w:t>
                  </w:r>
                </w:p>
              </w:tc>
              <w:tc>
                <w:tcPr>
                  <w:tcW w:w="2754" w:type="dxa"/>
                  <w:vAlign w:val="center"/>
                </w:tcPr>
                <w:p w14:paraId="72B7455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20t</w:t>
                  </w:r>
                </w:p>
              </w:tc>
              <w:tc>
                <w:tcPr>
                  <w:tcW w:w="2613" w:type="dxa"/>
                  <w:vAlign w:val="center"/>
                </w:tcPr>
                <w:p w14:paraId="0B9853E5">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 w:val="22"/>
                      <w:szCs w:val="22"/>
                      <w:highlight w:val="none"/>
                      <w:lang w:val="en-US" w:eastAsia="zh-CN" w:bidi="ar"/>
                    </w:rPr>
                    <w:t>1</w:t>
                  </w:r>
                  <w:r>
                    <w:rPr>
                      <w:rFonts w:hint="default" w:ascii="Times New Roman" w:hAnsi="Times New Roman" w:cs="Times New Roman"/>
                      <w:color w:val="auto"/>
                      <w:szCs w:val="21"/>
                      <w:highlight w:val="none"/>
                      <w:lang w:val="en-US" w:eastAsia="zh-CN"/>
                    </w:rPr>
                    <w:t>t</w:t>
                  </w:r>
                </w:p>
              </w:tc>
            </w:tr>
            <w:tr w14:paraId="03C1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262B9005">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17</w:t>
                  </w:r>
                </w:p>
              </w:tc>
              <w:tc>
                <w:tcPr>
                  <w:tcW w:w="2264" w:type="dxa"/>
                  <w:vAlign w:val="center"/>
                </w:tcPr>
                <w:p w14:paraId="2562C05C">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泡沫</w:t>
                  </w:r>
                </w:p>
              </w:tc>
              <w:tc>
                <w:tcPr>
                  <w:tcW w:w="2754" w:type="dxa"/>
                  <w:vAlign w:val="center"/>
                </w:tcPr>
                <w:p w14:paraId="7D8CFFA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1t</w:t>
                  </w:r>
                </w:p>
              </w:tc>
              <w:tc>
                <w:tcPr>
                  <w:tcW w:w="2613" w:type="dxa"/>
                  <w:vAlign w:val="center"/>
                </w:tcPr>
                <w:p w14:paraId="792C9C20">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 w:val="22"/>
                      <w:szCs w:val="22"/>
                      <w:highlight w:val="none"/>
                      <w:lang w:bidi="ar"/>
                    </w:rPr>
                    <w:t>0.1</w:t>
                  </w:r>
                  <w:r>
                    <w:rPr>
                      <w:rFonts w:hint="default" w:ascii="Times New Roman" w:hAnsi="Times New Roman" w:cs="Times New Roman"/>
                      <w:color w:val="auto"/>
                      <w:szCs w:val="21"/>
                      <w:highlight w:val="none"/>
                      <w:lang w:val="en-US" w:eastAsia="zh-CN"/>
                    </w:rPr>
                    <w:t>t</w:t>
                  </w:r>
                </w:p>
              </w:tc>
            </w:tr>
            <w:tr w14:paraId="7BE6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390D33EC">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18</w:t>
                  </w:r>
                </w:p>
              </w:tc>
              <w:tc>
                <w:tcPr>
                  <w:tcW w:w="2264" w:type="dxa"/>
                  <w:vAlign w:val="center"/>
                </w:tcPr>
                <w:p w14:paraId="39F1B946">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耐火材料</w:t>
                  </w:r>
                </w:p>
              </w:tc>
              <w:tc>
                <w:tcPr>
                  <w:tcW w:w="2754" w:type="dxa"/>
                  <w:vAlign w:val="center"/>
                </w:tcPr>
                <w:p w14:paraId="7A4D8A2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20</w:t>
                  </w:r>
                  <w:r>
                    <w:rPr>
                      <w:rFonts w:hint="default" w:ascii="Times New Roman" w:hAnsi="Times New Roman" w:cs="Times New Roman"/>
                      <w:color w:val="auto"/>
                      <w:szCs w:val="21"/>
                      <w:highlight w:val="none"/>
                    </w:rPr>
                    <w:t>t</w:t>
                  </w:r>
                </w:p>
              </w:tc>
              <w:tc>
                <w:tcPr>
                  <w:tcW w:w="2613" w:type="dxa"/>
                  <w:vAlign w:val="center"/>
                </w:tcPr>
                <w:p w14:paraId="774CFEF4">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 w:val="22"/>
                      <w:szCs w:val="22"/>
                      <w:highlight w:val="none"/>
                      <w:lang w:val="en-US" w:eastAsia="zh-CN" w:bidi="ar"/>
                    </w:rPr>
                    <w:t>1</w:t>
                  </w:r>
                  <w:r>
                    <w:rPr>
                      <w:rFonts w:hint="default" w:ascii="Times New Roman" w:hAnsi="Times New Roman" w:cs="Times New Roman"/>
                      <w:color w:val="auto"/>
                      <w:szCs w:val="21"/>
                      <w:highlight w:val="none"/>
                      <w:lang w:val="en-US" w:eastAsia="zh-CN"/>
                    </w:rPr>
                    <w:t>t</w:t>
                  </w:r>
                </w:p>
              </w:tc>
            </w:tr>
            <w:tr w14:paraId="3ABA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748" w:type="dxa"/>
                  <w:gridSpan w:val="4"/>
                  <w:vAlign w:val="center"/>
                </w:tcPr>
                <w:p w14:paraId="38458511">
                  <w:pPr>
                    <w:widowControl/>
                    <w:jc w:val="center"/>
                    <w:textAlignment w:val="center"/>
                    <w:rPr>
                      <w:rFonts w:hint="default" w:ascii="Times New Roman" w:hAnsi="Times New Roman" w:cs="Times New Roman"/>
                      <w:b/>
                      <w:bCs/>
                      <w:color w:val="auto"/>
                      <w:kern w:val="0"/>
                      <w:sz w:val="22"/>
                      <w:szCs w:val="22"/>
                      <w:highlight w:val="none"/>
                      <w:lang w:val="en-US" w:eastAsia="zh-CN" w:bidi="ar"/>
                    </w:rPr>
                  </w:pPr>
                  <w:r>
                    <w:rPr>
                      <w:rFonts w:hint="default" w:ascii="Times New Roman" w:hAnsi="Times New Roman" w:cs="Times New Roman"/>
                      <w:b/>
                      <w:bCs/>
                      <w:color w:val="auto"/>
                      <w:kern w:val="0"/>
                      <w:sz w:val="22"/>
                      <w:szCs w:val="22"/>
                      <w:highlight w:val="none"/>
                      <w:lang w:val="en-US" w:eastAsia="zh-CN" w:bidi="ar"/>
                    </w:rPr>
                    <w:t>三期主要原辅材料</w:t>
                  </w:r>
                </w:p>
              </w:tc>
            </w:tr>
            <w:tr w14:paraId="4430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457D3803">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19</w:t>
                  </w:r>
                </w:p>
              </w:tc>
              <w:tc>
                <w:tcPr>
                  <w:tcW w:w="2264" w:type="dxa"/>
                  <w:vAlign w:val="center"/>
                </w:tcPr>
                <w:p w14:paraId="4E3DDA6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冷轧打包料</w:t>
                  </w:r>
                </w:p>
              </w:tc>
              <w:tc>
                <w:tcPr>
                  <w:tcW w:w="2754" w:type="dxa"/>
                  <w:vAlign w:val="center"/>
                </w:tcPr>
                <w:p w14:paraId="6001BBD2">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24</w:t>
                  </w:r>
                  <w:r>
                    <w:rPr>
                      <w:rFonts w:hint="default" w:ascii="Times New Roman" w:hAnsi="Times New Roman" w:cs="Times New Roman"/>
                      <w:color w:val="auto"/>
                      <w:szCs w:val="21"/>
                      <w:highlight w:val="none"/>
                    </w:rPr>
                    <w:t>00m</w:t>
                  </w:r>
                  <w:r>
                    <w:rPr>
                      <w:rFonts w:hint="default" w:ascii="Times New Roman" w:hAnsi="Times New Roman" w:cs="Times New Roman"/>
                      <w:color w:val="auto"/>
                      <w:szCs w:val="21"/>
                      <w:highlight w:val="none"/>
                      <w:vertAlign w:val="superscript"/>
                    </w:rPr>
                    <w:t>3</w:t>
                  </w:r>
                </w:p>
              </w:tc>
              <w:tc>
                <w:tcPr>
                  <w:tcW w:w="2613" w:type="dxa"/>
                  <w:vAlign w:val="center"/>
                </w:tcPr>
                <w:p w14:paraId="187FCAA5">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180</w:t>
                  </w:r>
                  <w:r>
                    <w:rPr>
                      <w:rFonts w:hint="default" w:ascii="Times New Roman" w:hAnsi="Times New Roman" w:cs="Times New Roman"/>
                      <w:color w:val="auto"/>
                      <w:szCs w:val="21"/>
                      <w:highlight w:val="none"/>
                      <w:lang w:val="en-US" w:eastAsia="zh-CN"/>
                    </w:rPr>
                    <w:t>t</w:t>
                  </w:r>
                </w:p>
              </w:tc>
            </w:tr>
            <w:tr w14:paraId="2F8D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7F35A868">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20</w:t>
                  </w:r>
                </w:p>
              </w:tc>
              <w:tc>
                <w:tcPr>
                  <w:tcW w:w="2264" w:type="dxa"/>
                  <w:vAlign w:val="center"/>
                </w:tcPr>
                <w:p w14:paraId="3A997BA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铁粉</w:t>
                  </w:r>
                </w:p>
              </w:tc>
              <w:tc>
                <w:tcPr>
                  <w:tcW w:w="2754" w:type="dxa"/>
                  <w:vAlign w:val="center"/>
                </w:tcPr>
                <w:p w14:paraId="21516C75">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1600</w:t>
                  </w:r>
                  <w:r>
                    <w:rPr>
                      <w:rFonts w:hint="default" w:ascii="Times New Roman" w:hAnsi="Times New Roman" w:cs="Times New Roman"/>
                      <w:color w:val="auto"/>
                      <w:szCs w:val="21"/>
                      <w:highlight w:val="none"/>
                    </w:rPr>
                    <w:t>t</w:t>
                  </w:r>
                </w:p>
              </w:tc>
              <w:tc>
                <w:tcPr>
                  <w:tcW w:w="2613" w:type="dxa"/>
                  <w:vAlign w:val="center"/>
                </w:tcPr>
                <w:p w14:paraId="4CA681BA">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150</w:t>
                  </w:r>
                  <w:r>
                    <w:rPr>
                      <w:rFonts w:hint="default" w:ascii="Times New Roman" w:hAnsi="Times New Roman" w:cs="Times New Roman"/>
                      <w:color w:val="auto"/>
                      <w:szCs w:val="21"/>
                      <w:highlight w:val="none"/>
                      <w:lang w:val="en-US" w:eastAsia="zh-CN"/>
                    </w:rPr>
                    <w:t>t</w:t>
                  </w:r>
                </w:p>
              </w:tc>
            </w:tr>
            <w:tr w14:paraId="0682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18DD4870">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21</w:t>
                  </w:r>
                </w:p>
              </w:tc>
              <w:tc>
                <w:tcPr>
                  <w:tcW w:w="2264" w:type="dxa"/>
                  <w:vAlign w:val="center"/>
                </w:tcPr>
                <w:p w14:paraId="55E888A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原生铁</w:t>
                  </w:r>
                </w:p>
              </w:tc>
              <w:tc>
                <w:tcPr>
                  <w:tcW w:w="2754" w:type="dxa"/>
                  <w:vAlign w:val="center"/>
                </w:tcPr>
                <w:p w14:paraId="714A7751">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3800</w:t>
                  </w:r>
                  <w:r>
                    <w:rPr>
                      <w:rFonts w:hint="default" w:ascii="Times New Roman" w:hAnsi="Times New Roman" w:cs="Times New Roman"/>
                      <w:color w:val="auto"/>
                      <w:szCs w:val="21"/>
                      <w:highlight w:val="none"/>
                    </w:rPr>
                    <w:t>t</w:t>
                  </w:r>
                </w:p>
              </w:tc>
              <w:tc>
                <w:tcPr>
                  <w:tcW w:w="2613" w:type="dxa"/>
                  <w:vAlign w:val="center"/>
                </w:tcPr>
                <w:p w14:paraId="1B569E24">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300</w:t>
                  </w:r>
                  <w:r>
                    <w:rPr>
                      <w:rFonts w:hint="default" w:ascii="Times New Roman" w:hAnsi="Times New Roman" w:cs="Times New Roman"/>
                      <w:color w:val="auto"/>
                      <w:szCs w:val="21"/>
                      <w:highlight w:val="none"/>
                      <w:lang w:val="en-US" w:eastAsia="zh-CN"/>
                    </w:rPr>
                    <w:t>t</w:t>
                  </w:r>
                </w:p>
              </w:tc>
            </w:tr>
            <w:tr w14:paraId="220C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31FCDBB4">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22</w:t>
                  </w:r>
                </w:p>
              </w:tc>
              <w:tc>
                <w:tcPr>
                  <w:tcW w:w="2264" w:type="dxa"/>
                  <w:vAlign w:val="center"/>
                </w:tcPr>
                <w:p w14:paraId="7C62063A">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球化剂</w:t>
                  </w:r>
                </w:p>
              </w:tc>
              <w:tc>
                <w:tcPr>
                  <w:tcW w:w="2754" w:type="dxa"/>
                  <w:vAlign w:val="center"/>
                </w:tcPr>
                <w:p w14:paraId="421B47AA">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64</w:t>
                  </w:r>
                  <w:r>
                    <w:rPr>
                      <w:rFonts w:hint="default" w:ascii="Times New Roman" w:hAnsi="Times New Roman" w:cs="Times New Roman"/>
                      <w:color w:val="auto"/>
                      <w:szCs w:val="21"/>
                      <w:highlight w:val="none"/>
                    </w:rPr>
                    <w:t>t</w:t>
                  </w:r>
                </w:p>
              </w:tc>
              <w:tc>
                <w:tcPr>
                  <w:tcW w:w="2613" w:type="dxa"/>
                  <w:vAlign w:val="center"/>
                </w:tcPr>
                <w:p w14:paraId="16974997">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5</w:t>
                  </w:r>
                  <w:r>
                    <w:rPr>
                      <w:rFonts w:hint="default" w:ascii="Times New Roman" w:hAnsi="Times New Roman" w:cs="Times New Roman"/>
                      <w:color w:val="auto"/>
                      <w:szCs w:val="21"/>
                      <w:highlight w:val="none"/>
                      <w:lang w:val="en-US" w:eastAsia="zh-CN"/>
                    </w:rPr>
                    <w:t>t</w:t>
                  </w:r>
                </w:p>
              </w:tc>
            </w:tr>
            <w:tr w14:paraId="064E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5584AF74">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23</w:t>
                  </w:r>
                </w:p>
              </w:tc>
              <w:tc>
                <w:tcPr>
                  <w:tcW w:w="2264" w:type="dxa"/>
                  <w:vAlign w:val="center"/>
                </w:tcPr>
                <w:p w14:paraId="6BD8DE16">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孕育剂</w:t>
                  </w:r>
                </w:p>
              </w:tc>
              <w:tc>
                <w:tcPr>
                  <w:tcW w:w="2754" w:type="dxa"/>
                  <w:vAlign w:val="center"/>
                </w:tcPr>
                <w:p w14:paraId="64D71D14">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48</w:t>
                  </w:r>
                  <w:r>
                    <w:rPr>
                      <w:rFonts w:hint="default" w:ascii="Times New Roman" w:hAnsi="Times New Roman" w:cs="Times New Roman"/>
                      <w:color w:val="auto"/>
                      <w:szCs w:val="21"/>
                      <w:highlight w:val="none"/>
                    </w:rPr>
                    <w:t>t</w:t>
                  </w:r>
                </w:p>
              </w:tc>
              <w:tc>
                <w:tcPr>
                  <w:tcW w:w="2613" w:type="dxa"/>
                  <w:vAlign w:val="center"/>
                </w:tcPr>
                <w:p w14:paraId="39A317FE">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5</w:t>
                  </w:r>
                  <w:r>
                    <w:rPr>
                      <w:rFonts w:hint="default" w:ascii="Times New Roman" w:hAnsi="Times New Roman" w:cs="Times New Roman"/>
                      <w:color w:val="auto"/>
                      <w:szCs w:val="21"/>
                      <w:highlight w:val="none"/>
                      <w:lang w:val="en-US" w:eastAsia="zh-CN"/>
                    </w:rPr>
                    <w:t>t</w:t>
                  </w:r>
                </w:p>
              </w:tc>
            </w:tr>
            <w:tr w14:paraId="7A40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7CFACD1A">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24</w:t>
                  </w:r>
                </w:p>
              </w:tc>
              <w:tc>
                <w:tcPr>
                  <w:tcW w:w="2264" w:type="dxa"/>
                  <w:vAlign w:val="center"/>
                </w:tcPr>
                <w:p w14:paraId="1014D5DE">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增碳剂</w:t>
                  </w:r>
                </w:p>
              </w:tc>
              <w:tc>
                <w:tcPr>
                  <w:tcW w:w="2754" w:type="dxa"/>
                  <w:vAlign w:val="center"/>
                </w:tcPr>
                <w:p w14:paraId="653112CD">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420</w:t>
                  </w:r>
                  <w:r>
                    <w:rPr>
                      <w:rFonts w:hint="default" w:ascii="Times New Roman" w:hAnsi="Times New Roman" w:cs="Times New Roman"/>
                      <w:color w:val="auto"/>
                      <w:szCs w:val="21"/>
                      <w:highlight w:val="none"/>
                    </w:rPr>
                    <w:t>t</w:t>
                  </w:r>
                </w:p>
              </w:tc>
              <w:tc>
                <w:tcPr>
                  <w:tcW w:w="2613" w:type="dxa"/>
                  <w:vAlign w:val="center"/>
                </w:tcPr>
                <w:p w14:paraId="6A64B553">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35</w:t>
                  </w:r>
                  <w:r>
                    <w:rPr>
                      <w:rFonts w:hint="default" w:ascii="Times New Roman" w:hAnsi="Times New Roman" w:cs="Times New Roman"/>
                      <w:color w:val="auto"/>
                      <w:szCs w:val="21"/>
                      <w:highlight w:val="none"/>
                      <w:lang w:val="en-US" w:eastAsia="zh-CN"/>
                    </w:rPr>
                    <w:t>t</w:t>
                  </w:r>
                </w:p>
              </w:tc>
            </w:tr>
            <w:tr w14:paraId="65A9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33E64A2F">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w:t>
                  </w:r>
                </w:p>
              </w:tc>
              <w:tc>
                <w:tcPr>
                  <w:tcW w:w="2264" w:type="dxa"/>
                  <w:vAlign w:val="center"/>
                </w:tcPr>
                <w:p w14:paraId="5B0AEF8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硅铁</w:t>
                  </w:r>
                </w:p>
              </w:tc>
              <w:tc>
                <w:tcPr>
                  <w:tcW w:w="2754" w:type="dxa"/>
                  <w:vAlign w:val="center"/>
                </w:tcPr>
                <w:p w14:paraId="7430496B">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224</w:t>
                  </w:r>
                  <w:r>
                    <w:rPr>
                      <w:rFonts w:hint="default" w:ascii="Times New Roman" w:hAnsi="Times New Roman" w:cs="Times New Roman"/>
                      <w:color w:val="auto"/>
                      <w:szCs w:val="21"/>
                      <w:highlight w:val="none"/>
                    </w:rPr>
                    <w:t>t</w:t>
                  </w:r>
                </w:p>
              </w:tc>
              <w:tc>
                <w:tcPr>
                  <w:tcW w:w="2613" w:type="dxa"/>
                  <w:vAlign w:val="center"/>
                </w:tcPr>
                <w:p w14:paraId="7C3A587A">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20</w:t>
                  </w:r>
                  <w:r>
                    <w:rPr>
                      <w:rFonts w:hint="default" w:ascii="Times New Roman" w:hAnsi="Times New Roman" w:cs="Times New Roman"/>
                      <w:color w:val="auto"/>
                      <w:szCs w:val="21"/>
                      <w:highlight w:val="none"/>
                      <w:lang w:val="en-US" w:eastAsia="zh-CN"/>
                    </w:rPr>
                    <w:t>t</w:t>
                  </w:r>
                </w:p>
              </w:tc>
            </w:tr>
            <w:tr w14:paraId="323D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211DDE6F">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26</w:t>
                  </w:r>
                </w:p>
              </w:tc>
              <w:tc>
                <w:tcPr>
                  <w:tcW w:w="2264" w:type="dxa"/>
                  <w:vAlign w:val="center"/>
                </w:tcPr>
                <w:p w14:paraId="5290814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石英砂</w:t>
                  </w:r>
                </w:p>
              </w:tc>
              <w:tc>
                <w:tcPr>
                  <w:tcW w:w="2754" w:type="dxa"/>
                  <w:vAlign w:val="center"/>
                </w:tcPr>
                <w:p w14:paraId="799BFB78">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200</w:t>
                  </w:r>
                  <w:r>
                    <w:rPr>
                      <w:rFonts w:hint="default" w:ascii="Times New Roman" w:hAnsi="Times New Roman" w:cs="Times New Roman"/>
                      <w:color w:val="auto"/>
                      <w:szCs w:val="21"/>
                      <w:highlight w:val="none"/>
                    </w:rPr>
                    <w:t>t</w:t>
                  </w:r>
                </w:p>
              </w:tc>
              <w:tc>
                <w:tcPr>
                  <w:tcW w:w="2613" w:type="dxa"/>
                  <w:vAlign w:val="center"/>
                </w:tcPr>
                <w:p w14:paraId="405547EF">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15</w:t>
                  </w:r>
                  <w:r>
                    <w:rPr>
                      <w:rFonts w:hint="default" w:ascii="Times New Roman" w:hAnsi="Times New Roman" w:cs="Times New Roman"/>
                      <w:color w:val="auto"/>
                      <w:szCs w:val="21"/>
                      <w:highlight w:val="none"/>
                      <w:lang w:val="en-US" w:eastAsia="zh-CN"/>
                    </w:rPr>
                    <w:t>t</w:t>
                  </w:r>
                </w:p>
              </w:tc>
            </w:tr>
            <w:tr w14:paraId="5576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5A3A33D8">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27</w:t>
                  </w:r>
                </w:p>
              </w:tc>
              <w:tc>
                <w:tcPr>
                  <w:tcW w:w="2264" w:type="dxa"/>
                  <w:vAlign w:val="center"/>
                </w:tcPr>
                <w:p w14:paraId="3646721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膨润土</w:t>
                  </w:r>
                </w:p>
              </w:tc>
              <w:tc>
                <w:tcPr>
                  <w:tcW w:w="2754" w:type="dxa"/>
                  <w:vAlign w:val="center"/>
                </w:tcPr>
                <w:p w14:paraId="178EBC6A">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00t</w:t>
                  </w:r>
                </w:p>
              </w:tc>
              <w:tc>
                <w:tcPr>
                  <w:tcW w:w="2613" w:type="dxa"/>
                  <w:vAlign w:val="center"/>
                </w:tcPr>
                <w:p w14:paraId="34B80F8C">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35</w:t>
                  </w:r>
                  <w:r>
                    <w:rPr>
                      <w:rFonts w:hint="default" w:ascii="Times New Roman" w:hAnsi="Times New Roman" w:cs="Times New Roman"/>
                      <w:color w:val="auto"/>
                      <w:szCs w:val="21"/>
                      <w:highlight w:val="none"/>
                      <w:lang w:val="en-US" w:eastAsia="zh-CN"/>
                    </w:rPr>
                    <w:t>t</w:t>
                  </w:r>
                </w:p>
              </w:tc>
            </w:tr>
            <w:tr w14:paraId="75BE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76660D1B">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28</w:t>
                  </w:r>
                </w:p>
              </w:tc>
              <w:tc>
                <w:tcPr>
                  <w:tcW w:w="2264" w:type="dxa"/>
                  <w:vAlign w:val="center"/>
                </w:tcPr>
                <w:p w14:paraId="7CD4F11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煤灰</w:t>
                  </w:r>
                </w:p>
              </w:tc>
              <w:tc>
                <w:tcPr>
                  <w:tcW w:w="2754" w:type="dxa"/>
                  <w:vAlign w:val="center"/>
                </w:tcPr>
                <w:p w14:paraId="40AD66D4">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t</w:t>
                  </w:r>
                </w:p>
              </w:tc>
              <w:tc>
                <w:tcPr>
                  <w:tcW w:w="2613" w:type="dxa"/>
                  <w:vAlign w:val="center"/>
                </w:tcPr>
                <w:p w14:paraId="79524C6C">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szCs w:val="21"/>
                      <w:highlight w:val="none"/>
                      <w:lang w:val="en-US" w:eastAsia="zh-CN"/>
                    </w:rPr>
                    <w:t>1t</w:t>
                  </w:r>
                </w:p>
              </w:tc>
            </w:tr>
            <w:tr w14:paraId="1C60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17" w:type="dxa"/>
                  <w:vAlign w:val="center"/>
                </w:tcPr>
                <w:p w14:paraId="11D18008">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29</w:t>
                  </w:r>
                </w:p>
              </w:tc>
              <w:tc>
                <w:tcPr>
                  <w:tcW w:w="2264" w:type="dxa"/>
                  <w:vAlign w:val="center"/>
                </w:tcPr>
                <w:p w14:paraId="4E7C0D0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固化剂</w:t>
                  </w:r>
                </w:p>
              </w:tc>
              <w:tc>
                <w:tcPr>
                  <w:tcW w:w="2754" w:type="dxa"/>
                  <w:vAlign w:val="center"/>
                </w:tcPr>
                <w:p w14:paraId="7AFDDBEC">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120</w:t>
                  </w:r>
                  <w:r>
                    <w:rPr>
                      <w:rFonts w:hint="default" w:ascii="Times New Roman" w:hAnsi="Times New Roman" w:cs="Times New Roman"/>
                      <w:color w:val="auto"/>
                      <w:szCs w:val="21"/>
                      <w:highlight w:val="none"/>
                    </w:rPr>
                    <w:t>t</w:t>
                  </w:r>
                </w:p>
              </w:tc>
              <w:tc>
                <w:tcPr>
                  <w:tcW w:w="2613" w:type="dxa"/>
                  <w:vAlign w:val="center"/>
                </w:tcPr>
                <w:p w14:paraId="62510C2D">
                  <w:pPr>
                    <w:widowControl/>
                    <w:jc w:val="center"/>
                    <w:textAlignment w:val="center"/>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kern w:val="0"/>
                      <w:sz w:val="22"/>
                      <w:szCs w:val="22"/>
                      <w:highlight w:val="none"/>
                      <w:lang w:val="en-US" w:eastAsia="zh-CN" w:bidi="ar"/>
                    </w:rPr>
                    <w:t>10</w:t>
                  </w:r>
                  <w:r>
                    <w:rPr>
                      <w:rFonts w:hint="default" w:ascii="Times New Roman" w:hAnsi="Times New Roman" w:cs="Times New Roman"/>
                      <w:color w:val="auto"/>
                      <w:szCs w:val="21"/>
                      <w:highlight w:val="none"/>
                      <w:lang w:val="en-US" w:eastAsia="zh-CN"/>
                    </w:rPr>
                    <w:t>t</w:t>
                  </w:r>
                </w:p>
              </w:tc>
            </w:tr>
          </w:tbl>
          <w:p w14:paraId="0CCCC15A">
            <w:pPr>
              <w:pStyle w:val="2"/>
              <w:rPr>
                <w:rFonts w:hint="default" w:ascii="Times New Roman" w:hAnsi="Times New Roman" w:cs="Times New Roman"/>
                <w:b/>
                <w:bCs/>
                <w:color w:val="auto"/>
                <w:szCs w:val="21"/>
              </w:rPr>
            </w:pPr>
          </w:p>
          <w:p w14:paraId="06B9DF58">
            <w:pPr>
              <w:pStyle w:val="10"/>
              <w:spacing w:line="360" w:lineRule="auto"/>
              <w:ind w:firstLine="480" w:firstLineChars="20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t>原项目设备情况见下表：</w:t>
            </w:r>
          </w:p>
          <w:p w14:paraId="510B53D2">
            <w:pPr>
              <w:keepNext/>
              <w:widowControl/>
              <w:spacing w:line="360" w:lineRule="auto"/>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2-13</w:t>
            </w:r>
            <w:r>
              <w:rPr>
                <w:rFonts w:hint="default" w:ascii="Times New Roman" w:hAnsi="Times New Roman" w:cs="Times New Roman"/>
                <w:b/>
                <w:bCs/>
                <w:color w:val="auto"/>
                <w:sz w:val="24"/>
                <w:szCs w:val="24"/>
              </w:rPr>
              <w:t xml:space="preserve">  原有项目</w:t>
            </w:r>
            <w:r>
              <w:rPr>
                <w:rFonts w:hint="default" w:ascii="Times New Roman" w:hAnsi="Times New Roman" w:cs="Times New Roman"/>
                <w:b/>
                <w:bCs/>
                <w:color w:val="auto"/>
                <w:sz w:val="24"/>
                <w:szCs w:val="24"/>
                <w:lang w:val="en-US" w:eastAsia="zh-CN"/>
              </w:rPr>
              <w:t>设备</w:t>
            </w:r>
            <w:r>
              <w:rPr>
                <w:rFonts w:hint="default" w:ascii="Times New Roman" w:hAnsi="Times New Roman" w:cs="Times New Roman"/>
                <w:b/>
                <w:bCs/>
                <w:color w:val="auto"/>
                <w:sz w:val="24"/>
                <w:szCs w:val="24"/>
              </w:rPr>
              <w:t>情况一览表</w:t>
            </w:r>
          </w:p>
          <w:tbl>
            <w:tblPr>
              <w:tblStyle w:val="27"/>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2346"/>
              <w:gridCol w:w="2713"/>
              <w:gridCol w:w="2612"/>
            </w:tblGrid>
            <w:tr w14:paraId="7DF0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122" w:type="dxa"/>
                  <w:vAlign w:val="center"/>
                </w:tcPr>
                <w:p w14:paraId="3445B960">
                  <w:pPr>
                    <w:pStyle w:val="42"/>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2346" w:type="dxa"/>
                  <w:vAlign w:val="center"/>
                </w:tcPr>
                <w:p w14:paraId="5F6AAB10">
                  <w:pPr>
                    <w:pStyle w:val="42"/>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设备名称</w:t>
                  </w:r>
                </w:p>
              </w:tc>
              <w:tc>
                <w:tcPr>
                  <w:tcW w:w="2713" w:type="dxa"/>
                  <w:vAlign w:val="center"/>
                </w:tcPr>
                <w:p w14:paraId="3CDB7C61">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规格参数、材质</w:t>
                  </w:r>
                </w:p>
              </w:tc>
              <w:tc>
                <w:tcPr>
                  <w:tcW w:w="2612" w:type="dxa"/>
                  <w:vAlign w:val="center"/>
                </w:tcPr>
                <w:p w14:paraId="30FA3198">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数量</w:t>
                  </w:r>
                </w:p>
              </w:tc>
            </w:tr>
            <w:tr w14:paraId="5EC4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8793" w:type="dxa"/>
                  <w:gridSpan w:val="4"/>
                  <w:vAlign w:val="center"/>
                </w:tcPr>
                <w:p w14:paraId="099A9417">
                  <w:pPr>
                    <w:adjustRightInd w:val="0"/>
                    <w:snapToGrid w:val="0"/>
                    <w:jc w:val="center"/>
                    <w:rPr>
                      <w:rFonts w:hint="default" w:ascii="Times New Roman" w:hAnsi="Times New Roman" w:cs="Times New Roman"/>
                      <w:b/>
                      <w:bCs/>
                      <w:color w:val="auto"/>
                      <w:kern w:val="0"/>
                      <w:szCs w:val="21"/>
                      <w:highlight w:val="none"/>
                      <w:lang w:val="en-US" w:eastAsia="zh-CN"/>
                    </w:rPr>
                  </w:pPr>
                  <w:r>
                    <w:rPr>
                      <w:rFonts w:hint="default" w:ascii="Times New Roman" w:hAnsi="Times New Roman" w:cs="Times New Roman"/>
                      <w:b/>
                      <w:bCs/>
                      <w:color w:val="auto"/>
                      <w:kern w:val="0"/>
                      <w:szCs w:val="21"/>
                      <w:highlight w:val="none"/>
                      <w:lang w:val="en-US" w:eastAsia="zh-CN"/>
                    </w:rPr>
                    <w:t>一期设备情况</w:t>
                  </w:r>
                </w:p>
              </w:tc>
            </w:tr>
            <w:tr w14:paraId="18FE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22" w:type="dxa"/>
                  <w:vAlign w:val="center"/>
                </w:tcPr>
                <w:p w14:paraId="77572BAB">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w:t>
                  </w:r>
                </w:p>
              </w:tc>
              <w:tc>
                <w:tcPr>
                  <w:tcW w:w="2346" w:type="dxa"/>
                  <w:vAlign w:val="center"/>
                </w:tcPr>
                <w:p w14:paraId="7C5DBDB4">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中频炉</w:t>
                  </w:r>
                </w:p>
              </w:tc>
              <w:tc>
                <w:tcPr>
                  <w:tcW w:w="2713" w:type="dxa"/>
                  <w:vAlign w:val="center"/>
                </w:tcPr>
                <w:p w14:paraId="4C787FDC">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0.2</w:t>
                  </w:r>
                  <w:r>
                    <w:rPr>
                      <w:rFonts w:hint="default" w:ascii="Times New Roman" w:hAnsi="Times New Roman" w:cs="Times New Roman"/>
                      <w:color w:val="auto"/>
                      <w:highlight w:val="none"/>
                    </w:rPr>
                    <w:t>t/h</w:t>
                  </w:r>
                </w:p>
              </w:tc>
              <w:tc>
                <w:tcPr>
                  <w:tcW w:w="2612" w:type="dxa"/>
                  <w:vAlign w:val="center"/>
                </w:tcPr>
                <w:p w14:paraId="253FECB6">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1台</w:t>
                  </w:r>
                </w:p>
              </w:tc>
            </w:tr>
            <w:tr w14:paraId="5566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22" w:type="dxa"/>
                  <w:vAlign w:val="center"/>
                </w:tcPr>
                <w:p w14:paraId="265CCF72">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w:t>
                  </w:r>
                </w:p>
              </w:tc>
              <w:tc>
                <w:tcPr>
                  <w:tcW w:w="2346" w:type="dxa"/>
                  <w:vAlign w:val="center"/>
                </w:tcPr>
                <w:p w14:paraId="360BF1EC">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中频炉</w:t>
                  </w:r>
                </w:p>
              </w:tc>
              <w:tc>
                <w:tcPr>
                  <w:tcW w:w="2713" w:type="dxa"/>
                  <w:vAlign w:val="center"/>
                </w:tcPr>
                <w:p w14:paraId="27B988CE">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0.15</w:t>
                  </w:r>
                  <w:r>
                    <w:rPr>
                      <w:rFonts w:hint="default" w:ascii="Times New Roman" w:hAnsi="Times New Roman" w:cs="Times New Roman"/>
                      <w:color w:val="auto"/>
                      <w:highlight w:val="none"/>
                    </w:rPr>
                    <w:t>t/h</w:t>
                  </w:r>
                </w:p>
              </w:tc>
              <w:tc>
                <w:tcPr>
                  <w:tcW w:w="2612" w:type="dxa"/>
                  <w:vAlign w:val="center"/>
                </w:tcPr>
                <w:p w14:paraId="628D4EA0">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1台</w:t>
                  </w:r>
                </w:p>
              </w:tc>
            </w:tr>
            <w:tr w14:paraId="3B72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22" w:type="dxa"/>
                  <w:vAlign w:val="center"/>
                </w:tcPr>
                <w:p w14:paraId="50C0051D">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w:t>
                  </w:r>
                </w:p>
              </w:tc>
              <w:tc>
                <w:tcPr>
                  <w:tcW w:w="2346" w:type="dxa"/>
                  <w:vAlign w:val="center"/>
                </w:tcPr>
                <w:p w14:paraId="27A86784">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混砂机</w:t>
                  </w:r>
                </w:p>
              </w:tc>
              <w:tc>
                <w:tcPr>
                  <w:tcW w:w="2713" w:type="dxa"/>
                  <w:vAlign w:val="center"/>
                </w:tcPr>
                <w:p w14:paraId="1E92E6ED">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功率55kw</w:t>
                  </w:r>
                </w:p>
              </w:tc>
              <w:tc>
                <w:tcPr>
                  <w:tcW w:w="2612" w:type="dxa"/>
                  <w:vAlign w:val="center"/>
                </w:tcPr>
                <w:p w14:paraId="5C3D8369">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1台</w:t>
                  </w:r>
                </w:p>
              </w:tc>
            </w:tr>
            <w:tr w14:paraId="6481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22" w:type="dxa"/>
                  <w:vAlign w:val="center"/>
                </w:tcPr>
                <w:p w14:paraId="5D56A6CE">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w:t>
                  </w:r>
                </w:p>
              </w:tc>
              <w:tc>
                <w:tcPr>
                  <w:tcW w:w="2346" w:type="dxa"/>
                  <w:vAlign w:val="center"/>
                </w:tcPr>
                <w:p w14:paraId="7F1C6B04">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抛丸机</w:t>
                  </w:r>
                </w:p>
              </w:tc>
              <w:tc>
                <w:tcPr>
                  <w:tcW w:w="2713" w:type="dxa"/>
                  <w:vAlign w:val="center"/>
                </w:tcPr>
                <w:p w14:paraId="022567DC">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功率35kw</w:t>
                  </w:r>
                </w:p>
              </w:tc>
              <w:tc>
                <w:tcPr>
                  <w:tcW w:w="2612" w:type="dxa"/>
                  <w:vAlign w:val="center"/>
                </w:tcPr>
                <w:p w14:paraId="21624299">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r>
            <w:tr w14:paraId="55C6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22" w:type="dxa"/>
                  <w:vAlign w:val="center"/>
                </w:tcPr>
                <w:p w14:paraId="338FB763">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5</w:t>
                  </w:r>
                </w:p>
              </w:tc>
              <w:tc>
                <w:tcPr>
                  <w:tcW w:w="2346" w:type="dxa"/>
                  <w:vAlign w:val="center"/>
                </w:tcPr>
                <w:p w14:paraId="59C27D3D">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车床</w:t>
                  </w:r>
                </w:p>
              </w:tc>
              <w:tc>
                <w:tcPr>
                  <w:tcW w:w="2713" w:type="dxa"/>
                  <w:vAlign w:val="center"/>
                </w:tcPr>
                <w:p w14:paraId="1D0531E2">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功率4.5kw</w:t>
                  </w:r>
                </w:p>
              </w:tc>
              <w:tc>
                <w:tcPr>
                  <w:tcW w:w="2612" w:type="dxa"/>
                  <w:vAlign w:val="center"/>
                </w:tcPr>
                <w:p w14:paraId="3C7E1D43">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5台</w:t>
                  </w:r>
                </w:p>
              </w:tc>
            </w:tr>
            <w:tr w14:paraId="4A9B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22" w:type="dxa"/>
                  <w:vAlign w:val="center"/>
                </w:tcPr>
                <w:p w14:paraId="3A8E3ABE">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6</w:t>
                  </w:r>
                </w:p>
              </w:tc>
              <w:tc>
                <w:tcPr>
                  <w:tcW w:w="2346" w:type="dxa"/>
                  <w:vAlign w:val="center"/>
                </w:tcPr>
                <w:p w14:paraId="42850C0C">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带锯</w:t>
                  </w:r>
                </w:p>
              </w:tc>
              <w:tc>
                <w:tcPr>
                  <w:tcW w:w="2713" w:type="dxa"/>
                  <w:vAlign w:val="center"/>
                </w:tcPr>
                <w:p w14:paraId="45CC4C5D">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功率7.5kw</w:t>
                  </w:r>
                </w:p>
              </w:tc>
              <w:tc>
                <w:tcPr>
                  <w:tcW w:w="2612" w:type="dxa"/>
                  <w:vAlign w:val="center"/>
                </w:tcPr>
                <w:p w14:paraId="721E1C20">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2台</w:t>
                  </w:r>
                </w:p>
              </w:tc>
            </w:tr>
            <w:tr w14:paraId="779D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22" w:type="dxa"/>
                  <w:vAlign w:val="center"/>
                </w:tcPr>
                <w:p w14:paraId="765D6610">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7</w:t>
                  </w:r>
                </w:p>
              </w:tc>
              <w:tc>
                <w:tcPr>
                  <w:tcW w:w="2346" w:type="dxa"/>
                  <w:vAlign w:val="center"/>
                </w:tcPr>
                <w:p w14:paraId="2EE61C78">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数控机床</w:t>
                  </w:r>
                </w:p>
              </w:tc>
              <w:tc>
                <w:tcPr>
                  <w:tcW w:w="2713" w:type="dxa"/>
                  <w:vAlign w:val="center"/>
                </w:tcPr>
                <w:p w14:paraId="5D550D5D">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功率41.5kw</w:t>
                  </w:r>
                </w:p>
              </w:tc>
              <w:tc>
                <w:tcPr>
                  <w:tcW w:w="2612" w:type="dxa"/>
                  <w:vAlign w:val="center"/>
                </w:tcPr>
                <w:p w14:paraId="5AE9A2EE">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3台</w:t>
                  </w:r>
                </w:p>
              </w:tc>
            </w:tr>
            <w:tr w14:paraId="6A3C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22" w:type="dxa"/>
                  <w:vAlign w:val="center"/>
                </w:tcPr>
                <w:p w14:paraId="26AFB115">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8</w:t>
                  </w:r>
                </w:p>
              </w:tc>
              <w:tc>
                <w:tcPr>
                  <w:tcW w:w="2346" w:type="dxa"/>
                  <w:vAlign w:val="center"/>
                </w:tcPr>
                <w:p w14:paraId="2A5E7311">
                  <w:pPr>
                    <w:adjustRightInd w:val="0"/>
                    <w:snapToGrid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铣床</w:t>
                  </w:r>
                </w:p>
              </w:tc>
              <w:tc>
                <w:tcPr>
                  <w:tcW w:w="2713" w:type="dxa"/>
                  <w:vAlign w:val="center"/>
                </w:tcPr>
                <w:p w14:paraId="649AACF4">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功率4kw</w:t>
                  </w:r>
                </w:p>
              </w:tc>
              <w:tc>
                <w:tcPr>
                  <w:tcW w:w="2612" w:type="dxa"/>
                  <w:vAlign w:val="center"/>
                </w:tcPr>
                <w:p w14:paraId="547BAD14">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5台</w:t>
                  </w:r>
                </w:p>
              </w:tc>
            </w:tr>
            <w:tr w14:paraId="002C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22" w:type="dxa"/>
                  <w:vAlign w:val="center"/>
                </w:tcPr>
                <w:p w14:paraId="67D131CC">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9</w:t>
                  </w:r>
                </w:p>
              </w:tc>
              <w:tc>
                <w:tcPr>
                  <w:tcW w:w="2346" w:type="dxa"/>
                  <w:vAlign w:val="center"/>
                </w:tcPr>
                <w:p w14:paraId="0A39A8F0">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摇臂钻床</w:t>
                  </w:r>
                </w:p>
              </w:tc>
              <w:tc>
                <w:tcPr>
                  <w:tcW w:w="2713" w:type="dxa"/>
                  <w:vAlign w:val="center"/>
                </w:tcPr>
                <w:p w14:paraId="6277D2C3">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功率4.5kw</w:t>
                  </w:r>
                </w:p>
              </w:tc>
              <w:tc>
                <w:tcPr>
                  <w:tcW w:w="2612" w:type="dxa"/>
                  <w:vAlign w:val="center"/>
                </w:tcPr>
                <w:p w14:paraId="2EC818F3">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5台</w:t>
                  </w:r>
                </w:p>
              </w:tc>
            </w:tr>
            <w:tr w14:paraId="5C7F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8793" w:type="dxa"/>
                  <w:gridSpan w:val="4"/>
                  <w:vAlign w:val="center"/>
                </w:tcPr>
                <w:p w14:paraId="3FAA67CF">
                  <w:pPr>
                    <w:adjustRightInd w:val="0"/>
                    <w:snapToGrid w:val="0"/>
                    <w:jc w:val="center"/>
                    <w:rPr>
                      <w:rFonts w:hint="default" w:ascii="Times New Roman" w:hAnsi="Times New Roman" w:cs="Times New Roman"/>
                      <w:b/>
                      <w:bCs/>
                      <w:color w:val="auto"/>
                      <w:kern w:val="0"/>
                      <w:szCs w:val="21"/>
                      <w:highlight w:val="none"/>
                      <w:lang w:val="en-US" w:eastAsia="zh-CN"/>
                    </w:rPr>
                  </w:pPr>
                  <w:r>
                    <w:rPr>
                      <w:rFonts w:hint="default" w:ascii="Times New Roman" w:hAnsi="Times New Roman" w:cs="Times New Roman"/>
                      <w:b/>
                      <w:bCs/>
                      <w:color w:val="auto"/>
                      <w:kern w:val="0"/>
                      <w:szCs w:val="21"/>
                      <w:highlight w:val="none"/>
                      <w:lang w:val="en-US" w:eastAsia="zh-CN"/>
                    </w:rPr>
                    <w:t>二期设备情况</w:t>
                  </w:r>
                </w:p>
              </w:tc>
            </w:tr>
            <w:tr w14:paraId="7AD3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22" w:type="dxa"/>
                  <w:vAlign w:val="center"/>
                </w:tcPr>
                <w:p w14:paraId="67B7D33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10</w:t>
                  </w:r>
                </w:p>
              </w:tc>
              <w:tc>
                <w:tcPr>
                  <w:tcW w:w="2346" w:type="dxa"/>
                  <w:vAlign w:val="center"/>
                </w:tcPr>
                <w:p w14:paraId="5131D2BD">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中频炉</w:t>
                  </w:r>
                </w:p>
              </w:tc>
              <w:tc>
                <w:tcPr>
                  <w:tcW w:w="2713" w:type="dxa"/>
                  <w:vAlign w:val="center"/>
                </w:tcPr>
                <w:p w14:paraId="08931A9D">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0.75t/h</w:t>
                  </w:r>
                </w:p>
              </w:tc>
              <w:tc>
                <w:tcPr>
                  <w:tcW w:w="2612" w:type="dxa"/>
                  <w:vAlign w:val="center"/>
                </w:tcPr>
                <w:p w14:paraId="4AE33047">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r>
            <w:tr w14:paraId="7C17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22" w:type="dxa"/>
                  <w:vAlign w:val="center"/>
                </w:tcPr>
                <w:p w14:paraId="27F17D3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11</w:t>
                  </w:r>
                </w:p>
              </w:tc>
              <w:tc>
                <w:tcPr>
                  <w:tcW w:w="2346" w:type="dxa"/>
                  <w:vAlign w:val="center"/>
                </w:tcPr>
                <w:p w14:paraId="194CECB7">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混砂机</w:t>
                  </w:r>
                </w:p>
              </w:tc>
              <w:tc>
                <w:tcPr>
                  <w:tcW w:w="2713" w:type="dxa"/>
                  <w:vAlign w:val="center"/>
                </w:tcPr>
                <w:p w14:paraId="0A02BA6F">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2612" w:type="dxa"/>
                  <w:vAlign w:val="center"/>
                </w:tcPr>
                <w:p w14:paraId="52FECACE">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r>
            <w:tr w14:paraId="308D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122" w:type="dxa"/>
                  <w:shd w:val="clear" w:color="auto" w:fill="auto"/>
                  <w:vAlign w:val="center"/>
                </w:tcPr>
                <w:p w14:paraId="7210CFB5">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12</w:t>
                  </w:r>
                </w:p>
              </w:tc>
              <w:tc>
                <w:tcPr>
                  <w:tcW w:w="2346" w:type="dxa"/>
                  <w:vAlign w:val="center"/>
                </w:tcPr>
                <w:p w14:paraId="21E418BA">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提升机</w:t>
                  </w:r>
                </w:p>
              </w:tc>
              <w:tc>
                <w:tcPr>
                  <w:tcW w:w="2713" w:type="dxa"/>
                  <w:vAlign w:val="center"/>
                </w:tcPr>
                <w:p w14:paraId="29AAA6F4">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2612" w:type="dxa"/>
                  <w:vAlign w:val="center"/>
                </w:tcPr>
                <w:p w14:paraId="10ACE98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r>
            <w:tr w14:paraId="1FC4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22" w:type="dxa"/>
                  <w:shd w:val="clear" w:color="auto" w:fill="auto"/>
                  <w:vAlign w:val="center"/>
                </w:tcPr>
                <w:p w14:paraId="0CB0D43C">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13</w:t>
                  </w:r>
                </w:p>
              </w:tc>
              <w:tc>
                <w:tcPr>
                  <w:tcW w:w="2346" w:type="dxa"/>
                  <w:vAlign w:val="center"/>
                </w:tcPr>
                <w:p w14:paraId="3F87D080">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水平造型机</w:t>
                  </w:r>
                </w:p>
              </w:tc>
              <w:tc>
                <w:tcPr>
                  <w:tcW w:w="2713" w:type="dxa"/>
                  <w:vAlign w:val="center"/>
                </w:tcPr>
                <w:p w14:paraId="5886AE9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Z426（铸星）</w:t>
                  </w:r>
                </w:p>
              </w:tc>
              <w:tc>
                <w:tcPr>
                  <w:tcW w:w="2612" w:type="dxa"/>
                  <w:vAlign w:val="center"/>
                </w:tcPr>
                <w:p w14:paraId="14201FFC">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1台</w:t>
                  </w:r>
                </w:p>
              </w:tc>
            </w:tr>
            <w:tr w14:paraId="6411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22" w:type="dxa"/>
                  <w:shd w:val="clear" w:color="auto" w:fill="auto"/>
                  <w:vAlign w:val="center"/>
                </w:tcPr>
                <w:p w14:paraId="32D47FEE">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14</w:t>
                  </w:r>
                </w:p>
              </w:tc>
              <w:tc>
                <w:tcPr>
                  <w:tcW w:w="2346" w:type="dxa"/>
                  <w:vAlign w:val="center"/>
                </w:tcPr>
                <w:p w14:paraId="53C95110">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沸腾冷却床</w:t>
                  </w:r>
                </w:p>
              </w:tc>
              <w:tc>
                <w:tcPr>
                  <w:tcW w:w="2713" w:type="dxa"/>
                  <w:vAlign w:val="center"/>
                </w:tcPr>
                <w:p w14:paraId="14EC386D">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2612" w:type="dxa"/>
                  <w:vAlign w:val="center"/>
                </w:tcPr>
                <w:p w14:paraId="0A99093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2台</w:t>
                  </w:r>
                </w:p>
              </w:tc>
            </w:tr>
            <w:tr w14:paraId="5613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12FC1FCB">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15</w:t>
                  </w:r>
                </w:p>
              </w:tc>
              <w:tc>
                <w:tcPr>
                  <w:tcW w:w="2346" w:type="dxa"/>
                  <w:vAlign w:val="center"/>
                </w:tcPr>
                <w:p w14:paraId="1349AB9C">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振动落砂机</w:t>
                  </w:r>
                </w:p>
              </w:tc>
              <w:tc>
                <w:tcPr>
                  <w:tcW w:w="2713" w:type="dxa"/>
                  <w:vAlign w:val="center"/>
                </w:tcPr>
                <w:p w14:paraId="601634D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2612" w:type="dxa"/>
                  <w:vAlign w:val="center"/>
                </w:tcPr>
                <w:p w14:paraId="0EDE382D">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1台</w:t>
                  </w:r>
                </w:p>
              </w:tc>
            </w:tr>
            <w:tr w14:paraId="268A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00EE72AC">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16</w:t>
                  </w:r>
                </w:p>
              </w:tc>
              <w:tc>
                <w:tcPr>
                  <w:tcW w:w="2346" w:type="dxa"/>
                  <w:vAlign w:val="center"/>
                </w:tcPr>
                <w:p w14:paraId="77C014F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水平自动流水线</w:t>
                  </w:r>
                </w:p>
              </w:tc>
              <w:tc>
                <w:tcPr>
                  <w:tcW w:w="2713" w:type="dxa"/>
                  <w:vAlign w:val="center"/>
                </w:tcPr>
                <w:p w14:paraId="24FD813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w:t>
                  </w:r>
                </w:p>
              </w:tc>
              <w:tc>
                <w:tcPr>
                  <w:tcW w:w="2612" w:type="dxa"/>
                  <w:vAlign w:val="center"/>
                </w:tcPr>
                <w:p w14:paraId="3CFF5113">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2台</w:t>
                  </w:r>
                </w:p>
              </w:tc>
            </w:tr>
            <w:tr w14:paraId="795E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43856173">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17</w:t>
                  </w:r>
                </w:p>
              </w:tc>
              <w:tc>
                <w:tcPr>
                  <w:tcW w:w="2346" w:type="dxa"/>
                  <w:vAlign w:val="center"/>
                </w:tcPr>
                <w:p w14:paraId="0DFEE656">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松沙机</w:t>
                  </w:r>
                </w:p>
              </w:tc>
              <w:tc>
                <w:tcPr>
                  <w:tcW w:w="2713" w:type="dxa"/>
                  <w:vAlign w:val="center"/>
                </w:tcPr>
                <w:p w14:paraId="06943D8D">
                  <w:pPr>
                    <w:adjustRightInd w:val="0"/>
                    <w:snapToGrid w:val="0"/>
                    <w:jc w:val="center"/>
                    <w:rPr>
                      <w:rFonts w:hint="default" w:ascii="Times New Roman" w:hAnsi="Times New Roman" w:cs="Times New Roman"/>
                      <w:bCs/>
                      <w:color w:val="auto"/>
                      <w:kern w:val="0"/>
                      <w:szCs w:val="21"/>
                      <w:highlight w:val="none"/>
                    </w:rPr>
                  </w:pPr>
                </w:p>
              </w:tc>
              <w:tc>
                <w:tcPr>
                  <w:tcW w:w="2612" w:type="dxa"/>
                  <w:vAlign w:val="center"/>
                </w:tcPr>
                <w:p w14:paraId="61ADCEE4">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1台</w:t>
                  </w:r>
                </w:p>
              </w:tc>
            </w:tr>
            <w:tr w14:paraId="6EA5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53512DED">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18</w:t>
                  </w:r>
                </w:p>
              </w:tc>
              <w:tc>
                <w:tcPr>
                  <w:tcW w:w="2346" w:type="dxa"/>
                  <w:vAlign w:val="center"/>
                </w:tcPr>
                <w:p w14:paraId="6D22701B">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磁选皮带机</w:t>
                  </w:r>
                </w:p>
              </w:tc>
              <w:tc>
                <w:tcPr>
                  <w:tcW w:w="2713" w:type="dxa"/>
                  <w:vAlign w:val="center"/>
                </w:tcPr>
                <w:p w14:paraId="31FEAFC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w:t>
                  </w:r>
                </w:p>
              </w:tc>
              <w:tc>
                <w:tcPr>
                  <w:tcW w:w="2612" w:type="dxa"/>
                  <w:vAlign w:val="center"/>
                </w:tcPr>
                <w:p w14:paraId="1292A840">
                  <w:pPr>
                    <w:adjustRightInd w:val="0"/>
                    <w:snapToGrid w:val="0"/>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highlight w:val="none"/>
                    </w:rPr>
                    <w:t>1台</w:t>
                  </w:r>
                </w:p>
              </w:tc>
            </w:tr>
            <w:tr w14:paraId="0066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397CFDDA">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19</w:t>
                  </w:r>
                </w:p>
              </w:tc>
              <w:tc>
                <w:tcPr>
                  <w:tcW w:w="2346" w:type="dxa"/>
                  <w:vAlign w:val="center"/>
                </w:tcPr>
                <w:p w14:paraId="41DB9B11">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斗式提升机</w:t>
                  </w:r>
                </w:p>
              </w:tc>
              <w:tc>
                <w:tcPr>
                  <w:tcW w:w="2713" w:type="dxa"/>
                  <w:vAlign w:val="center"/>
                </w:tcPr>
                <w:p w14:paraId="03AAE739">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2612" w:type="dxa"/>
                  <w:vAlign w:val="center"/>
                </w:tcPr>
                <w:p w14:paraId="77E0C156">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r>
            <w:tr w14:paraId="24EF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1BC7F20F">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20</w:t>
                  </w:r>
                </w:p>
              </w:tc>
              <w:tc>
                <w:tcPr>
                  <w:tcW w:w="2346" w:type="dxa"/>
                  <w:vAlign w:val="center"/>
                </w:tcPr>
                <w:p w14:paraId="2A8B76EB">
                  <w:pPr>
                    <w:adjustRightInd w:val="0"/>
                    <w:snapToGrid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闭式冷却塔</w:t>
                  </w:r>
                </w:p>
              </w:tc>
              <w:tc>
                <w:tcPr>
                  <w:tcW w:w="2713" w:type="dxa"/>
                  <w:vAlign w:val="center"/>
                </w:tcPr>
                <w:p w14:paraId="50085F9D">
                  <w:pPr>
                    <w:adjustRightInd w:val="0"/>
                    <w:snapToGrid w:val="0"/>
                    <w:jc w:val="center"/>
                    <w:rPr>
                      <w:rFonts w:hint="default" w:ascii="Times New Roman" w:hAnsi="Times New Roman" w:cs="Times New Roman"/>
                      <w:color w:val="auto"/>
                      <w:highlight w:val="none"/>
                    </w:rPr>
                  </w:pPr>
                </w:p>
              </w:tc>
              <w:tc>
                <w:tcPr>
                  <w:tcW w:w="2612" w:type="dxa"/>
                  <w:vAlign w:val="center"/>
                </w:tcPr>
                <w:p w14:paraId="3E91FBE5">
                  <w:pPr>
                    <w:adjustRightInd w:val="0"/>
                    <w:snapToGrid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1台</w:t>
                  </w:r>
                </w:p>
              </w:tc>
            </w:tr>
            <w:tr w14:paraId="11BC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793" w:type="dxa"/>
                  <w:gridSpan w:val="4"/>
                  <w:shd w:val="clear" w:color="auto" w:fill="auto"/>
                  <w:vAlign w:val="center"/>
                </w:tcPr>
                <w:p w14:paraId="48B3C89B">
                  <w:pPr>
                    <w:adjustRightInd w:val="0"/>
                    <w:snapToGrid w:val="0"/>
                    <w:jc w:val="center"/>
                    <w:rPr>
                      <w:rFonts w:hint="default" w:ascii="Times New Roman" w:hAnsi="Times New Roman" w:cs="Times New Roman"/>
                      <w:b/>
                      <w:bCs/>
                      <w:color w:val="auto"/>
                      <w:kern w:val="0"/>
                      <w:szCs w:val="21"/>
                      <w:highlight w:val="none"/>
                      <w:lang w:val="en-US" w:eastAsia="zh-CN"/>
                    </w:rPr>
                  </w:pPr>
                  <w:r>
                    <w:rPr>
                      <w:rFonts w:hint="default" w:ascii="Times New Roman" w:hAnsi="Times New Roman" w:cs="Times New Roman"/>
                      <w:b/>
                      <w:bCs/>
                      <w:color w:val="auto"/>
                      <w:kern w:val="0"/>
                      <w:szCs w:val="21"/>
                      <w:highlight w:val="none"/>
                      <w:lang w:val="en-US" w:eastAsia="zh-CN"/>
                    </w:rPr>
                    <w:t>三期设备情况</w:t>
                  </w:r>
                </w:p>
              </w:tc>
            </w:tr>
            <w:tr w14:paraId="6734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2D6B3BD1">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21</w:t>
                  </w:r>
                </w:p>
              </w:tc>
              <w:tc>
                <w:tcPr>
                  <w:tcW w:w="2346" w:type="dxa"/>
                  <w:vAlign w:val="center"/>
                </w:tcPr>
                <w:p w14:paraId="0F594099">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中频炉</w:t>
                  </w:r>
                </w:p>
              </w:tc>
              <w:tc>
                <w:tcPr>
                  <w:tcW w:w="2713" w:type="dxa"/>
                  <w:vAlign w:val="center"/>
                </w:tcPr>
                <w:p w14:paraId="7ABBC54B">
                  <w:pPr>
                    <w:adjustRightInd w:val="0"/>
                    <w:snapToGrid w:val="0"/>
                    <w:jc w:val="center"/>
                    <w:rPr>
                      <w:rFonts w:hint="default" w:ascii="Times New Roman" w:hAnsi="Times New Roman" w:cs="Times New Roman"/>
                      <w:color w:val="auto"/>
                      <w:kern w:val="0"/>
                      <w:highlight w:val="none"/>
                    </w:rPr>
                  </w:pPr>
                  <w:r>
                    <w:rPr>
                      <w:rFonts w:hint="default" w:ascii="Times New Roman" w:hAnsi="Times New Roman" w:cs="Times New Roman"/>
                      <w:color w:val="auto"/>
                      <w:highlight w:val="none"/>
                      <w:lang w:val="en-US" w:eastAsia="zh-CN"/>
                    </w:rPr>
                    <w:t>1.0</w:t>
                  </w:r>
                  <w:r>
                    <w:rPr>
                      <w:rFonts w:hint="default" w:ascii="Times New Roman" w:hAnsi="Times New Roman" w:cs="Times New Roman"/>
                      <w:color w:val="auto"/>
                      <w:highlight w:val="none"/>
                    </w:rPr>
                    <w:t>t/h</w:t>
                  </w:r>
                </w:p>
              </w:tc>
              <w:tc>
                <w:tcPr>
                  <w:tcW w:w="2612" w:type="dxa"/>
                  <w:vAlign w:val="center"/>
                </w:tcPr>
                <w:p w14:paraId="27F0CC15">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r>
            <w:tr w14:paraId="392D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50E12383">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22</w:t>
                  </w:r>
                </w:p>
              </w:tc>
              <w:tc>
                <w:tcPr>
                  <w:tcW w:w="2346" w:type="dxa"/>
                  <w:vAlign w:val="center"/>
                </w:tcPr>
                <w:p w14:paraId="075B34AF">
                  <w:pPr>
                    <w:widowControl/>
                    <w:jc w:val="center"/>
                    <w:textAlignment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lang w:val="en-US" w:eastAsia="zh-CN"/>
                    </w:rPr>
                    <w:t>中频炉</w:t>
                  </w:r>
                </w:p>
              </w:tc>
              <w:tc>
                <w:tcPr>
                  <w:tcW w:w="2713" w:type="dxa"/>
                  <w:vAlign w:val="center"/>
                </w:tcPr>
                <w:p w14:paraId="39ECC8AD">
                  <w:pPr>
                    <w:adjustRightInd w:val="0"/>
                    <w:snapToGrid w:val="0"/>
                    <w:jc w:val="center"/>
                    <w:rPr>
                      <w:rFonts w:hint="default" w:ascii="Times New Roman" w:hAnsi="Times New Roman" w:cs="Times New Roman"/>
                      <w:color w:val="auto"/>
                      <w:kern w:val="0"/>
                      <w:highlight w:val="none"/>
                    </w:rPr>
                  </w:pPr>
                  <w:r>
                    <w:rPr>
                      <w:rFonts w:hint="default" w:ascii="Times New Roman" w:hAnsi="Times New Roman" w:cs="Times New Roman"/>
                      <w:color w:val="auto"/>
                      <w:highlight w:val="none"/>
                      <w:lang w:val="en-US" w:eastAsia="zh-CN"/>
                    </w:rPr>
                    <w:t>0.75</w:t>
                  </w:r>
                  <w:r>
                    <w:rPr>
                      <w:rFonts w:hint="default" w:ascii="Times New Roman" w:hAnsi="Times New Roman" w:cs="Times New Roman"/>
                      <w:color w:val="auto"/>
                      <w:highlight w:val="none"/>
                    </w:rPr>
                    <w:t>t/h</w:t>
                  </w:r>
                </w:p>
              </w:tc>
              <w:tc>
                <w:tcPr>
                  <w:tcW w:w="2612" w:type="dxa"/>
                  <w:vAlign w:val="center"/>
                </w:tcPr>
                <w:p w14:paraId="47623C46">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1台</w:t>
                  </w:r>
                </w:p>
              </w:tc>
            </w:tr>
            <w:tr w14:paraId="021E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5B75AAAD">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23</w:t>
                  </w:r>
                </w:p>
              </w:tc>
              <w:tc>
                <w:tcPr>
                  <w:tcW w:w="2346" w:type="dxa"/>
                  <w:vAlign w:val="center"/>
                </w:tcPr>
                <w:p w14:paraId="77298F34">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冷却塔</w:t>
                  </w:r>
                </w:p>
              </w:tc>
              <w:tc>
                <w:tcPr>
                  <w:tcW w:w="2713" w:type="dxa"/>
                  <w:vAlign w:val="center"/>
                </w:tcPr>
                <w:p w14:paraId="4F3827F1">
                  <w:pPr>
                    <w:widowControl/>
                    <w:jc w:val="center"/>
                    <w:textAlignment w:val="center"/>
                    <w:rPr>
                      <w:rFonts w:hint="default" w:ascii="Times New Roman" w:hAnsi="Times New Roman" w:cs="Times New Roman"/>
                      <w:color w:val="auto"/>
                      <w:kern w:val="0"/>
                      <w:highlight w:val="none"/>
                    </w:rPr>
                  </w:pPr>
                </w:p>
              </w:tc>
              <w:tc>
                <w:tcPr>
                  <w:tcW w:w="2612" w:type="dxa"/>
                  <w:shd w:val="clear" w:color="auto" w:fill="auto"/>
                  <w:vAlign w:val="center"/>
                </w:tcPr>
                <w:p w14:paraId="5EA04B7D">
                  <w:pPr>
                    <w:adjustRightInd w:val="0"/>
                    <w:snapToGrid w:val="0"/>
                    <w:jc w:val="center"/>
                    <w:rPr>
                      <w:rFonts w:hint="default" w:ascii="Times New Roman" w:hAnsi="Times New Roman" w:eastAsia="宋体" w:cs="Times New Roman"/>
                      <w:color w:val="auto"/>
                      <w:kern w:val="2"/>
                      <w:sz w:val="18"/>
                      <w:szCs w:val="18"/>
                      <w:highlight w:val="none"/>
                      <w:u w:val="none"/>
                      <w:lang w:val="en-US" w:eastAsia="zh-CN" w:bidi="ar-SA"/>
                    </w:rPr>
                  </w:pPr>
                  <w:r>
                    <w:rPr>
                      <w:rFonts w:hint="default" w:ascii="Times New Roman" w:hAnsi="Times New Roman" w:cs="Times New Roman"/>
                      <w:color w:val="auto"/>
                      <w:highlight w:val="none"/>
                      <w:lang w:val="en-US" w:eastAsia="zh-CN"/>
                    </w:rPr>
                    <w:t>1台</w:t>
                  </w:r>
                </w:p>
              </w:tc>
            </w:tr>
            <w:tr w14:paraId="2F6E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2B8C9C4E">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24</w:t>
                  </w:r>
                </w:p>
              </w:tc>
              <w:tc>
                <w:tcPr>
                  <w:tcW w:w="2346" w:type="dxa"/>
                  <w:vAlign w:val="center"/>
                </w:tcPr>
                <w:p w14:paraId="70D218F1">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抛丸机</w:t>
                  </w:r>
                </w:p>
              </w:tc>
              <w:tc>
                <w:tcPr>
                  <w:tcW w:w="2713" w:type="dxa"/>
                  <w:vAlign w:val="center"/>
                </w:tcPr>
                <w:p w14:paraId="6F073612">
                  <w:pPr>
                    <w:widowControl/>
                    <w:jc w:val="center"/>
                    <w:textAlignment w:val="center"/>
                    <w:rPr>
                      <w:rFonts w:hint="default" w:ascii="Times New Roman" w:hAnsi="Times New Roman" w:cs="Times New Roman"/>
                      <w:color w:val="auto"/>
                      <w:kern w:val="0"/>
                      <w:highlight w:val="none"/>
                    </w:rPr>
                  </w:pPr>
                </w:p>
              </w:tc>
              <w:tc>
                <w:tcPr>
                  <w:tcW w:w="2612" w:type="dxa"/>
                  <w:vAlign w:val="center"/>
                </w:tcPr>
                <w:p w14:paraId="6915A376">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2台</w:t>
                  </w:r>
                </w:p>
              </w:tc>
            </w:tr>
            <w:tr w14:paraId="193C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656C57B4">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25</w:t>
                  </w:r>
                </w:p>
              </w:tc>
              <w:tc>
                <w:tcPr>
                  <w:tcW w:w="2346" w:type="dxa"/>
                  <w:vAlign w:val="center"/>
                </w:tcPr>
                <w:p w14:paraId="101F24ED">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混砂机</w:t>
                  </w:r>
                </w:p>
              </w:tc>
              <w:tc>
                <w:tcPr>
                  <w:tcW w:w="2713" w:type="dxa"/>
                  <w:vAlign w:val="center"/>
                </w:tcPr>
                <w:p w14:paraId="6E07B961">
                  <w:pPr>
                    <w:widowControl/>
                    <w:jc w:val="center"/>
                    <w:textAlignment w:val="center"/>
                    <w:rPr>
                      <w:rFonts w:hint="default" w:ascii="Times New Roman" w:hAnsi="Times New Roman" w:cs="Times New Roman"/>
                      <w:color w:val="auto"/>
                      <w:kern w:val="0"/>
                      <w:highlight w:val="none"/>
                    </w:rPr>
                  </w:pPr>
                </w:p>
              </w:tc>
              <w:tc>
                <w:tcPr>
                  <w:tcW w:w="2612" w:type="dxa"/>
                  <w:vAlign w:val="center"/>
                </w:tcPr>
                <w:p w14:paraId="7FA5BA0D">
                  <w:pPr>
                    <w:adjustRightInd w:val="0"/>
                    <w:snapToGrid w:val="0"/>
                    <w:jc w:val="center"/>
                    <w:rPr>
                      <w:rStyle w:val="104"/>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2台</w:t>
                  </w:r>
                </w:p>
              </w:tc>
            </w:tr>
            <w:tr w14:paraId="49CF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02B53DC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26</w:t>
                  </w:r>
                </w:p>
              </w:tc>
              <w:tc>
                <w:tcPr>
                  <w:tcW w:w="2346" w:type="dxa"/>
                  <w:vAlign w:val="center"/>
                </w:tcPr>
                <w:p w14:paraId="6871913E">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振实台</w:t>
                  </w:r>
                </w:p>
              </w:tc>
              <w:tc>
                <w:tcPr>
                  <w:tcW w:w="2713" w:type="dxa"/>
                  <w:vAlign w:val="center"/>
                </w:tcPr>
                <w:p w14:paraId="00340CD0">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w:t>
                  </w:r>
                </w:p>
              </w:tc>
              <w:tc>
                <w:tcPr>
                  <w:tcW w:w="2612" w:type="dxa"/>
                  <w:vAlign w:val="center"/>
                </w:tcPr>
                <w:p w14:paraId="1F0BC3DB">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r>
            <w:tr w14:paraId="47EB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6143171E">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27</w:t>
                  </w:r>
                </w:p>
              </w:tc>
              <w:tc>
                <w:tcPr>
                  <w:tcW w:w="2346" w:type="dxa"/>
                  <w:shd w:val="clear" w:color="auto" w:fill="auto"/>
                  <w:vAlign w:val="center"/>
                </w:tcPr>
                <w:p w14:paraId="237863D8">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负压真空机</w:t>
                  </w:r>
                </w:p>
              </w:tc>
              <w:tc>
                <w:tcPr>
                  <w:tcW w:w="2713" w:type="dxa"/>
                  <w:shd w:val="clear" w:color="auto" w:fill="auto"/>
                  <w:vAlign w:val="center"/>
                </w:tcPr>
                <w:p w14:paraId="7F9CA8A8">
                  <w:pPr>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02D60E4B">
                  <w:pPr>
                    <w:widowControl/>
                    <w:jc w:val="center"/>
                    <w:textAlignment w:val="center"/>
                    <w:rPr>
                      <w:rFonts w:hint="default" w:ascii="Times New Roman" w:hAnsi="Times New Roman" w:cs="Times New Roman"/>
                      <w:bCs/>
                      <w:color w:val="auto"/>
                      <w:szCs w:val="21"/>
                      <w:highlight w:val="none"/>
                    </w:rPr>
                  </w:pPr>
                  <w:r>
                    <w:rPr>
                      <w:rStyle w:val="104"/>
                      <w:rFonts w:hint="default" w:ascii="Times New Roman" w:hAnsi="Times New Roman" w:cs="Times New Roman"/>
                      <w:color w:val="auto"/>
                      <w:highlight w:val="none"/>
                    </w:rPr>
                    <w:t>1</w:t>
                  </w:r>
                  <w:r>
                    <w:rPr>
                      <w:rStyle w:val="109"/>
                      <w:rFonts w:hint="default" w:ascii="Times New Roman" w:hAnsi="Times New Roman" w:cs="Times New Roman"/>
                      <w:color w:val="auto"/>
                      <w:highlight w:val="none"/>
                    </w:rPr>
                    <w:t>套</w:t>
                  </w:r>
                </w:p>
              </w:tc>
            </w:tr>
            <w:tr w14:paraId="7D66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3D21A678">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28</w:t>
                  </w:r>
                </w:p>
              </w:tc>
              <w:tc>
                <w:tcPr>
                  <w:tcW w:w="2346" w:type="dxa"/>
                  <w:shd w:val="clear" w:color="auto" w:fill="auto"/>
                  <w:vAlign w:val="center"/>
                </w:tcPr>
                <w:p w14:paraId="0C1010E4">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浇包</w:t>
                  </w:r>
                </w:p>
              </w:tc>
              <w:tc>
                <w:tcPr>
                  <w:tcW w:w="2713" w:type="dxa"/>
                  <w:shd w:val="clear" w:color="auto" w:fill="auto"/>
                  <w:vAlign w:val="center"/>
                </w:tcPr>
                <w:p w14:paraId="34DCB2C4">
                  <w:pPr>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41D4E442">
                  <w:pPr>
                    <w:widowControl/>
                    <w:jc w:val="center"/>
                    <w:textAlignment w:val="center"/>
                    <w:rPr>
                      <w:rFonts w:hint="default" w:ascii="Times New Roman" w:hAnsi="Times New Roman" w:cs="Times New Roman"/>
                      <w:bCs/>
                      <w:color w:val="auto"/>
                      <w:szCs w:val="21"/>
                      <w:highlight w:val="none"/>
                    </w:rPr>
                  </w:pPr>
                  <w:r>
                    <w:rPr>
                      <w:rStyle w:val="104"/>
                      <w:rFonts w:hint="default" w:ascii="Times New Roman" w:hAnsi="Times New Roman" w:cs="Times New Roman"/>
                      <w:color w:val="auto"/>
                      <w:highlight w:val="none"/>
                    </w:rPr>
                    <w:t>5</w:t>
                  </w:r>
                  <w:r>
                    <w:rPr>
                      <w:rStyle w:val="109"/>
                      <w:rFonts w:hint="default" w:ascii="Times New Roman" w:hAnsi="Times New Roman" w:cs="Times New Roman"/>
                      <w:color w:val="auto"/>
                      <w:highlight w:val="none"/>
                    </w:rPr>
                    <w:t>台</w:t>
                  </w:r>
                </w:p>
              </w:tc>
            </w:tr>
            <w:tr w14:paraId="7306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75C6FC06">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29</w:t>
                  </w:r>
                </w:p>
              </w:tc>
              <w:tc>
                <w:tcPr>
                  <w:tcW w:w="2346" w:type="dxa"/>
                  <w:shd w:val="clear" w:color="auto" w:fill="auto"/>
                  <w:vAlign w:val="center"/>
                </w:tcPr>
                <w:p w14:paraId="0AFED565">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热风机</w:t>
                  </w:r>
                </w:p>
              </w:tc>
              <w:tc>
                <w:tcPr>
                  <w:tcW w:w="2713" w:type="dxa"/>
                  <w:shd w:val="clear" w:color="auto" w:fill="auto"/>
                  <w:vAlign w:val="center"/>
                </w:tcPr>
                <w:p w14:paraId="78E21D6F">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30Kw</w:t>
                  </w:r>
                </w:p>
              </w:tc>
              <w:tc>
                <w:tcPr>
                  <w:tcW w:w="2612" w:type="dxa"/>
                  <w:shd w:val="clear" w:color="auto" w:fill="auto"/>
                  <w:vAlign w:val="center"/>
                </w:tcPr>
                <w:p w14:paraId="51309310">
                  <w:pPr>
                    <w:widowControl/>
                    <w:jc w:val="center"/>
                    <w:textAlignment w:val="center"/>
                    <w:rPr>
                      <w:rFonts w:hint="default" w:ascii="Times New Roman" w:hAnsi="Times New Roman" w:cs="Times New Roman"/>
                      <w:bCs/>
                      <w:color w:val="auto"/>
                      <w:szCs w:val="21"/>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r>
            <w:tr w14:paraId="43D3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09990B1B">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30</w:t>
                  </w:r>
                </w:p>
              </w:tc>
              <w:tc>
                <w:tcPr>
                  <w:tcW w:w="2346" w:type="dxa"/>
                  <w:shd w:val="clear" w:color="auto" w:fill="auto"/>
                  <w:vAlign w:val="center"/>
                </w:tcPr>
                <w:p w14:paraId="72ABE65C">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振动筛砂机</w:t>
                  </w:r>
                </w:p>
              </w:tc>
              <w:tc>
                <w:tcPr>
                  <w:tcW w:w="2713" w:type="dxa"/>
                  <w:shd w:val="clear" w:color="auto" w:fill="auto"/>
                  <w:vAlign w:val="center"/>
                </w:tcPr>
                <w:p w14:paraId="52807B52">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2AAE3C8B">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1</w:t>
                  </w:r>
                  <w:r>
                    <w:rPr>
                      <w:rStyle w:val="109"/>
                      <w:rFonts w:hint="default" w:ascii="Times New Roman" w:hAnsi="Times New Roman" w:cs="Times New Roman"/>
                      <w:color w:val="auto"/>
                      <w:highlight w:val="none"/>
                    </w:rPr>
                    <w:t>台</w:t>
                  </w:r>
                </w:p>
              </w:tc>
            </w:tr>
            <w:tr w14:paraId="1D6C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1942701E">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31</w:t>
                  </w:r>
                </w:p>
              </w:tc>
              <w:tc>
                <w:tcPr>
                  <w:tcW w:w="2346" w:type="dxa"/>
                  <w:shd w:val="clear" w:color="auto" w:fill="auto"/>
                  <w:vAlign w:val="center"/>
                </w:tcPr>
                <w:p w14:paraId="5433EB6E">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振动冷却机</w:t>
                  </w:r>
                </w:p>
              </w:tc>
              <w:tc>
                <w:tcPr>
                  <w:tcW w:w="2713" w:type="dxa"/>
                  <w:shd w:val="clear" w:color="auto" w:fill="auto"/>
                  <w:vAlign w:val="center"/>
                </w:tcPr>
                <w:p w14:paraId="216C6850">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699A3AD9">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1</w:t>
                  </w:r>
                  <w:r>
                    <w:rPr>
                      <w:rStyle w:val="109"/>
                      <w:rFonts w:hint="default" w:ascii="Times New Roman" w:hAnsi="Times New Roman" w:cs="Times New Roman"/>
                      <w:color w:val="auto"/>
                      <w:highlight w:val="none"/>
                    </w:rPr>
                    <w:t>台</w:t>
                  </w:r>
                </w:p>
              </w:tc>
            </w:tr>
            <w:tr w14:paraId="4FDC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7CE0735D">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32</w:t>
                  </w:r>
                </w:p>
              </w:tc>
              <w:tc>
                <w:tcPr>
                  <w:tcW w:w="2346" w:type="dxa"/>
                  <w:shd w:val="clear" w:color="auto" w:fill="auto"/>
                  <w:vAlign w:val="center"/>
                </w:tcPr>
                <w:p w14:paraId="73FFF8CF">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提升机</w:t>
                  </w:r>
                </w:p>
              </w:tc>
              <w:tc>
                <w:tcPr>
                  <w:tcW w:w="2713" w:type="dxa"/>
                  <w:shd w:val="clear" w:color="auto" w:fill="auto"/>
                  <w:vAlign w:val="center"/>
                </w:tcPr>
                <w:p w14:paraId="09D93867">
                  <w:pPr>
                    <w:widowControl/>
                    <w:jc w:val="center"/>
                    <w:textAlignment w:val="center"/>
                    <w:rPr>
                      <w:rFonts w:hint="default" w:ascii="Times New Roman" w:hAnsi="Times New Roman" w:cs="Times New Roman"/>
                      <w:color w:val="auto"/>
                      <w:kern w:val="0"/>
                      <w:highlight w:val="none"/>
                    </w:rPr>
                  </w:pPr>
                </w:p>
              </w:tc>
              <w:tc>
                <w:tcPr>
                  <w:tcW w:w="2612" w:type="dxa"/>
                  <w:shd w:val="clear" w:color="auto" w:fill="auto"/>
                  <w:vAlign w:val="center"/>
                </w:tcPr>
                <w:p w14:paraId="72E755FF">
                  <w:pPr>
                    <w:widowControl/>
                    <w:jc w:val="center"/>
                    <w:textAlignment w:val="center"/>
                    <w:rPr>
                      <w:rStyle w:val="104"/>
                      <w:rFonts w:hint="default" w:ascii="Times New Roman" w:hAnsi="Times New Roman" w:cs="Times New Roman"/>
                      <w:color w:val="auto"/>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r>
            <w:tr w14:paraId="60DD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28BDDAE3">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33</w:t>
                  </w:r>
                </w:p>
              </w:tc>
              <w:tc>
                <w:tcPr>
                  <w:tcW w:w="2346" w:type="dxa"/>
                  <w:shd w:val="clear" w:color="auto" w:fill="auto"/>
                  <w:vAlign w:val="center"/>
                </w:tcPr>
                <w:p w14:paraId="0DA91430">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涂料搅拌机</w:t>
                  </w:r>
                </w:p>
              </w:tc>
              <w:tc>
                <w:tcPr>
                  <w:tcW w:w="2713" w:type="dxa"/>
                  <w:shd w:val="clear" w:color="auto" w:fill="auto"/>
                  <w:vAlign w:val="center"/>
                </w:tcPr>
                <w:p w14:paraId="6954E291">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231C9679">
                  <w:pPr>
                    <w:widowControl/>
                    <w:jc w:val="center"/>
                    <w:textAlignment w:val="center"/>
                    <w:rPr>
                      <w:rFonts w:hint="default" w:ascii="Times New Roman" w:hAnsi="Times New Roman" w:cs="Times New Roman"/>
                      <w:color w:val="auto"/>
                      <w:kern w:val="0"/>
                      <w:szCs w:val="21"/>
                      <w:highlight w:val="none"/>
                    </w:rPr>
                  </w:pPr>
                  <w:r>
                    <w:rPr>
                      <w:rStyle w:val="104"/>
                      <w:rFonts w:hint="default" w:ascii="Times New Roman" w:hAnsi="Times New Roman" w:cs="Times New Roman"/>
                      <w:color w:val="auto"/>
                      <w:highlight w:val="none"/>
                    </w:rPr>
                    <w:t>2</w:t>
                  </w:r>
                  <w:r>
                    <w:rPr>
                      <w:rStyle w:val="109"/>
                      <w:rFonts w:hint="default" w:ascii="Times New Roman" w:hAnsi="Times New Roman" w:cs="Times New Roman"/>
                      <w:color w:val="auto"/>
                      <w:highlight w:val="none"/>
                    </w:rPr>
                    <w:t>台</w:t>
                  </w:r>
                </w:p>
              </w:tc>
            </w:tr>
            <w:tr w14:paraId="196A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shd w:val="clear" w:color="auto" w:fill="auto"/>
                  <w:vAlign w:val="center"/>
                </w:tcPr>
                <w:p w14:paraId="6F38C60A">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34</w:t>
                  </w:r>
                </w:p>
              </w:tc>
              <w:tc>
                <w:tcPr>
                  <w:tcW w:w="2346" w:type="dxa"/>
                  <w:shd w:val="clear" w:color="auto" w:fill="auto"/>
                  <w:vAlign w:val="center"/>
                </w:tcPr>
                <w:p w14:paraId="27CBBB3E">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风选机</w:t>
                  </w:r>
                </w:p>
              </w:tc>
              <w:tc>
                <w:tcPr>
                  <w:tcW w:w="2713" w:type="dxa"/>
                  <w:shd w:val="clear" w:color="auto" w:fill="auto"/>
                  <w:vAlign w:val="center"/>
                </w:tcPr>
                <w:p w14:paraId="56ABBA13">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2612" w:type="dxa"/>
                  <w:shd w:val="clear" w:color="auto" w:fill="auto"/>
                  <w:vAlign w:val="center"/>
                </w:tcPr>
                <w:p w14:paraId="39495214">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1台</w:t>
                  </w:r>
                </w:p>
              </w:tc>
            </w:tr>
            <w:tr w14:paraId="3CF0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254DF8E9">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35</w:t>
                  </w:r>
                </w:p>
              </w:tc>
              <w:tc>
                <w:tcPr>
                  <w:tcW w:w="2346" w:type="dxa"/>
                  <w:shd w:val="clear" w:color="auto" w:fill="auto"/>
                  <w:vAlign w:val="center"/>
                </w:tcPr>
                <w:p w14:paraId="0DDC809D">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混砂机</w:t>
                  </w:r>
                </w:p>
              </w:tc>
              <w:tc>
                <w:tcPr>
                  <w:tcW w:w="2713" w:type="dxa"/>
                  <w:shd w:val="clear" w:color="auto" w:fill="auto"/>
                  <w:vAlign w:val="center"/>
                </w:tcPr>
                <w:p w14:paraId="1A9B4BAA">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2612" w:type="dxa"/>
                  <w:shd w:val="clear" w:color="auto" w:fill="auto"/>
                  <w:vAlign w:val="center"/>
                </w:tcPr>
                <w:p w14:paraId="21341BD8">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台</w:t>
                  </w:r>
                </w:p>
              </w:tc>
            </w:tr>
            <w:tr w14:paraId="2C85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122" w:type="dxa"/>
                  <w:vAlign w:val="center"/>
                </w:tcPr>
                <w:p w14:paraId="5AB5D07D">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36</w:t>
                  </w:r>
                </w:p>
              </w:tc>
              <w:tc>
                <w:tcPr>
                  <w:tcW w:w="2346" w:type="dxa"/>
                  <w:shd w:val="clear" w:color="auto" w:fill="auto"/>
                  <w:vAlign w:val="center"/>
                </w:tcPr>
                <w:p w14:paraId="0B3F5166">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color w:val="auto"/>
                      <w:highlight w:val="none"/>
                      <w:lang w:val="en-US" w:eastAsia="zh-CN"/>
                    </w:rPr>
                    <w:t xml:space="preserve"> 闭式冷却塔</w:t>
                  </w:r>
                </w:p>
              </w:tc>
              <w:tc>
                <w:tcPr>
                  <w:tcW w:w="2713" w:type="dxa"/>
                  <w:shd w:val="clear" w:color="auto" w:fill="auto"/>
                  <w:vAlign w:val="center"/>
                </w:tcPr>
                <w:p w14:paraId="28EA42DE">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2612" w:type="dxa"/>
                  <w:shd w:val="clear" w:color="auto" w:fill="auto"/>
                  <w:vAlign w:val="center"/>
                </w:tcPr>
                <w:p w14:paraId="38B2720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台</w:t>
                  </w:r>
                </w:p>
              </w:tc>
            </w:tr>
            <w:tr w14:paraId="3656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709CE05D">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37</w:t>
                  </w:r>
                </w:p>
              </w:tc>
              <w:tc>
                <w:tcPr>
                  <w:tcW w:w="2346" w:type="dxa"/>
                  <w:shd w:val="clear" w:color="auto" w:fill="auto"/>
                  <w:vAlign w:val="center"/>
                </w:tcPr>
                <w:p w14:paraId="38E9048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造型机</w:t>
                  </w:r>
                </w:p>
              </w:tc>
              <w:tc>
                <w:tcPr>
                  <w:tcW w:w="2713" w:type="dxa"/>
                  <w:shd w:val="clear" w:color="auto" w:fill="auto"/>
                  <w:vAlign w:val="center"/>
                </w:tcPr>
                <w:p w14:paraId="67F0AAA5">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w:t>
                  </w:r>
                </w:p>
              </w:tc>
              <w:tc>
                <w:tcPr>
                  <w:tcW w:w="2612" w:type="dxa"/>
                  <w:shd w:val="clear" w:color="auto" w:fill="auto"/>
                  <w:vAlign w:val="center"/>
                </w:tcPr>
                <w:p w14:paraId="619C7C2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4台</w:t>
                  </w:r>
                </w:p>
              </w:tc>
            </w:tr>
            <w:tr w14:paraId="3A28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325FF26B">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38</w:t>
                  </w:r>
                </w:p>
              </w:tc>
              <w:tc>
                <w:tcPr>
                  <w:tcW w:w="2346" w:type="dxa"/>
                  <w:shd w:val="clear" w:color="auto" w:fill="auto"/>
                  <w:vAlign w:val="center"/>
                </w:tcPr>
                <w:p w14:paraId="3F51D15F">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压刨机</w:t>
                  </w:r>
                </w:p>
              </w:tc>
              <w:tc>
                <w:tcPr>
                  <w:tcW w:w="2713" w:type="dxa"/>
                  <w:shd w:val="clear" w:color="auto" w:fill="auto"/>
                  <w:vAlign w:val="center"/>
                </w:tcPr>
                <w:p w14:paraId="0625FD31">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70266C02">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1</w:t>
                  </w:r>
                  <w:r>
                    <w:rPr>
                      <w:rStyle w:val="105"/>
                      <w:rFonts w:hint="default" w:ascii="Times New Roman" w:hAnsi="Times New Roman" w:cs="Times New Roman"/>
                      <w:color w:val="auto"/>
                      <w:highlight w:val="none"/>
                    </w:rPr>
                    <w:t>台</w:t>
                  </w:r>
                </w:p>
              </w:tc>
            </w:tr>
            <w:tr w14:paraId="4B8A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58FFE7D1">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39</w:t>
                  </w:r>
                </w:p>
              </w:tc>
              <w:tc>
                <w:tcPr>
                  <w:tcW w:w="2346" w:type="dxa"/>
                  <w:shd w:val="clear" w:color="auto" w:fill="auto"/>
                  <w:vAlign w:val="center"/>
                </w:tcPr>
                <w:p w14:paraId="1C74A68B">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平刨机</w:t>
                  </w:r>
                </w:p>
              </w:tc>
              <w:tc>
                <w:tcPr>
                  <w:tcW w:w="2713" w:type="dxa"/>
                  <w:shd w:val="clear" w:color="auto" w:fill="auto"/>
                  <w:vAlign w:val="center"/>
                </w:tcPr>
                <w:p w14:paraId="6E23AFFD">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6F29FCEE">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4</w:t>
                  </w:r>
                  <w:r>
                    <w:rPr>
                      <w:rStyle w:val="105"/>
                      <w:rFonts w:hint="default" w:ascii="Times New Roman" w:hAnsi="Times New Roman" w:cs="Times New Roman"/>
                      <w:color w:val="auto"/>
                      <w:highlight w:val="none"/>
                    </w:rPr>
                    <w:t>台</w:t>
                  </w:r>
                </w:p>
              </w:tc>
            </w:tr>
            <w:tr w14:paraId="1FE8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304FE6D6">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40</w:t>
                  </w:r>
                </w:p>
              </w:tc>
              <w:tc>
                <w:tcPr>
                  <w:tcW w:w="2346" w:type="dxa"/>
                  <w:shd w:val="clear" w:color="auto" w:fill="auto"/>
                  <w:vAlign w:val="center"/>
                </w:tcPr>
                <w:p w14:paraId="6FEE7760">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切料机</w:t>
                  </w:r>
                </w:p>
              </w:tc>
              <w:tc>
                <w:tcPr>
                  <w:tcW w:w="2713" w:type="dxa"/>
                  <w:shd w:val="clear" w:color="auto" w:fill="auto"/>
                  <w:vAlign w:val="center"/>
                </w:tcPr>
                <w:p w14:paraId="3A68A5F1">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1A6F934F">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1</w:t>
                  </w:r>
                  <w:r>
                    <w:rPr>
                      <w:rStyle w:val="105"/>
                      <w:rFonts w:hint="default" w:ascii="Times New Roman" w:hAnsi="Times New Roman" w:cs="Times New Roman"/>
                      <w:color w:val="auto"/>
                      <w:highlight w:val="none"/>
                    </w:rPr>
                    <w:t>台</w:t>
                  </w:r>
                </w:p>
              </w:tc>
            </w:tr>
            <w:tr w14:paraId="526F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493E5DAE">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41</w:t>
                  </w:r>
                </w:p>
              </w:tc>
              <w:tc>
                <w:tcPr>
                  <w:tcW w:w="2346" w:type="dxa"/>
                  <w:shd w:val="clear" w:color="auto" w:fill="auto"/>
                  <w:vAlign w:val="center"/>
                </w:tcPr>
                <w:p w14:paraId="7EA92D62">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直边机</w:t>
                  </w:r>
                </w:p>
              </w:tc>
              <w:tc>
                <w:tcPr>
                  <w:tcW w:w="2713" w:type="dxa"/>
                  <w:shd w:val="clear" w:color="auto" w:fill="auto"/>
                  <w:vAlign w:val="center"/>
                </w:tcPr>
                <w:p w14:paraId="35F557F7">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4C335ED1">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2</w:t>
                  </w:r>
                  <w:r>
                    <w:rPr>
                      <w:rStyle w:val="105"/>
                      <w:rFonts w:hint="default" w:ascii="Times New Roman" w:hAnsi="Times New Roman" w:cs="Times New Roman"/>
                      <w:color w:val="auto"/>
                      <w:highlight w:val="none"/>
                    </w:rPr>
                    <w:t>台</w:t>
                  </w:r>
                </w:p>
              </w:tc>
            </w:tr>
            <w:tr w14:paraId="311F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2C72EE44">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42</w:t>
                  </w:r>
                </w:p>
              </w:tc>
              <w:tc>
                <w:tcPr>
                  <w:tcW w:w="2346" w:type="dxa"/>
                  <w:shd w:val="clear" w:color="auto" w:fill="auto"/>
                  <w:vAlign w:val="center"/>
                </w:tcPr>
                <w:p w14:paraId="76A24ECA">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皮带锯</w:t>
                  </w:r>
                </w:p>
              </w:tc>
              <w:tc>
                <w:tcPr>
                  <w:tcW w:w="2713" w:type="dxa"/>
                  <w:shd w:val="clear" w:color="auto" w:fill="auto"/>
                  <w:vAlign w:val="center"/>
                </w:tcPr>
                <w:p w14:paraId="21604E2C">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63657D36">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3</w:t>
                  </w:r>
                  <w:r>
                    <w:rPr>
                      <w:rStyle w:val="105"/>
                      <w:rFonts w:hint="default" w:ascii="Times New Roman" w:hAnsi="Times New Roman" w:cs="Times New Roman"/>
                      <w:color w:val="auto"/>
                      <w:highlight w:val="none"/>
                    </w:rPr>
                    <w:t>台</w:t>
                  </w:r>
                </w:p>
              </w:tc>
            </w:tr>
            <w:tr w14:paraId="70B4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769E7CC1">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43</w:t>
                  </w:r>
                </w:p>
              </w:tc>
              <w:tc>
                <w:tcPr>
                  <w:tcW w:w="2346" w:type="dxa"/>
                  <w:shd w:val="clear" w:color="auto" w:fill="auto"/>
                  <w:vAlign w:val="center"/>
                </w:tcPr>
                <w:p w14:paraId="504A040A">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打磨机</w:t>
                  </w:r>
                </w:p>
              </w:tc>
              <w:tc>
                <w:tcPr>
                  <w:tcW w:w="2713" w:type="dxa"/>
                  <w:shd w:val="clear" w:color="auto" w:fill="auto"/>
                  <w:vAlign w:val="center"/>
                </w:tcPr>
                <w:p w14:paraId="22788AA7">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00B8AC6E">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6</w:t>
                  </w:r>
                  <w:r>
                    <w:rPr>
                      <w:rStyle w:val="105"/>
                      <w:rFonts w:hint="default" w:ascii="Times New Roman" w:hAnsi="Times New Roman" w:cs="Times New Roman"/>
                      <w:color w:val="auto"/>
                      <w:highlight w:val="none"/>
                    </w:rPr>
                    <w:t>台</w:t>
                  </w:r>
                </w:p>
              </w:tc>
            </w:tr>
            <w:tr w14:paraId="4AC4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067B1F07">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44</w:t>
                  </w:r>
                </w:p>
              </w:tc>
              <w:tc>
                <w:tcPr>
                  <w:tcW w:w="2346" w:type="dxa"/>
                  <w:shd w:val="clear" w:color="auto" w:fill="auto"/>
                  <w:vAlign w:val="center"/>
                </w:tcPr>
                <w:p w14:paraId="047FF248">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铣床</w:t>
                  </w:r>
                </w:p>
              </w:tc>
              <w:tc>
                <w:tcPr>
                  <w:tcW w:w="2713" w:type="dxa"/>
                  <w:shd w:val="clear" w:color="auto" w:fill="auto"/>
                  <w:vAlign w:val="center"/>
                </w:tcPr>
                <w:p w14:paraId="05F8EB08">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1EE988A2">
                  <w:pPr>
                    <w:widowControl/>
                    <w:jc w:val="center"/>
                    <w:textAlignment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lang w:val="en-US" w:eastAsia="zh-CN"/>
                    </w:rPr>
                    <w:t>1</w:t>
                  </w:r>
                  <w:r>
                    <w:rPr>
                      <w:rStyle w:val="105"/>
                      <w:rFonts w:hint="default" w:ascii="Times New Roman" w:hAnsi="Times New Roman" w:cs="Times New Roman"/>
                      <w:color w:val="auto"/>
                      <w:highlight w:val="none"/>
                    </w:rPr>
                    <w:t>台</w:t>
                  </w:r>
                </w:p>
              </w:tc>
            </w:tr>
            <w:tr w14:paraId="53D1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5BAC63C4">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45</w:t>
                  </w:r>
                </w:p>
              </w:tc>
              <w:tc>
                <w:tcPr>
                  <w:tcW w:w="2346" w:type="dxa"/>
                  <w:shd w:val="clear" w:color="auto" w:fill="auto"/>
                  <w:vAlign w:val="center"/>
                </w:tcPr>
                <w:p w14:paraId="381C7CBE">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砂轮机</w:t>
                  </w:r>
                </w:p>
              </w:tc>
              <w:tc>
                <w:tcPr>
                  <w:tcW w:w="2713" w:type="dxa"/>
                  <w:shd w:val="clear" w:color="auto" w:fill="auto"/>
                  <w:vAlign w:val="center"/>
                </w:tcPr>
                <w:p w14:paraId="268E572A">
                  <w:pPr>
                    <w:widowControl/>
                    <w:jc w:val="center"/>
                    <w:textAlignment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58B55B45">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2台</w:t>
                  </w:r>
                </w:p>
              </w:tc>
            </w:tr>
            <w:tr w14:paraId="1E0C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2D913822">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46</w:t>
                  </w:r>
                </w:p>
              </w:tc>
              <w:tc>
                <w:tcPr>
                  <w:tcW w:w="2346" w:type="dxa"/>
                  <w:shd w:val="clear" w:color="auto" w:fill="auto"/>
                  <w:vAlign w:val="center"/>
                </w:tcPr>
                <w:p w14:paraId="345C0AC1">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磨刀机</w:t>
                  </w:r>
                </w:p>
              </w:tc>
              <w:tc>
                <w:tcPr>
                  <w:tcW w:w="2713" w:type="dxa"/>
                  <w:shd w:val="clear" w:color="auto" w:fill="auto"/>
                  <w:vAlign w:val="center"/>
                </w:tcPr>
                <w:p w14:paraId="057EA396">
                  <w:pPr>
                    <w:widowControl/>
                    <w:jc w:val="center"/>
                    <w:textAlignment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521E319B">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1台</w:t>
                  </w:r>
                </w:p>
              </w:tc>
            </w:tr>
            <w:tr w14:paraId="1B29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7B6117EA">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47</w:t>
                  </w:r>
                </w:p>
              </w:tc>
              <w:tc>
                <w:tcPr>
                  <w:tcW w:w="2346" w:type="dxa"/>
                  <w:shd w:val="clear" w:color="auto" w:fill="auto"/>
                  <w:vAlign w:val="center"/>
                </w:tcPr>
                <w:p w14:paraId="45783685">
                  <w:pPr>
                    <w:widowControl/>
                    <w:jc w:val="center"/>
                    <w:textAlignment w:val="center"/>
                    <w:rPr>
                      <w:rFonts w:hint="default" w:ascii="Times New Roman" w:hAnsi="Times New Roman" w:eastAsia="宋体"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切割机</w:t>
                  </w:r>
                </w:p>
              </w:tc>
              <w:tc>
                <w:tcPr>
                  <w:tcW w:w="2713" w:type="dxa"/>
                  <w:shd w:val="clear" w:color="auto" w:fill="auto"/>
                  <w:vAlign w:val="center"/>
                </w:tcPr>
                <w:p w14:paraId="183BC51A">
                  <w:pPr>
                    <w:widowControl/>
                    <w:jc w:val="center"/>
                    <w:textAlignment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w:t>
                  </w:r>
                </w:p>
              </w:tc>
              <w:tc>
                <w:tcPr>
                  <w:tcW w:w="2612" w:type="dxa"/>
                  <w:shd w:val="clear" w:color="auto" w:fill="auto"/>
                  <w:vAlign w:val="center"/>
                </w:tcPr>
                <w:p w14:paraId="20AF0D12">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2台</w:t>
                  </w:r>
                </w:p>
              </w:tc>
            </w:tr>
            <w:tr w14:paraId="7404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2" w:type="dxa"/>
                  <w:vAlign w:val="center"/>
                </w:tcPr>
                <w:p w14:paraId="519BA87E">
                  <w:pPr>
                    <w:adjustRightInd w:val="0"/>
                    <w:snapToGrid w:val="0"/>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48</w:t>
                  </w:r>
                </w:p>
              </w:tc>
              <w:tc>
                <w:tcPr>
                  <w:tcW w:w="2346" w:type="dxa"/>
                  <w:shd w:val="clear" w:color="auto" w:fill="auto"/>
                  <w:vAlign w:val="center"/>
                </w:tcPr>
                <w:p w14:paraId="7284E541">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数控机床</w:t>
                  </w:r>
                </w:p>
              </w:tc>
              <w:tc>
                <w:tcPr>
                  <w:tcW w:w="2713" w:type="dxa"/>
                  <w:shd w:val="clear" w:color="auto" w:fill="auto"/>
                  <w:vAlign w:val="center"/>
                </w:tcPr>
                <w:p w14:paraId="416BABD5">
                  <w:pPr>
                    <w:widowControl/>
                    <w:jc w:val="center"/>
                    <w:textAlignment w:val="center"/>
                    <w:rPr>
                      <w:rFonts w:hint="default" w:ascii="Times New Roman" w:hAnsi="Times New Roman" w:cs="Times New Roman"/>
                      <w:color w:val="auto"/>
                      <w:kern w:val="0"/>
                      <w:highlight w:val="none"/>
                    </w:rPr>
                  </w:pPr>
                </w:p>
              </w:tc>
              <w:tc>
                <w:tcPr>
                  <w:tcW w:w="2612" w:type="dxa"/>
                  <w:shd w:val="clear" w:color="auto" w:fill="auto"/>
                  <w:vAlign w:val="center"/>
                </w:tcPr>
                <w:p w14:paraId="7265D58E">
                  <w:pPr>
                    <w:widowControl/>
                    <w:jc w:val="center"/>
                    <w:textAlignment w:val="center"/>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t>2台</w:t>
                  </w:r>
                </w:p>
              </w:tc>
            </w:tr>
          </w:tbl>
          <w:p w14:paraId="0C86776E">
            <w:pPr>
              <w:pStyle w:val="10"/>
              <w:spacing w:line="360" w:lineRule="auto"/>
              <w:ind w:firstLine="480" w:firstLineChars="20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t>原项目产能情况见下表：</w:t>
            </w:r>
          </w:p>
          <w:p w14:paraId="6286811E">
            <w:pPr>
              <w:keepNext/>
              <w:widowControl/>
              <w:spacing w:line="360" w:lineRule="auto"/>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2-14</w:t>
            </w:r>
            <w:r>
              <w:rPr>
                <w:rFonts w:hint="default" w:ascii="Times New Roman" w:hAnsi="Times New Roman" w:cs="Times New Roman"/>
                <w:b/>
                <w:bCs/>
                <w:color w:val="auto"/>
                <w:sz w:val="24"/>
                <w:szCs w:val="24"/>
              </w:rPr>
              <w:t xml:space="preserve">  原有项目</w:t>
            </w:r>
            <w:r>
              <w:rPr>
                <w:rFonts w:hint="default" w:ascii="Times New Roman" w:hAnsi="Times New Roman" w:cs="Times New Roman"/>
                <w:b/>
                <w:bCs/>
                <w:color w:val="auto"/>
                <w:sz w:val="24"/>
                <w:szCs w:val="24"/>
                <w:lang w:val="en-US" w:eastAsia="zh-CN"/>
              </w:rPr>
              <w:t>产能</w:t>
            </w:r>
            <w:r>
              <w:rPr>
                <w:rFonts w:hint="default" w:ascii="Times New Roman" w:hAnsi="Times New Roman" w:cs="Times New Roman"/>
                <w:b/>
                <w:bCs/>
                <w:color w:val="auto"/>
                <w:sz w:val="24"/>
                <w:szCs w:val="24"/>
              </w:rPr>
              <w:t>情况一览表</w:t>
            </w:r>
          </w:p>
          <w:tbl>
            <w:tblPr>
              <w:tblStyle w:val="26"/>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637"/>
              <w:gridCol w:w="1336"/>
              <w:gridCol w:w="1459"/>
              <w:gridCol w:w="1132"/>
              <w:gridCol w:w="2492"/>
            </w:tblGrid>
            <w:tr w14:paraId="7ED2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743" w:type="dxa"/>
                  <w:vAlign w:val="center"/>
                </w:tcPr>
                <w:p w14:paraId="3DE6039F">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1637" w:type="dxa"/>
                  <w:vAlign w:val="center"/>
                </w:tcPr>
                <w:p w14:paraId="77AE2AFE">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生产车间</w:t>
                  </w:r>
                </w:p>
              </w:tc>
              <w:tc>
                <w:tcPr>
                  <w:tcW w:w="1336" w:type="dxa"/>
                  <w:vAlign w:val="center"/>
                </w:tcPr>
                <w:p w14:paraId="323B3D69">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产品名称</w:t>
                  </w:r>
                </w:p>
              </w:tc>
              <w:tc>
                <w:tcPr>
                  <w:tcW w:w="1459" w:type="dxa"/>
                  <w:vAlign w:val="center"/>
                </w:tcPr>
                <w:p w14:paraId="55D7670C">
                  <w:pPr>
                    <w:adjustRightInd w:val="0"/>
                    <w:snapToGrid w:val="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产能</w:t>
                  </w:r>
                </w:p>
              </w:tc>
              <w:tc>
                <w:tcPr>
                  <w:tcW w:w="1132" w:type="dxa"/>
                  <w:vAlign w:val="center"/>
                </w:tcPr>
                <w:p w14:paraId="38898FA7">
                  <w:pPr>
                    <w:adjustRightInd w:val="0"/>
                    <w:snapToGrid w:val="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期数</w:t>
                  </w:r>
                </w:p>
              </w:tc>
              <w:tc>
                <w:tcPr>
                  <w:tcW w:w="2492" w:type="dxa"/>
                  <w:vAlign w:val="center"/>
                </w:tcPr>
                <w:p w14:paraId="67EA583D">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备注</w:t>
                  </w:r>
                </w:p>
              </w:tc>
            </w:tr>
            <w:tr w14:paraId="4E8D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743" w:type="dxa"/>
                  <w:vAlign w:val="center"/>
                </w:tcPr>
                <w:p w14:paraId="17F71A44">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637" w:type="dxa"/>
                  <w:vAlign w:val="center"/>
                </w:tcPr>
                <w:p w14:paraId="2ED96B28">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车间二</w:t>
                  </w:r>
                  <w:r>
                    <w:rPr>
                      <w:rFonts w:hint="default" w:ascii="Times New Roman" w:hAnsi="Times New Roman" w:cs="Times New Roman"/>
                      <w:bCs/>
                      <w:color w:val="auto"/>
                      <w:sz w:val="21"/>
                      <w:szCs w:val="21"/>
                      <w:highlight w:val="none"/>
                      <w:lang w:eastAsia="zh-CN"/>
                    </w:rPr>
                    <w:t>、</w:t>
                  </w:r>
                  <w:r>
                    <w:rPr>
                      <w:rFonts w:hint="default" w:ascii="Times New Roman" w:hAnsi="Times New Roman" w:cs="Times New Roman"/>
                      <w:bCs/>
                      <w:color w:val="auto"/>
                      <w:sz w:val="21"/>
                      <w:szCs w:val="21"/>
                      <w:highlight w:val="none"/>
                    </w:rPr>
                    <w:t>车间三</w:t>
                  </w:r>
                </w:p>
              </w:tc>
              <w:tc>
                <w:tcPr>
                  <w:tcW w:w="1336" w:type="dxa"/>
                  <w:vAlign w:val="center"/>
                </w:tcPr>
                <w:p w14:paraId="7B6B8F6A">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阀门</w:t>
                  </w:r>
                </w:p>
              </w:tc>
              <w:tc>
                <w:tcPr>
                  <w:tcW w:w="1459" w:type="dxa"/>
                  <w:vAlign w:val="center"/>
                </w:tcPr>
                <w:p w14:paraId="5CBA0599">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5000件/a</w:t>
                  </w:r>
                </w:p>
              </w:tc>
              <w:tc>
                <w:tcPr>
                  <w:tcW w:w="1132" w:type="dxa"/>
                  <w:vAlign w:val="center"/>
                </w:tcPr>
                <w:p w14:paraId="14635891">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一期</w:t>
                  </w:r>
                </w:p>
              </w:tc>
              <w:tc>
                <w:tcPr>
                  <w:tcW w:w="2492" w:type="dxa"/>
                  <w:vAlign w:val="center"/>
                </w:tcPr>
                <w:p w14:paraId="75F3504B">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已建，</w:t>
                  </w:r>
                  <w:r>
                    <w:rPr>
                      <w:rFonts w:hint="default" w:ascii="Times New Roman" w:hAnsi="Times New Roman" w:cs="Times New Roman"/>
                      <w:bCs/>
                      <w:color w:val="auto"/>
                      <w:sz w:val="21"/>
                      <w:szCs w:val="21"/>
                      <w:highlight w:val="none"/>
                    </w:rPr>
                    <w:t>2017年1月4日</w:t>
                  </w:r>
                  <w:r>
                    <w:rPr>
                      <w:rFonts w:hint="default" w:ascii="Times New Roman" w:hAnsi="Times New Roman" w:cs="Times New Roman"/>
                      <w:bCs/>
                      <w:color w:val="auto"/>
                      <w:sz w:val="21"/>
                      <w:szCs w:val="21"/>
                      <w:highlight w:val="none"/>
                      <w:lang w:val="en-US" w:eastAsia="zh-CN"/>
                    </w:rPr>
                    <w:t>完成验收</w:t>
                  </w:r>
                </w:p>
              </w:tc>
            </w:tr>
            <w:tr w14:paraId="77DF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3" w:type="dxa"/>
                  <w:vAlign w:val="center"/>
                </w:tcPr>
                <w:p w14:paraId="3BD0FCCC">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1637" w:type="dxa"/>
                  <w:vAlign w:val="center"/>
                </w:tcPr>
                <w:p w14:paraId="3D4B505E">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rPr>
                    <w:t>车间四、车间</w:t>
                  </w:r>
                  <w:r>
                    <w:rPr>
                      <w:rFonts w:hint="default" w:ascii="Times New Roman" w:hAnsi="Times New Roman" w:cs="Times New Roman"/>
                      <w:bCs/>
                      <w:color w:val="auto"/>
                      <w:sz w:val="21"/>
                      <w:szCs w:val="21"/>
                      <w:highlight w:val="none"/>
                      <w:lang w:val="en-US" w:eastAsia="zh-CN"/>
                    </w:rPr>
                    <w:t>五</w:t>
                  </w:r>
                </w:p>
              </w:tc>
              <w:tc>
                <w:tcPr>
                  <w:tcW w:w="1336" w:type="dxa"/>
                  <w:vAlign w:val="center"/>
                </w:tcPr>
                <w:p w14:paraId="076A56F8">
                  <w:pPr>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铸铁件</w:t>
                  </w:r>
                </w:p>
              </w:tc>
              <w:tc>
                <w:tcPr>
                  <w:tcW w:w="1459" w:type="dxa"/>
                  <w:vAlign w:val="center"/>
                </w:tcPr>
                <w:p w14:paraId="5A0D83DC">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000t/a</w:t>
                  </w:r>
                </w:p>
              </w:tc>
              <w:tc>
                <w:tcPr>
                  <w:tcW w:w="1132" w:type="dxa"/>
                  <w:vAlign w:val="center"/>
                </w:tcPr>
                <w:p w14:paraId="3EAC79E1">
                  <w:pPr>
                    <w:widowControl/>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二期</w:t>
                  </w:r>
                </w:p>
              </w:tc>
              <w:tc>
                <w:tcPr>
                  <w:tcW w:w="2492" w:type="dxa"/>
                  <w:vMerge w:val="restart"/>
                  <w:vAlign w:val="center"/>
                </w:tcPr>
                <w:p w14:paraId="122366D8">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已建，</w:t>
                  </w:r>
                  <w:r>
                    <w:rPr>
                      <w:rFonts w:hint="default" w:ascii="Times New Roman" w:hAnsi="Times New Roman" w:cs="Times New Roman"/>
                      <w:bCs/>
                      <w:color w:val="auto"/>
                      <w:sz w:val="21"/>
                      <w:szCs w:val="21"/>
                      <w:highlight w:val="none"/>
                    </w:rPr>
                    <w:t>20</w:t>
                  </w:r>
                  <w:r>
                    <w:rPr>
                      <w:rFonts w:hint="default" w:ascii="Times New Roman" w:hAnsi="Times New Roman" w:cs="Times New Roman"/>
                      <w:bCs/>
                      <w:color w:val="auto"/>
                      <w:sz w:val="21"/>
                      <w:szCs w:val="21"/>
                      <w:highlight w:val="none"/>
                      <w:lang w:val="en-US" w:eastAsia="zh-CN"/>
                    </w:rPr>
                    <w:t>20</w:t>
                  </w:r>
                  <w:r>
                    <w:rPr>
                      <w:rFonts w:hint="default" w:ascii="Times New Roman" w:hAnsi="Times New Roman" w:cs="Times New Roman"/>
                      <w:bCs/>
                      <w:color w:val="auto"/>
                      <w:sz w:val="21"/>
                      <w:szCs w:val="21"/>
                      <w:highlight w:val="none"/>
                    </w:rPr>
                    <w:t>年</w:t>
                  </w:r>
                  <w:r>
                    <w:rPr>
                      <w:rFonts w:hint="default" w:ascii="Times New Roman" w:hAnsi="Times New Roman" w:cs="Times New Roman"/>
                      <w:bCs/>
                      <w:color w:val="auto"/>
                      <w:sz w:val="21"/>
                      <w:szCs w:val="21"/>
                      <w:highlight w:val="none"/>
                      <w:lang w:val="en-US" w:eastAsia="zh-CN"/>
                    </w:rPr>
                    <w:t>8</w:t>
                  </w:r>
                  <w:r>
                    <w:rPr>
                      <w:rFonts w:hint="default" w:ascii="Times New Roman" w:hAnsi="Times New Roman" w:cs="Times New Roman"/>
                      <w:bCs/>
                      <w:color w:val="auto"/>
                      <w:sz w:val="21"/>
                      <w:szCs w:val="21"/>
                      <w:highlight w:val="none"/>
                    </w:rPr>
                    <w:t>月</w:t>
                  </w:r>
                  <w:r>
                    <w:rPr>
                      <w:rFonts w:hint="default" w:ascii="Times New Roman" w:hAnsi="Times New Roman" w:cs="Times New Roman"/>
                      <w:bCs/>
                      <w:color w:val="auto"/>
                      <w:sz w:val="21"/>
                      <w:szCs w:val="21"/>
                      <w:highlight w:val="none"/>
                      <w:lang w:val="en-US" w:eastAsia="zh-CN"/>
                    </w:rPr>
                    <w:t>28</w:t>
                  </w:r>
                  <w:r>
                    <w:rPr>
                      <w:rFonts w:hint="default" w:ascii="Times New Roman" w:hAnsi="Times New Roman" w:cs="Times New Roman"/>
                      <w:bCs/>
                      <w:color w:val="auto"/>
                      <w:sz w:val="21"/>
                      <w:szCs w:val="21"/>
                      <w:highlight w:val="none"/>
                    </w:rPr>
                    <w:t>日</w:t>
                  </w:r>
                  <w:r>
                    <w:rPr>
                      <w:rFonts w:hint="default" w:ascii="Times New Roman" w:hAnsi="Times New Roman" w:cs="Times New Roman"/>
                      <w:bCs/>
                      <w:color w:val="auto"/>
                      <w:sz w:val="21"/>
                      <w:szCs w:val="21"/>
                      <w:highlight w:val="none"/>
                      <w:lang w:val="en-US" w:eastAsia="zh-CN"/>
                    </w:rPr>
                    <w:t>完成验收</w:t>
                  </w:r>
                </w:p>
              </w:tc>
            </w:tr>
            <w:tr w14:paraId="6D44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43" w:type="dxa"/>
                  <w:vAlign w:val="center"/>
                </w:tcPr>
                <w:p w14:paraId="41410A53">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3</w:t>
                  </w:r>
                </w:p>
              </w:tc>
              <w:tc>
                <w:tcPr>
                  <w:tcW w:w="1637" w:type="dxa"/>
                  <w:vMerge w:val="restart"/>
                  <w:vAlign w:val="center"/>
                </w:tcPr>
                <w:p w14:paraId="0F5E1FF4">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车间一</w:t>
                  </w:r>
                </w:p>
              </w:tc>
              <w:tc>
                <w:tcPr>
                  <w:tcW w:w="1336" w:type="dxa"/>
                  <w:vAlign w:val="center"/>
                </w:tcPr>
                <w:p w14:paraId="3743D49D">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铸铁件</w:t>
                  </w:r>
                </w:p>
              </w:tc>
              <w:tc>
                <w:tcPr>
                  <w:tcW w:w="1459" w:type="dxa"/>
                  <w:vAlign w:val="center"/>
                </w:tcPr>
                <w:p w14:paraId="2F2A89AB">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000t/a</w:t>
                  </w:r>
                </w:p>
              </w:tc>
              <w:tc>
                <w:tcPr>
                  <w:tcW w:w="1132" w:type="dxa"/>
                  <w:vMerge w:val="restart"/>
                  <w:vAlign w:val="center"/>
                </w:tcPr>
                <w:p w14:paraId="2E13E570">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三期</w:t>
                  </w:r>
                </w:p>
              </w:tc>
              <w:tc>
                <w:tcPr>
                  <w:tcW w:w="2492" w:type="dxa"/>
                  <w:vMerge w:val="continue"/>
                  <w:vAlign w:val="center"/>
                </w:tcPr>
                <w:p w14:paraId="1F2FC712">
                  <w:pPr>
                    <w:jc w:val="center"/>
                    <w:rPr>
                      <w:rFonts w:hint="default" w:ascii="Times New Roman" w:hAnsi="Times New Roman" w:cs="Times New Roman"/>
                      <w:color w:val="auto"/>
                      <w:sz w:val="21"/>
                      <w:szCs w:val="21"/>
                      <w:highlight w:val="none"/>
                    </w:rPr>
                  </w:pPr>
                </w:p>
              </w:tc>
            </w:tr>
            <w:tr w14:paraId="1C38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43" w:type="dxa"/>
                  <w:vAlign w:val="center"/>
                </w:tcPr>
                <w:p w14:paraId="72075D7A">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lang w:val="en-US" w:eastAsia="zh-CN"/>
                    </w:rPr>
                    <w:t>4</w:t>
                  </w:r>
                </w:p>
              </w:tc>
              <w:tc>
                <w:tcPr>
                  <w:tcW w:w="1637" w:type="dxa"/>
                  <w:vMerge w:val="continue"/>
                  <w:vAlign w:val="center"/>
                </w:tcPr>
                <w:p w14:paraId="6C95E68F">
                  <w:pPr>
                    <w:jc w:val="center"/>
                    <w:rPr>
                      <w:rFonts w:hint="default" w:ascii="Times New Roman" w:hAnsi="Times New Roman" w:cs="Times New Roman"/>
                      <w:bCs/>
                      <w:color w:val="auto"/>
                      <w:sz w:val="21"/>
                      <w:szCs w:val="21"/>
                      <w:highlight w:val="none"/>
                    </w:rPr>
                  </w:pPr>
                </w:p>
              </w:tc>
              <w:tc>
                <w:tcPr>
                  <w:tcW w:w="1336" w:type="dxa"/>
                  <w:vAlign w:val="center"/>
                </w:tcPr>
                <w:p w14:paraId="0F62ADB7">
                  <w:pPr>
                    <w:widowControl/>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铸钢件</w:t>
                  </w:r>
                </w:p>
              </w:tc>
              <w:tc>
                <w:tcPr>
                  <w:tcW w:w="1459" w:type="dxa"/>
                  <w:vAlign w:val="center"/>
                </w:tcPr>
                <w:p w14:paraId="200F68AA">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4000t/a</w:t>
                  </w:r>
                </w:p>
              </w:tc>
              <w:tc>
                <w:tcPr>
                  <w:tcW w:w="1132" w:type="dxa"/>
                  <w:vMerge w:val="continue"/>
                  <w:vAlign w:val="center"/>
                </w:tcPr>
                <w:p w14:paraId="3CD23FC6">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2492" w:type="dxa"/>
                  <w:vMerge w:val="continue"/>
                  <w:vAlign w:val="center"/>
                </w:tcPr>
                <w:p w14:paraId="79D39FB5">
                  <w:pPr>
                    <w:jc w:val="center"/>
                    <w:rPr>
                      <w:rFonts w:hint="default" w:ascii="Times New Roman" w:hAnsi="Times New Roman" w:cs="Times New Roman"/>
                      <w:color w:val="auto"/>
                      <w:sz w:val="21"/>
                      <w:szCs w:val="21"/>
                      <w:highlight w:val="none"/>
                    </w:rPr>
                  </w:pPr>
                </w:p>
              </w:tc>
            </w:tr>
            <w:tr w14:paraId="2674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1" w:hRule="atLeast"/>
                <w:jc w:val="center"/>
              </w:trPr>
              <w:tc>
                <w:tcPr>
                  <w:tcW w:w="743" w:type="dxa"/>
                  <w:vAlign w:val="center"/>
                </w:tcPr>
                <w:p w14:paraId="1E6BA438">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5</w:t>
                  </w:r>
                </w:p>
              </w:tc>
              <w:tc>
                <w:tcPr>
                  <w:tcW w:w="1637" w:type="dxa"/>
                  <w:vMerge w:val="restart"/>
                  <w:vAlign w:val="center"/>
                </w:tcPr>
                <w:p w14:paraId="783A182C">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color w:val="auto"/>
                      <w:sz w:val="21"/>
                      <w:szCs w:val="21"/>
                    </w:rPr>
                    <w:t>车间</w:t>
                  </w:r>
                  <w:r>
                    <w:rPr>
                      <w:rFonts w:hint="default" w:ascii="Times New Roman" w:hAnsi="Times New Roman" w:cs="Times New Roman"/>
                      <w:color w:val="auto"/>
                      <w:sz w:val="21"/>
                      <w:szCs w:val="21"/>
                      <w:lang w:val="en-US" w:eastAsia="zh-CN"/>
                    </w:rPr>
                    <w:t>八</w:t>
                  </w:r>
                </w:p>
              </w:tc>
              <w:tc>
                <w:tcPr>
                  <w:tcW w:w="1336" w:type="dxa"/>
                  <w:vAlign w:val="center"/>
                </w:tcPr>
                <w:p w14:paraId="2FE439F0">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铸钢件</w:t>
                  </w:r>
                </w:p>
              </w:tc>
              <w:tc>
                <w:tcPr>
                  <w:tcW w:w="1459" w:type="dxa"/>
                  <w:vAlign w:val="center"/>
                </w:tcPr>
                <w:p w14:paraId="7121BF95">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4000t/a</w:t>
                  </w:r>
                </w:p>
              </w:tc>
              <w:tc>
                <w:tcPr>
                  <w:tcW w:w="1132" w:type="dxa"/>
                  <w:vMerge w:val="restart"/>
                  <w:vAlign w:val="center"/>
                </w:tcPr>
                <w:p w14:paraId="3469A403">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四期</w:t>
                  </w:r>
                </w:p>
              </w:tc>
              <w:tc>
                <w:tcPr>
                  <w:tcW w:w="2492" w:type="dxa"/>
                  <w:vMerge w:val="restart"/>
                  <w:vAlign w:val="center"/>
                </w:tcPr>
                <w:p w14:paraId="5E23DA10">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未建</w:t>
                  </w:r>
                </w:p>
              </w:tc>
            </w:tr>
            <w:tr w14:paraId="407A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jc w:val="center"/>
              </w:trPr>
              <w:tc>
                <w:tcPr>
                  <w:tcW w:w="743" w:type="dxa"/>
                  <w:vAlign w:val="center"/>
                </w:tcPr>
                <w:p w14:paraId="6D9B1FAA">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6</w:t>
                  </w:r>
                </w:p>
              </w:tc>
              <w:tc>
                <w:tcPr>
                  <w:tcW w:w="1637" w:type="dxa"/>
                  <w:vMerge w:val="continue"/>
                  <w:vAlign w:val="center"/>
                </w:tcPr>
                <w:p w14:paraId="2ADC3DD3">
                  <w:pPr>
                    <w:jc w:val="center"/>
                    <w:rPr>
                      <w:rFonts w:hint="default" w:ascii="Times New Roman" w:hAnsi="Times New Roman" w:cs="Times New Roman"/>
                      <w:bCs/>
                      <w:color w:val="auto"/>
                      <w:sz w:val="21"/>
                      <w:szCs w:val="21"/>
                      <w:highlight w:val="none"/>
                    </w:rPr>
                  </w:pPr>
                </w:p>
              </w:tc>
              <w:tc>
                <w:tcPr>
                  <w:tcW w:w="1336" w:type="dxa"/>
                  <w:vAlign w:val="center"/>
                </w:tcPr>
                <w:p w14:paraId="52E0FB3A">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铸铁件</w:t>
                  </w:r>
                </w:p>
              </w:tc>
              <w:tc>
                <w:tcPr>
                  <w:tcW w:w="1459" w:type="dxa"/>
                  <w:vAlign w:val="center"/>
                </w:tcPr>
                <w:p w14:paraId="2B9E8C0D">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6000t/a</w:t>
                  </w:r>
                </w:p>
              </w:tc>
              <w:tc>
                <w:tcPr>
                  <w:tcW w:w="1132" w:type="dxa"/>
                  <w:vMerge w:val="continue"/>
                  <w:vAlign w:val="center"/>
                </w:tcPr>
                <w:p w14:paraId="13218B7A">
                  <w:pPr>
                    <w:widowControl/>
                    <w:jc w:val="center"/>
                    <w:rPr>
                      <w:rFonts w:hint="default" w:ascii="Times New Roman" w:hAnsi="Times New Roman" w:cs="Times New Roman"/>
                      <w:color w:val="auto"/>
                      <w:sz w:val="21"/>
                      <w:szCs w:val="21"/>
                    </w:rPr>
                  </w:pPr>
                </w:p>
              </w:tc>
              <w:tc>
                <w:tcPr>
                  <w:tcW w:w="2492" w:type="dxa"/>
                  <w:vMerge w:val="continue"/>
                  <w:vAlign w:val="center"/>
                </w:tcPr>
                <w:p w14:paraId="1D5FD2D2">
                  <w:pPr>
                    <w:jc w:val="center"/>
                    <w:rPr>
                      <w:rFonts w:hint="default" w:ascii="Times New Roman" w:hAnsi="Times New Roman" w:cs="Times New Roman"/>
                      <w:color w:val="auto"/>
                      <w:sz w:val="21"/>
                      <w:szCs w:val="21"/>
                      <w:highlight w:val="none"/>
                    </w:rPr>
                  </w:pPr>
                </w:p>
              </w:tc>
            </w:tr>
            <w:tr w14:paraId="0952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43" w:type="dxa"/>
                  <w:vAlign w:val="center"/>
                </w:tcPr>
                <w:p w14:paraId="576F1130">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7</w:t>
                  </w:r>
                </w:p>
              </w:tc>
              <w:tc>
                <w:tcPr>
                  <w:tcW w:w="1637" w:type="dxa"/>
                  <w:vMerge w:val="restart"/>
                  <w:vAlign w:val="center"/>
                </w:tcPr>
                <w:p w14:paraId="78E67FC1">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color w:val="auto"/>
                      <w:sz w:val="21"/>
                      <w:szCs w:val="21"/>
                    </w:rPr>
                    <w:t>车间</w:t>
                  </w:r>
                  <w:r>
                    <w:rPr>
                      <w:rFonts w:hint="default" w:ascii="Times New Roman" w:hAnsi="Times New Roman" w:cs="Times New Roman"/>
                      <w:color w:val="auto"/>
                      <w:sz w:val="21"/>
                      <w:szCs w:val="21"/>
                      <w:lang w:val="en-US" w:eastAsia="zh-CN"/>
                    </w:rPr>
                    <w:t>九</w:t>
                  </w:r>
                </w:p>
              </w:tc>
              <w:tc>
                <w:tcPr>
                  <w:tcW w:w="1336" w:type="dxa"/>
                  <w:vAlign w:val="center"/>
                </w:tcPr>
                <w:p w14:paraId="5C8D50D4">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铸钢件</w:t>
                  </w:r>
                </w:p>
              </w:tc>
              <w:tc>
                <w:tcPr>
                  <w:tcW w:w="1459" w:type="dxa"/>
                  <w:vAlign w:val="center"/>
                </w:tcPr>
                <w:p w14:paraId="55DE5B83">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4000t/a</w:t>
                  </w:r>
                </w:p>
              </w:tc>
              <w:tc>
                <w:tcPr>
                  <w:tcW w:w="1132" w:type="dxa"/>
                  <w:vMerge w:val="restart"/>
                  <w:vAlign w:val="center"/>
                </w:tcPr>
                <w:p w14:paraId="5A96282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五期</w:t>
                  </w:r>
                </w:p>
              </w:tc>
              <w:tc>
                <w:tcPr>
                  <w:tcW w:w="2492" w:type="dxa"/>
                  <w:vMerge w:val="restart"/>
                  <w:vAlign w:val="center"/>
                </w:tcPr>
                <w:p w14:paraId="34B97F31">
                  <w:pPr>
                    <w:widowControl/>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rPr>
                    <w:t>未建</w:t>
                  </w:r>
                </w:p>
              </w:tc>
            </w:tr>
            <w:tr w14:paraId="29EC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3" w:type="dxa"/>
                  <w:vAlign w:val="center"/>
                </w:tcPr>
                <w:p w14:paraId="5912BFD4">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lang w:val="en-US" w:eastAsia="zh-CN"/>
                    </w:rPr>
                    <w:t>8</w:t>
                  </w:r>
                </w:p>
              </w:tc>
              <w:tc>
                <w:tcPr>
                  <w:tcW w:w="1637" w:type="dxa"/>
                  <w:vMerge w:val="continue"/>
                  <w:vAlign w:val="center"/>
                </w:tcPr>
                <w:p w14:paraId="28BCA030">
                  <w:pPr>
                    <w:jc w:val="center"/>
                    <w:rPr>
                      <w:rFonts w:hint="default" w:ascii="Times New Roman" w:hAnsi="Times New Roman" w:cs="Times New Roman"/>
                      <w:bCs/>
                      <w:color w:val="auto"/>
                      <w:sz w:val="21"/>
                      <w:szCs w:val="21"/>
                      <w:highlight w:val="none"/>
                    </w:rPr>
                  </w:pPr>
                </w:p>
              </w:tc>
              <w:tc>
                <w:tcPr>
                  <w:tcW w:w="1336" w:type="dxa"/>
                  <w:vAlign w:val="center"/>
                </w:tcPr>
                <w:p w14:paraId="4A356E8D">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铸铁件</w:t>
                  </w:r>
                </w:p>
              </w:tc>
              <w:tc>
                <w:tcPr>
                  <w:tcW w:w="1459" w:type="dxa"/>
                  <w:vAlign w:val="center"/>
                </w:tcPr>
                <w:p w14:paraId="10B1280D">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6000t/a</w:t>
                  </w:r>
                </w:p>
              </w:tc>
              <w:tc>
                <w:tcPr>
                  <w:tcW w:w="1132" w:type="dxa"/>
                  <w:vMerge w:val="continue"/>
                  <w:vAlign w:val="center"/>
                </w:tcPr>
                <w:p w14:paraId="6EB6F64B">
                  <w:pPr>
                    <w:widowControl/>
                    <w:jc w:val="center"/>
                    <w:rPr>
                      <w:rFonts w:hint="default" w:ascii="Times New Roman" w:hAnsi="Times New Roman" w:cs="Times New Roman"/>
                      <w:color w:val="auto"/>
                      <w:sz w:val="21"/>
                      <w:szCs w:val="21"/>
                    </w:rPr>
                  </w:pPr>
                </w:p>
              </w:tc>
              <w:tc>
                <w:tcPr>
                  <w:tcW w:w="2492" w:type="dxa"/>
                  <w:vMerge w:val="continue"/>
                  <w:vAlign w:val="center"/>
                </w:tcPr>
                <w:p w14:paraId="69536187">
                  <w:pPr>
                    <w:jc w:val="center"/>
                    <w:rPr>
                      <w:rFonts w:hint="default" w:ascii="Times New Roman" w:hAnsi="Times New Roman" w:cs="Times New Roman"/>
                      <w:color w:val="auto"/>
                      <w:sz w:val="21"/>
                      <w:szCs w:val="21"/>
                      <w:highlight w:val="none"/>
                    </w:rPr>
                  </w:pPr>
                </w:p>
              </w:tc>
            </w:tr>
          </w:tbl>
          <w:p w14:paraId="1DD9B163">
            <w:pPr>
              <w:pStyle w:val="10"/>
              <w:spacing w:line="360" w:lineRule="auto"/>
              <w:ind w:firstLine="480" w:firstLineChars="200"/>
              <w:rPr>
                <w:rFonts w:hint="default" w:ascii="Times New Roman" w:hAnsi="Times New Roman" w:cs="Times New Roman"/>
                <w:bCs/>
                <w:color w:val="auto"/>
                <w:sz w:val="24"/>
                <w:szCs w:val="24"/>
                <w:lang w:val="en-US" w:eastAsia="zh-CN"/>
              </w:rPr>
            </w:pPr>
          </w:p>
          <w:p w14:paraId="084E7DEC">
            <w:pPr>
              <w:pStyle w:val="10"/>
              <w:spacing w:line="360" w:lineRule="auto"/>
              <w:ind w:firstLine="480" w:firstLineChars="20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t>原项目工艺情况见下述：</w:t>
            </w:r>
          </w:p>
          <w:p w14:paraId="1D13F324">
            <w:pPr>
              <w:pStyle w:val="126"/>
              <w:autoSpaceDE w:val="0"/>
              <w:spacing w:line="360" w:lineRule="auto"/>
              <w:ind w:firstLine="482" w:firstLineChars="200"/>
              <w:rPr>
                <w:rFonts w:hint="default" w:ascii="Times New Roman" w:hAnsi="Times New Roman" w:eastAsia="宋体" w:cs="Times New Roman"/>
                <w:b/>
                <w:color w:val="auto"/>
                <w:sz w:val="24"/>
                <w:szCs w:val="24"/>
                <w:lang w:val="en-US" w:eastAsia="zh-CN"/>
              </w:rPr>
            </w:pPr>
            <w:r>
              <w:rPr>
                <w:rFonts w:hint="default" w:ascii="Times New Roman" w:hAnsi="Times New Roman" w:cs="Times New Roman"/>
                <w:b/>
                <w:color w:val="auto"/>
                <w:sz w:val="24"/>
                <w:szCs w:val="24"/>
              </w:rPr>
              <w:t>①项目一期年产5000件阀门生产工艺流程</w:t>
            </w:r>
            <w:r>
              <w:rPr>
                <w:rFonts w:hint="default" w:ascii="Times New Roman" w:hAnsi="Times New Roman" w:cs="Times New Roman"/>
                <w:b/>
                <w:color w:val="auto"/>
                <w:sz w:val="24"/>
                <w:szCs w:val="24"/>
                <w:lang w:val="en-US" w:eastAsia="zh-CN"/>
              </w:rPr>
              <w:t>：</w:t>
            </w:r>
          </w:p>
          <w:p w14:paraId="18806AEA">
            <w:pPr>
              <w:pStyle w:val="10"/>
              <w:spacing w:line="360" w:lineRule="auto"/>
              <w:ind w:firstLine="480" w:firstLineChars="20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drawing>
                <wp:inline distT="0" distB="0" distL="114300" distR="114300">
                  <wp:extent cx="4286250" cy="4924425"/>
                  <wp:effectExtent l="0" t="0" r="0" b="9525"/>
                  <wp:docPr id="120" name="图片 120" descr="a91ab4b1-d3a9-49ee-9d92-2741001ab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a91ab4b1-d3a9-49ee-9d92-2741001ab464"/>
                          <pic:cNvPicPr>
                            <a:picLocks noChangeAspect="1"/>
                          </pic:cNvPicPr>
                        </pic:nvPicPr>
                        <pic:blipFill>
                          <a:blip r:embed="rId20"/>
                          <a:stretch>
                            <a:fillRect/>
                          </a:stretch>
                        </pic:blipFill>
                        <pic:spPr>
                          <a:xfrm>
                            <a:off x="0" y="0"/>
                            <a:ext cx="4286250" cy="4924425"/>
                          </a:xfrm>
                          <a:prstGeom prst="rect">
                            <a:avLst/>
                          </a:prstGeom>
                        </pic:spPr>
                      </pic:pic>
                    </a:graphicData>
                  </a:graphic>
                </wp:inline>
              </w:drawing>
            </w:r>
          </w:p>
          <w:p w14:paraId="761D79BF">
            <w:pPr>
              <w:autoSpaceDE w:val="0"/>
              <w:spacing w:line="360" w:lineRule="auto"/>
              <w:jc w:val="center"/>
              <w:rPr>
                <w:rFonts w:hint="default" w:ascii="Times New Roman" w:hAnsi="Times New Roman" w:cs="Times New Roman"/>
                <w:b/>
                <w:bCs/>
                <w:color w:val="auto"/>
                <w:sz w:val="24"/>
                <w:szCs w:val="24"/>
              </w:rPr>
            </w:pPr>
            <w:r>
              <w:rPr>
                <w:rFonts w:hint="default" w:ascii="Times New Roman" w:hAnsi="Times New Roman" w:eastAsia="宋体" w:cs="Times New Roman"/>
                <w:b/>
                <w:bCs/>
                <w:color w:val="auto"/>
                <w:sz w:val="24"/>
                <w:szCs w:val="24"/>
              </w:rPr>
              <w:t>图2-</w:t>
            </w:r>
            <w:r>
              <w:rPr>
                <w:rFonts w:hint="default" w:ascii="Times New Roman" w:hAnsi="Times New Roman" w:cs="Times New Roman"/>
                <w:b/>
                <w:bCs/>
                <w:color w:val="auto"/>
                <w:sz w:val="24"/>
                <w:szCs w:val="24"/>
                <w:lang w:val="en-US" w:eastAsia="zh-CN"/>
              </w:rPr>
              <w:t>5阀门</w:t>
            </w:r>
            <w:r>
              <w:rPr>
                <w:rFonts w:hint="default" w:ascii="Times New Roman" w:hAnsi="Times New Roman" w:eastAsia="宋体" w:cs="Times New Roman"/>
                <w:b/>
                <w:bCs/>
                <w:color w:val="auto"/>
                <w:sz w:val="24"/>
                <w:szCs w:val="24"/>
              </w:rPr>
              <w:t>工艺流程图</w:t>
            </w:r>
          </w:p>
          <w:p w14:paraId="4EE28EE7">
            <w:pPr>
              <w:autoSpaceDE w:val="0"/>
              <w:spacing w:line="360" w:lineRule="auto"/>
              <w:ind w:firstLine="480" w:firstLineChars="20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t>项目一期阀门生产</w:t>
            </w:r>
            <w:r>
              <w:rPr>
                <w:rFonts w:hint="default" w:ascii="Times New Roman" w:hAnsi="Times New Roman" w:cs="Times New Roman"/>
                <w:bCs/>
                <w:color w:val="auto"/>
                <w:kern w:val="0"/>
                <w:sz w:val="24"/>
                <w:szCs w:val="24"/>
              </w:rPr>
              <w:t>工艺流程简述：</w:t>
            </w:r>
          </w:p>
          <w:p w14:paraId="64065ABC">
            <w:pPr>
              <w:pStyle w:val="10"/>
              <w:numPr>
                <w:ilvl w:val="0"/>
                <w:numId w:val="9"/>
              </w:numPr>
              <w:spacing w:line="360" w:lineRule="auto"/>
              <w:ind w:firstLine="480" w:firstLineChars="20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t>混砂、造型：首先将准备好的型板(或芯盒)与砂箱摆放在混砂机放砂范围内，将砂、水玻璃按一定比例配比，开动混砂机对砂箱(或芯盒)内放入型腔(或砂芯)，手工对砂芯表面修整并处置4小时以上，最后下芯，合型，等待浇注。2.中频炉熔融：将钢坯放入中频炉中，然后熔制出钢水，供浇注铸钢件使用。3.浇注：将熔好的钢水倒入制备好的型腔内，进行浇注。4.清砂：把浇注后的砂模去掉，把附在铸钢件表面的砂清理干净。5.割冒口：把供铸钢件收缩时补充钢水用的部分去掉。6.补焊：铸钢件有缺陷的地方用电焊补平。7.抛丸：清理铸钢件表面氧化皮，抛光铸钢件本体。8.机加工：根据产品需要，将各种零配件进行车、铣、钻、锯等机加工操作。9.装配：将加工好的零配件组装成阀门。10.外委喷涂：项目生产阀门的过程中由于客户对产品质量的要求，有少部分需要电镀及喷涂，委托相关企业进行加工。11.QC为质检工序，主要将装配完毕的阀门进行试压检测，合格产品进入产品仓库，不合格产品进入废品仓库。</w:t>
            </w:r>
          </w:p>
          <w:p w14:paraId="1C972A68">
            <w:pPr>
              <w:pStyle w:val="126"/>
              <w:autoSpaceDE w:val="0"/>
              <w:spacing w:line="360" w:lineRule="auto"/>
              <w:ind w:firstLine="482" w:firstLineChars="200"/>
              <w:rPr>
                <w:rFonts w:hint="default" w:ascii="Times New Roman" w:hAnsi="Times New Roman" w:eastAsia="宋体" w:cs="Times New Roman"/>
                <w:b/>
                <w:bCs/>
                <w:color w:val="auto"/>
                <w:sz w:val="24"/>
                <w:szCs w:val="24"/>
                <w:lang w:eastAsia="zh-CN"/>
              </w:rPr>
            </w:pPr>
            <w:r>
              <w:rPr>
                <w:rFonts w:hint="default" w:ascii="Times New Roman" w:hAnsi="Times New Roman" w:cs="Times New Roman"/>
                <w:b/>
                <w:color w:val="auto"/>
                <w:sz w:val="24"/>
                <w:szCs w:val="24"/>
              </w:rPr>
              <w:t>②项目二期</w:t>
            </w:r>
            <w:r>
              <w:rPr>
                <w:rFonts w:hint="default" w:ascii="Times New Roman" w:hAnsi="Times New Roman" w:cs="Times New Roman"/>
                <w:b/>
                <w:bCs/>
                <w:color w:val="auto"/>
                <w:sz w:val="24"/>
                <w:szCs w:val="24"/>
              </w:rPr>
              <w:t>年产</w:t>
            </w:r>
            <w:r>
              <w:rPr>
                <w:rFonts w:hint="default" w:ascii="Times New Roman" w:hAnsi="Times New Roman" w:cs="Times New Roman"/>
                <w:b/>
                <w:bCs/>
                <w:color w:val="auto"/>
                <w:sz w:val="24"/>
                <w:szCs w:val="24"/>
                <w:lang w:val="en-US" w:eastAsia="zh-CN"/>
              </w:rPr>
              <w:t>8</w:t>
            </w:r>
            <w:r>
              <w:rPr>
                <w:rFonts w:hint="default" w:ascii="Times New Roman" w:hAnsi="Times New Roman" w:cs="Times New Roman"/>
                <w:b/>
                <w:bCs/>
                <w:color w:val="auto"/>
                <w:sz w:val="24"/>
                <w:szCs w:val="24"/>
              </w:rPr>
              <w:t>000吨铸铁件生产工艺流程</w:t>
            </w:r>
            <w:r>
              <w:rPr>
                <w:rFonts w:hint="default" w:ascii="Times New Roman" w:hAnsi="Times New Roman" w:cs="Times New Roman"/>
                <w:b/>
                <w:bCs/>
                <w:color w:val="auto"/>
                <w:sz w:val="24"/>
                <w:szCs w:val="24"/>
                <w:lang w:eastAsia="zh-CN"/>
              </w:rPr>
              <w:t>（</w:t>
            </w:r>
            <w:r>
              <w:rPr>
                <w:rFonts w:hint="default" w:ascii="Times New Roman" w:hAnsi="Times New Roman" w:cs="Times New Roman"/>
                <w:b/>
                <w:bCs/>
                <w:color w:val="auto"/>
                <w:sz w:val="24"/>
                <w:szCs w:val="24"/>
              </w:rPr>
              <w:t>粘土砂（湿型/芯工艺）铸造工艺</w:t>
            </w:r>
            <w:r>
              <w:rPr>
                <w:rFonts w:hint="default" w:ascii="Times New Roman" w:hAnsi="Times New Roman" w:cs="Times New Roman"/>
                <w:b/>
                <w:bCs/>
                <w:color w:val="auto"/>
                <w:sz w:val="24"/>
                <w:szCs w:val="24"/>
                <w:lang w:eastAsia="zh-CN"/>
              </w:rPr>
              <w:t>）</w:t>
            </w:r>
          </w:p>
          <w:p w14:paraId="5F39A030">
            <w:pPr>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057775" cy="4848225"/>
                  <wp:effectExtent l="0" t="0" r="9525" b="9525"/>
                  <wp:docPr id="121" name="图片 121" descr="C:\Users\ADMINI~1\AppData\Local\Temp\ksohtml12540\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C:\Users\ADMINI~1\AppData\Local\Temp\ksohtml12540\wps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057775" cy="4848225"/>
                          </a:xfrm>
                          <a:prstGeom prst="rect">
                            <a:avLst/>
                          </a:prstGeom>
                          <a:noFill/>
                          <a:ln>
                            <a:noFill/>
                          </a:ln>
                        </pic:spPr>
                      </pic:pic>
                    </a:graphicData>
                  </a:graphic>
                </wp:inline>
              </w:drawing>
            </w:r>
            <w:r>
              <w:rPr>
                <w:rFonts w:hint="default" w:ascii="Times New Roman" w:hAnsi="Times New Roman" w:cs="Times New Roman"/>
                <w:color w:val="auto"/>
                <w:sz w:val="21"/>
              </w:rPr>
              <mc:AlternateContent>
                <mc:Choice Requires="wps">
                  <w:drawing>
                    <wp:anchor distT="0" distB="0" distL="114300" distR="114300" simplePos="0" relativeHeight="251751424" behindDoc="0" locked="0" layoutInCell="1" allowOverlap="1">
                      <wp:simplePos x="0" y="0"/>
                      <wp:positionH relativeFrom="column">
                        <wp:posOffset>1425575</wp:posOffset>
                      </wp:positionH>
                      <wp:positionV relativeFrom="paragraph">
                        <wp:posOffset>2769870</wp:posOffset>
                      </wp:positionV>
                      <wp:extent cx="980440" cy="304800"/>
                      <wp:effectExtent l="0" t="0" r="10160" b="0"/>
                      <wp:wrapNone/>
                      <wp:docPr id="424" name="矩形 424"/>
                      <wp:cNvGraphicFramePr/>
                      <a:graphic xmlns:a="http://schemas.openxmlformats.org/drawingml/2006/main">
                        <a:graphicData uri="http://schemas.microsoft.com/office/word/2010/wordprocessingShape">
                          <wps:wsp>
                            <wps:cNvSpPr/>
                            <wps:spPr>
                              <a:xfrm>
                                <a:off x="0" y="0"/>
                                <a:ext cx="980440" cy="30480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2.25pt;margin-top:218.1pt;height:24pt;width:77.2pt;z-index:251751424;v-text-anchor:middle;mso-width-relative:page;mso-height-relative:page;" fillcolor="#FFFFFF [3212]" filled="t" stroked="f" coordsize="21600,21600" o:gfxdata="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u&#10;GhNE1wAAAAsBAAAPAAAAAAAAAAEAIAAAACIAAABkcnMvZG93bnJldi54bWxQSwECFAAUAAAACACH&#10;TuJAT9dBoV4CAAC3BAAADgAAAAAAAAABACAAAAAmAQAAZHJzL2Uyb0RvYy54bWxQSwUGAAAAAAYA&#10;BgBZAQAA9gUAAAAA&#10;">
                      <v:fill on="t" focussize="0,0"/>
                      <v:stroke on="f" weight="2pt"/>
                      <v:imagedata o:title=""/>
                      <o:lock v:ext="edit" aspectratio="f"/>
                    </v:rect>
                  </w:pict>
                </mc:Fallback>
              </mc:AlternateContent>
            </w:r>
            <w:r>
              <w:rPr>
                <w:rFonts w:hint="default" w:ascii="Times New Roman" w:hAnsi="Times New Roman" w:cs="Times New Roman"/>
                <w:color w:val="auto"/>
                <w:sz w:val="21"/>
              </w:rPr>
              <mc:AlternateContent>
                <mc:Choice Requires="wps">
                  <w:drawing>
                    <wp:anchor distT="0" distB="0" distL="114300" distR="114300" simplePos="0" relativeHeight="251750400" behindDoc="0" locked="0" layoutInCell="1" allowOverlap="1">
                      <wp:simplePos x="0" y="0"/>
                      <wp:positionH relativeFrom="column">
                        <wp:posOffset>328930</wp:posOffset>
                      </wp:positionH>
                      <wp:positionV relativeFrom="paragraph">
                        <wp:posOffset>1550670</wp:posOffset>
                      </wp:positionV>
                      <wp:extent cx="657860" cy="304800"/>
                      <wp:effectExtent l="0" t="0" r="8890" b="0"/>
                      <wp:wrapNone/>
                      <wp:docPr id="423" name="矩形 423"/>
                      <wp:cNvGraphicFramePr/>
                      <a:graphic xmlns:a="http://schemas.openxmlformats.org/drawingml/2006/main">
                        <a:graphicData uri="http://schemas.microsoft.com/office/word/2010/wordprocessingShape">
                          <wps:wsp>
                            <wps:cNvSpPr/>
                            <wps:spPr>
                              <a:xfrm>
                                <a:off x="0" y="0"/>
                                <a:ext cx="657860" cy="30480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9pt;margin-top:122.1pt;height:24pt;width:51.8pt;z-index:251750400;v-text-anchor:middle;mso-width-relative:page;mso-height-relative:page;" fillcolor="#FFFFFF [3212]" filled="t" stroked="f" coordsize="21600,21600" o:gfxdata="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Im&#10;4OTVAAAACgEAAA8AAAAAAAAAAQAgAAAAIgAAAGRycy9kb3ducmV2LnhtbFBLAQIUABQAAAAIAIdO&#10;4kCbNvuaXwIAALcEAAAOAAAAAAAAAAEAIAAAACQBAABkcnMvZTJvRG9jLnhtbFBLBQYAAAAABgAG&#10;AFkBAAD1BQAAAAA=&#10;">
                      <v:fill on="t" focussize="0,0"/>
                      <v:stroke on="f" weight="2pt"/>
                      <v:imagedata o:title=""/>
                      <o:lock v:ext="edit" aspectratio="f"/>
                    </v:rect>
                  </w:pict>
                </mc:Fallback>
              </mc:AlternateContent>
            </w:r>
            <w:r>
              <w:rPr>
                <w:rFonts w:hint="default" w:ascii="Times New Roman" w:hAnsi="Times New Roman" w:cs="Times New Roman"/>
                <w:color w:val="auto"/>
                <w:sz w:val="21"/>
              </w:rPr>
              <mc:AlternateContent>
                <mc:Choice Requires="wps">
                  <w:drawing>
                    <wp:anchor distT="0" distB="0" distL="114300" distR="114300" simplePos="0" relativeHeight="251749376" behindDoc="0" locked="0" layoutInCell="1" allowOverlap="1">
                      <wp:simplePos x="0" y="0"/>
                      <wp:positionH relativeFrom="column">
                        <wp:posOffset>3387725</wp:posOffset>
                      </wp:positionH>
                      <wp:positionV relativeFrom="paragraph">
                        <wp:posOffset>2179320</wp:posOffset>
                      </wp:positionV>
                      <wp:extent cx="808990" cy="304800"/>
                      <wp:effectExtent l="0" t="0" r="10160" b="0"/>
                      <wp:wrapNone/>
                      <wp:docPr id="422" name="矩形 422"/>
                      <wp:cNvGraphicFramePr/>
                      <a:graphic xmlns:a="http://schemas.openxmlformats.org/drawingml/2006/main">
                        <a:graphicData uri="http://schemas.microsoft.com/office/word/2010/wordprocessingShape">
                          <wps:wsp>
                            <wps:cNvSpPr/>
                            <wps:spPr>
                              <a:xfrm>
                                <a:off x="0" y="0"/>
                                <a:ext cx="808990" cy="30480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6.75pt;margin-top:171.6pt;height:24pt;width:63.7pt;z-index:251749376;v-text-anchor:middle;mso-width-relative:page;mso-height-relative:page;" fillcolor="#FFFFFF [3212]" filled="t" stroked="f" coordsize="21600,21600" o:gfxdata="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7cZQztcAAAALAQAADwAAAAAAAAABACAAAAAiAAAAZHJzL2Rvd25yZXYueG1sUEsBAhQAFAAAAAgA&#10;h07iQP4v30xfAgAAtwQAAA4AAAAAAAAAAQAgAAAAJgEAAGRycy9lMm9Eb2MueG1sUEsFBgAAAAAG&#10;AAYAWQEAAPcFAAAAAA==&#10;">
                      <v:fill on="t" focussize="0,0"/>
                      <v:stroke on="f" weight="2pt"/>
                      <v:imagedata o:title=""/>
                      <o:lock v:ext="edit" aspectratio="f"/>
                    </v:rect>
                  </w:pict>
                </mc:Fallback>
              </mc:AlternateContent>
            </w:r>
            <w:r>
              <w:rPr>
                <w:rFonts w:hint="default" w:ascii="Times New Roman" w:hAnsi="Times New Roman" w:cs="Times New Roman"/>
                <w:color w:val="auto"/>
                <w:sz w:val="21"/>
              </w:rPr>
              <mc:AlternateContent>
                <mc:Choice Requires="wps">
                  <w:drawing>
                    <wp:anchor distT="0" distB="0" distL="114300" distR="114300" simplePos="0" relativeHeight="251748352" behindDoc="0" locked="0" layoutInCell="1" allowOverlap="1">
                      <wp:simplePos x="0" y="0"/>
                      <wp:positionH relativeFrom="column">
                        <wp:posOffset>3387090</wp:posOffset>
                      </wp:positionH>
                      <wp:positionV relativeFrom="paragraph">
                        <wp:posOffset>1636395</wp:posOffset>
                      </wp:positionV>
                      <wp:extent cx="781050" cy="304800"/>
                      <wp:effectExtent l="0" t="0" r="0" b="0"/>
                      <wp:wrapNone/>
                      <wp:docPr id="421" name="矩形 421"/>
                      <wp:cNvGraphicFramePr/>
                      <a:graphic xmlns:a="http://schemas.openxmlformats.org/drawingml/2006/main">
                        <a:graphicData uri="http://schemas.microsoft.com/office/word/2010/wordprocessingShape">
                          <wps:wsp>
                            <wps:cNvSpPr/>
                            <wps:spPr>
                              <a:xfrm>
                                <a:off x="0" y="0"/>
                                <a:ext cx="781050" cy="30480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6.7pt;margin-top:128.85pt;height:24pt;width:61.5pt;z-index:251748352;v-text-anchor:middle;mso-width-relative:page;mso-height-relative:page;" fillcolor="#FFFFFF [3212]" filled="t" stroked="f" coordsize="21600,21600" o:gfxdata="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w&#10;gAXw1wAAAAsBAAAPAAAAAAAAAAEAIAAAACIAAABkcnMvZG93bnJldi54bWxQSwECFAAUAAAACACH&#10;TuJABBm5sl4CAAC3BAAADgAAAAAAAAABACAAAAAmAQAAZHJzL2Uyb0RvYy54bWxQSwUGAAAAAAYA&#10;BgBZAQAA9gUAAAAA&#10;">
                      <v:fill on="t" focussize="0,0"/>
                      <v:stroke on="f" weight="2pt"/>
                      <v:imagedata o:title=""/>
                      <o:lock v:ext="edit" aspectratio="f"/>
                    </v:rect>
                  </w:pict>
                </mc:Fallback>
              </mc:AlternateContent>
            </w:r>
            <w:r>
              <w:rPr>
                <w:rFonts w:hint="default" w:ascii="Times New Roman" w:hAnsi="Times New Roman" w:cs="Times New Roman"/>
                <w:color w:val="auto"/>
                <w:sz w:val="21"/>
              </w:rPr>
              <mc:AlternateContent>
                <mc:Choice Requires="wps">
                  <w:drawing>
                    <wp:anchor distT="0" distB="0" distL="114300" distR="114300" simplePos="0" relativeHeight="251747328" behindDoc="0" locked="0" layoutInCell="1" allowOverlap="1">
                      <wp:simplePos x="0" y="0"/>
                      <wp:positionH relativeFrom="column">
                        <wp:posOffset>3425190</wp:posOffset>
                      </wp:positionH>
                      <wp:positionV relativeFrom="paragraph">
                        <wp:posOffset>750570</wp:posOffset>
                      </wp:positionV>
                      <wp:extent cx="781050" cy="304800"/>
                      <wp:effectExtent l="0" t="0" r="0" b="0"/>
                      <wp:wrapNone/>
                      <wp:docPr id="417" name="矩形 417"/>
                      <wp:cNvGraphicFramePr/>
                      <a:graphic xmlns:a="http://schemas.openxmlformats.org/drawingml/2006/main">
                        <a:graphicData uri="http://schemas.microsoft.com/office/word/2010/wordprocessingShape">
                          <wps:wsp>
                            <wps:cNvSpPr/>
                            <wps:spPr>
                              <a:xfrm>
                                <a:off x="5066030" y="4699635"/>
                                <a:ext cx="781050" cy="30480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9.7pt;margin-top:59.1pt;height:24pt;width:61.5pt;z-index:251747328;v-text-anchor:middle;mso-width-relative:page;mso-height-relative:page;" fillcolor="#FFFFFF [3212]" filled="t" stroked="f" coordsize="21600,21600" o:gfxdata="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JhULwHVAAAACwEAAA8AAAAAAAAAAQAgAAAAIgAAAGRycy9kb3ducmV2LnhtbFBL&#10;AQIUABQAAAAIAIdO4kD19aasawIAAMMEAAAOAAAAAAAAAAEAIAAAACQBAABkcnMvZTJvRG9jLnht&#10;bFBLBQYAAAAABgAGAFkBAAABBgAAAAA=&#10;">
                      <v:fill on="t" focussize="0,0"/>
                      <v:stroke on="f" weight="2pt"/>
                      <v:imagedata o:title=""/>
                      <o:lock v:ext="edit" aspectratio="f"/>
                    </v:rect>
                  </w:pict>
                </mc:Fallback>
              </mc:AlternateContent>
            </w:r>
          </w:p>
          <w:p w14:paraId="69A85B03">
            <w:pPr>
              <w:pStyle w:val="8"/>
              <w:autoSpaceDE w:val="0"/>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图2-</w:t>
            </w:r>
            <w:r>
              <w:rPr>
                <w:rFonts w:hint="default" w:ascii="Times New Roman" w:hAnsi="Times New Roman" w:eastAsia="宋体" w:cs="Times New Roman"/>
                <w:b/>
                <w:bCs/>
                <w:color w:val="auto"/>
                <w:sz w:val="24"/>
                <w:szCs w:val="24"/>
                <w:lang w:val="en-US" w:eastAsia="zh-CN"/>
              </w:rPr>
              <w:t>6</w:t>
            </w:r>
            <w:r>
              <w:rPr>
                <w:rFonts w:hint="default" w:ascii="Times New Roman" w:hAnsi="Times New Roman" w:eastAsia="宋体" w:cs="Times New Roman"/>
                <w:b/>
                <w:bCs/>
                <w:color w:val="auto"/>
                <w:sz w:val="24"/>
                <w:szCs w:val="24"/>
              </w:rPr>
              <w:t>粘土砂（湿型/芯工艺）铸造工艺流程图</w:t>
            </w:r>
          </w:p>
          <w:p w14:paraId="7F9DC4D7">
            <w:pPr>
              <w:pStyle w:val="8"/>
              <w:autoSpaceDE w:val="0"/>
              <w:spacing w:line="360" w:lineRule="auto"/>
              <w:ind w:firstLine="480" w:firstLineChars="200"/>
              <w:rPr>
                <w:rFonts w:hint="default" w:ascii="Times New Roman" w:hAnsi="Times New Roman" w:eastAsia="宋体" w:cs="Times New Roman"/>
                <w:bCs/>
                <w:color w:val="auto"/>
              </w:rPr>
            </w:pPr>
            <w:r>
              <w:rPr>
                <w:rFonts w:hint="default" w:ascii="Times New Roman" w:hAnsi="Times New Roman" w:eastAsia="宋体" w:cs="Times New Roman"/>
                <w:bCs/>
                <w:color w:val="auto"/>
                <w:lang w:val="en-US" w:eastAsia="zh-CN"/>
              </w:rPr>
              <w:t>项目二期</w:t>
            </w:r>
            <w:r>
              <w:rPr>
                <w:rFonts w:hint="default" w:ascii="Times New Roman" w:hAnsi="Times New Roman" w:eastAsia="宋体" w:cs="Times New Roman"/>
                <w:bCs/>
                <w:color w:val="auto"/>
              </w:rPr>
              <w:t>粘土砂（湿型/芯工艺）铸造工艺流程简述：</w:t>
            </w:r>
          </w:p>
          <w:p w14:paraId="1F6CD876">
            <w:pPr>
              <w:autoSpaceDE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bCs/>
                <w:color w:val="auto"/>
                <w:sz w:val="24"/>
                <w:szCs w:val="24"/>
              </w:rPr>
              <w:t>将外购型砂洒少量水，使型砂潮湿，再将其铺在型板上，表层铺满面砂（膨润土和石英砂等混合物）通过手工锤压紧实砂模，在自然通风条件下放置3～4天，使其干燥、硬化即可合箱浇铸。将冷轧打包料按一定配比后通过桥式吊车运至中频感应炉中熔化，将中频感应炉温度升到1600℃左右使固态原料达到熔点后熔化，该工序会产生颗粒物及熔化废渣。首先把熔化好的铁水倒入浇注桶内，再用行车吊到指定区域浇注。浇注好的产品自然冷却3小时左右即可开箱，将铸件手工挖出，挖出铸件的过程即破模过程，而通过手工使铸件和型砂、砂箱分开的过程则称落砂。落砂后对铸件进行抛丸处理，抛丸的原理是用电动机带动叶轮体旋转(直接带动或用V型皮带传动)，靠离心力的作用，将直径约在0.2～3.0的弹丸(有铸钢丸、钢丝切丸、不锈钢丸等不同类型)抛向工件的表面，使工件的表面达到一定的粗造度，使工件变得美观。项目一个浇铸周期结束后，喷洒少量的水，型板上的型砂即可卸下来重复利用。拟重复利用的砂中，大块的砂可碾碎，再添加新的石英砂，即可作为下一浇铸周期的型砂。</w:t>
            </w:r>
          </w:p>
          <w:p w14:paraId="4DEDCC4B">
            <w:pPr>
              <w:pStyle w:val="126"/>
              <w:autoSpaceDE w:val="0"/>
              <w:spacing w:line="360" w:lineRule="auto"/>
              <w:ind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③</w:t>
            </w:r>
            <w:r>
              <w:rPr>
                <w:rFonts w:hint="default" w:ascii="Times New Roman" w:hAnsi="Times New Roman" w:cs="Times New Roman"/>
                <w:b/>
                <w:color w:val="auto"/>
                <w:sz w:val="24"/>
                <w:szCs w:val="24"/>
                <w:lang w:val="en-US" w:eastAsia="zh-CN"/>
              </w:rPr>
              <w:t>项目三期</w:t>
            </w:r>
            <w:r>
              <w:rPr>
                <w:rFonts w:hint="default" w:ascii="Times New Roman" w:hAnsi="Times New Roman" w:cs="Times New Roman"/>
                <w:b/>
                <w:bCs/>
                <w:color w:val="auto"/>
                <w:sz w:val="24"/>
                <w:szCs w:val="24"/>
              </w:rPr>
              <w:t>年产</w:t>
            </w:r>
            <w:r>
              <w:rPr>
                <w:rFonts w:hint="default"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rPr>
              <w:t>000吨铸铁件</w:t>
            </w:r>
            <w:r>
              <w:rPr>
                <w:rFonts w:hint="default" w:ascii="Times New Roman" w:hAnsi="Times New Roman" w:cs="Times New Roman"/>
                <w:b/>
                <w:bCs/>
                <w:color w:val="auto"/>
                <w:sz w:val="24"/>
                <w:szCs w:val="24"/>
                <w:lang w:eastAsia="zh-CN"/>
              </w:rPr>
              <w:t>、</w:t>
            </w:r>
            <w:r>
              <w:rPr>
                <w:rFonts w:hint="default" w:ascii="Times New Roman" w:hAnsi="Times New Roman" w:cs="Times New Roman"/>
                <w:b/>
                <w:bCs/>
                <w:color w:val="auto"/>
                <w:sz w:val="24"/>
                <w:szCs w:val="24"/>
                <w:lang w:val="en-US" w:eastAsia="zh-CN"/>
              </w:rPr>
              <w:t>4000吨铸钢件</w:t>
            </w:r>
            <w:r>
              <w:rPr>
                <w:rFonts w:hint="default" w:ascii="Times New Roman" w:hAnsi="Times New Roman" w:cs="Times New Roman"/>
                <w:b/>
                <w:bCs/>
                <w:color w:val="auto"/>
                <w:sz w:val="24"/>
                <w:szCs w:val="24"/>
              </w:rPr>
              <w:t>生产工艺流程</w:t>
            </w:r>
            <w:r>
              <w:rPr>
                <w:rFonts w:hint="default" w:ascii="Times New Roman" w:hAnsi="Times New Roman" w:cs="Times New Roman"/>
                <w:b/>
                <w:bCs/>
                <w:color w:val="auto"/>
                <w:sz w:val="24"/>
                <w:szCs w:val="24"/>
                <w:lang w:eastAsia="zh-CN"/>
              </w:rPr>
              <w:t>（</w:t>
            </w:r>
            <w:r>
              <w:rPr>
                <w:rFonts w:hint="default" w:ascii="Times New Roman" w:hAnsi="Times New Roman" w:cs="Times New Roman"/>
                <w:b/>
                <w:bCs/>
                <w:color w:val="auto"/>
                <w:sz w:val="24"/>
                <w:szCs w:val="24"/>
              </w:rPr>
              <w:t>消失模（泡沫法）铸造工艺</w:t>
            </w:r>
            <w:r>
              <w:rPr>
                <w:rFonts w:hint="default" w:ascii="Times New Roman" w:hAnsi="Times New Roman" w:cs="Times New Roman"/>
                <w:b/>
                <w:bCs/>
                <w:color w:val="auto"/>
                <w:sz w:val="24"/>
                <w:szCs w:val="24"/>
                <w:lang w:eastAsia="zh-CN"/>
              </w:rPr>
              <w:t>）：</w:t>
            </w:r>
          </w:p>
          <w:p w14:paraId="22EB24C2">
            <w:pPr>
              <w:jc w:val="center"/>
              <w:rPr>
                <w:rFonts w:hint="default" w:ascii="Times New Roman" w:hAnsi="Times New Roman" w:cs="Times New Roman"/>
                <w:color w:val="auto"/>
              </w:rPr>
            </w:pPr>
            <w:r>
              <w:rPr>
                <w:rFonts w:hint="default" w:ascii="Times New Roman" w:hAnsi="Times New Roman" w:cs="Times New Roman"/>
                <w:color w:val="auto"/>
                <w:sz w:val="21"/>
              </w:rPr>
              <mc:AlternateContent>
                <mc:Choice Requires="wps">
                  <w:drawing>
                    <wp:anchor distT="0" distB="0" distL="114300" distR="114300" simplePos="0" relativeHeight="251746304" behindDoc="0" locked="0" layoutInCell="1" allowOverlap="1">
                      <wp:simplePos x="0" y="0"/>
                      <wp:positionH relativeFrom="column">
                        <wp:posOffset>1197610</wp:posOffset>
                      </wp:positionH>
                      <wp:positionV relativeFrom="paragraph">
                        <wp:posOffset>4100195</wp:posOffset>
                      </wp:positionV>
                      <wp:extent cx="970280" cy="276225"/>
                      <wp:effectExtent l="0" t="0" r="1270" b="9525"/>
                      <wp:wrapNone/>
                      <wp:docPr id="416" name="矩形 416"/>
                      <wp:cNvGraphicFramePr/>
                      <a:graphic xmlns:a="http://schemas.openxmlformats.org/drawingml/2006/main">
                        <a:graphicData uri="http://schemas.microsoft.com/office/word/2010/wordprocessingShape">
                          <wps:wsp>
                            <wps:cNvSpPr/>
                            <wps:spPr>
                              <a:xfrm>
                                <a:off x="0" y="0"/>
                                <a:ext cx="970280" cy="27622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4.3pt;margin-top:322.85pt;height:21.75pt;width:76.4pt;z-index:251746304;v-text-anchor:middle;mso-width-relative:page;mso-height-relative:page;" fillcolor="#FFFFFF [3212]" filled="t" stroked="f" coordsize="21600,21600" o:gfxdata="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1E&#10;OU/WAAAACwEAAA8AAAAAAAAAAQAgAAAAIgAAAGRycy9kb3ducmV2LnhtbFBLAQIUABQAAAAIAIdO&#10;4kCLBgK4XgIAALcEAAAOAAAAAAAAAAEAIAAAACUBAABkcnMvZTJvRG9jLnhtbFBLBQYAAAAABgAG&#10;AFkBAAD1BQAAAAA=&#10;">
                      <v:fill on="t" focussize="0,0"/>
                      <v:stroke on="f" weight="2pt"/>
                      <v:imagedata o:title=""/>
                      <o:lock v:ext="edit" aspectratio="f"/>
                    </v:rect>
                  </w:pict>
                </mc:Fallback>
              </mc:AlternateContent>
            </w:r>
            <w:r>
              <w:rPr>
                <w:rFonts w:hint="default" w:ascii="Times New Roman" w:hAnsi="Times New Roman" w:cs="Times New Roman"/>
                <w:color w:val="auto"/>
                <w:sz w:val="21"/>
              </w:rPr>
              <mc:AlternateContent>
                <mc:Choice Requires="wps">
                  <w:drawing>
                    <wp:anchor distT="0" distB="0" distL="114300" distR="114300" simplePos="0" relativeHeight="251745280" behindDoc="0" locked="0" layoutInCell="1" allowOverlap="1">
                      <wp:simplePos x="0" y="0"/>
                      <wp:positionH relativeFrom="column">
                        <wp:posOffset>1569085</wp:posOffset>
                      </wp:positionH>
                      <wp:positionV relativeFrom="paragraph">
                        <wp:posOffset>3471545</wp:posOffset>
                      </wp:positionV>
                      <wp:extent cx="970280" cy="361315"/>
                      <wp:effectExtent l="0" t="0" r="1270" b="635"/>
                      <wp:wrapNone/>
                      <wp:docPr id="415" name="矩形 415"/>
                      <wp:cNvGraphicFramePr/>
                      <a:graphic xmlns:a="http://schemas.openxmlformats.org/drawingml/2006/main">
                        <a:graphicData uri="http://schemas.microsoft.com/office/word/2010/wordprocessingShape">
                          <wps:wsp>
                            <wps:cNvSpPr/>
                            <wps:spPr>
                              <a:xfrm>
                                <a:off x="0" y="0"/>
                                <a:ext cx="970280" cy="36131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3.55pt;margin-top:273.35pt;height:28.45pt;width:76.4pt;z-index:251745280;v-text-anchor:middle;mso-width-relative:page;mso-height-relative:page;" fillcolor="#FFFFFF [3212]" filled="t" stroked="f" coordsize="21600,21600" o:gfxdata="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rwT/9NgAAAALAQAADwAAAAAAAAABACAAAAAiAAAAZHJzL2Rvd25yZXYueG1sUEsBAhQAFAAAAAgA&#10;h07iQMTwE0leAgAAtwQAAA4AAAAAAAAAAQAgAAAAJwEAAGRycy9lMm9Eb2MueG1sUEsFBgAAAAAG&#10;AAYAWQEAAPcFAAAAAA==&#10;">
                      <v:fill on="t" focussize="0,0"/>
                      <v:stroke on="f" weight="2pt"/>
                      <v:imagedata o:title=""/>
                      <o:lock v:ext="edit" aspectratio="f"/>
                    </v:rect>
                  </w:pict>
                </mc:Fallback>
              </mc:AlternateContent>
            </w:r>
            <w:r>
              <w:rPr>
                <w:rFonts w:hint="default" w:ascii="Times New Roman" w:hAnsi="Times New Roman" w:cs="Times New Roman"/>
                <w:color w:val="auto"/>
                <w:sz w:val="21"/>
              </w:rPr>
              <mc:AlternateContent>
                <mc:Choice Requires="wps">
                  <w:drawing>
                    <wp:anchor distT="0" distB="0" distL="114300" distR="114300" simplePos="0" relativeHeight="251744256" behindDoc="0" locked="0" layoutInCell="1" allowOverlap="1">
                      <wp:simplePos x="0" y="0"/>
                      <wp:positionH relativeFrom="column">
                        <wp:posOffset>1588135</wp:posOffset>
                      </wp:positionH>
                      <wp:positionV relativeFrom="paragraph">
                        <wp:posOffset>2595245</wp:posOffset>
                      </wp:positionV>
                      <wp:extent cx="970280" cy="276225"/>
                      <wp:effectExtent l="0" t="0" r="1270" b="9525"/>
                      <wp:wrapNone/>
                      <wp:docPr id="414" name="矩形 414"/>
                      <wp:cNvGraphicFramePr/>
                      <a:graphic xmlns:a="http://schemas.openxmlformats.org/drawingml/2006/main">
                        <a:graphicData uri="http://schemas.microsoft.com/office/word/2010/wordprocessingShape">
                          <wps:wsp>
                            <wps:cNvSpPr/>
                            <wps:spPr>
                              <a:xfrm>
                                <a:off x="0" y="0"/>
                                <a:ext cx="970280" cy="27622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5.05pt;margin-top:204.35pt;height:21.75pt;width:76.4pt;z-index:251744256;v-text-anchor:middle;mso-width-relative:page;mso-height-relative:page;" fillcolor="#FFFFFF [3212]" filled="t" stroked="f" coordsize="21600,21600" o:gfxdata="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Iv&#10;+WbWAAAACwEAAA8AAAAAAAAAAQAgAAAAIgAAAGRycy9kb3ducmV2LnhtbFBLAQIUABQAAAAIAIdO&#10;4kAvVJRlXgIAALcEAAAOAAAAAAAAAAEAIAAAACUBAABkcnMvZTJvRG9jLnhtbFBLBQYAAAAABgAG&#10;AFkBAAD1BQAAAAA=&#10;">
                      <v:fill on="t" focussize="0,0"/>
                      <v:stroke on="f" weight="2pt"/>
                      <v:imagedata o:title=""/>
                      <o:lock v:ext="edit" aspectratio="f"/>
                    </v:rect>
                  </w:pict>
                </mc:Fallback>
              </mc:AlternateContent>
            </w:r>
            <w:r>
              <w:rPr>
                <w:rFonts w:hint="default" w:ascii="Times New Roman" w:hAnsi="Times New Roman" w:cs="Times New Roman"/>
                <w:color w:val="auto"/>
              </w:rPr>
              <w:drawing>
                <wp:inline distT="0" distB="0" distL="0" distR="0">
                  <wp:extent cx="4211320" cy="4928870"/>
                  <wp:effectExtent l="0" t="0" r="17780" b="5080"/>
                  <wp:docPr id="122" name="图片 122" descr="C:\Users\ADMINI~1\AppData\Local\Temp\ksohtml1254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C:\Users\ADMINI~1\AppData\Local\Temp\ksohtml12540\wps4.jpg"/>
                          <pic:cNvPicPr>
                            <a:picLocks noChangeAspect="1" noChangeArrowheads="1"/>
                          </pic:cNvPicPr>
                        </pic:nvPicPr>
                        <pic:blipFill>
                          <a:blip r:embed="rId22" cstate="print">
                            <a:extLst>
                              <a:ext uri="{28A0092B-C50C-407E-A947-70E740481C1C}">
                                <a14:useLocalDpi xmlns:a14="http://schemas.microsoft.com/office/drawing/2010/main" val="0"/>
                              </a:ext>
                            </a:extLst>
                          </a:blip>
                          <a:srcRect r="1736" b="2885"/>
                          <a:stretch>
                            <a:fillRect/>
                          </a:stretch>
                        </pic:blipFill>
                        <pic:spPr>
                          <a:xfrm>
                            <a:off x="0" y="0"/>
                            <a:ext cx="4211320" cy="4928870"/>
                          </a:xfrm>
                          <a:prstGeom prst="rect">
                            <a:avLst/>
                          </a:prstGeom>
                          <a:noFill/>
                          <a:ln>
                            <a:noFill/>
                          </a:ln>
                        </pic:spPr>
                      </pic:pic>
                    </a:graphicData>
                  </a:graphic>
                </wp:inline>
              </w:drawing>
            </w:r>
            <w:r>
              <w:rPr>
                <w:rFonts w:hint="default" w:ascii="Times New Roman" w:hAnsi="Times New Roman" w:cs="Times New Roman"/>
                <w:color w:val="auto"/>
                <w:sz w:val="21"/>
              </w:rPr>
              <mc:AlternateContent>
                <mc:Choice Requires="wps">
                  <w:drawing>
                    <wp:anchor distT="0" distB="0" distL="114300" distR="114300" simplePos="0" relativeHeight="251743232" behindDoc="0" locked="0" layoutInCell="1" allowOverlap="1">
                      <wp:simplePos x="0" y="0"/>
                      <wp:positionH relativeFrom="column">
                        <wp:posOffset>730250</wp:posOffset>
                      </wp:positionH>
                      <wp:positionV relativeFrom="paragraph">
                        <wp:posOffset>1452245</wp:posOffset>
                      </wp:positionV>
                      <wp:extent cx="617855" cy="361315"/>
                      <wp:effectExtent l="0" t="0" r="10795" b="635"/>
                      <wp:wrapNone/>
                      <wp:docPr id="413" name="矩形 413"/>
                      <wp:cNvGraphicFramePr/>
                      <a:graphic xmlns:a="http://schemas.openxmlformats.org/drawingml/2006/main">
                        <a:graphicData uri="http://schemas.microsoft.com/office/word/2010/wordprocessingShape">
                          <wps:wsp>
                            <wps:cNvSpPr/>
                            <wps:spPr>
                              <a:xfrm>
                                <a:off x="0" y="0"/>
                                <a:ext cx="617855" cy="36131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5pt;margin-top:114.35pt;height:28.45pt;width:48.65pt;z-index:251743232;v-text-anchor:middle;mso-width-relative:page;mso-height-relative:page;" fillcolor="#FFFFFF [3212]" filled="t" stroked="f" coordsize="21600,21600" o:gfxdata="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doRvNYAAAALAQAADwAAAAAAAAABACAAAAAiAAAAZHJzL2Rvd25yZXYueG1sUEsBAhQAFAAAAAgA&#10;h07iQAeJX3BgAgAAtwQAAA4AAAAAAAAAAQAgAAAAJQEAAGRycy9lMm9Eb2MueG1sUEsFBgAAAAAG&#10;AAYAWQEAAPcFAAAAAA==&#10;">
                      <v:fill on="t" focussize="0,0"/>
                      <v:stroke on="f" weight="2pt"/>
                      <v:imagedata o:title=""/>
                      <o:lock v:ext="edit" aspectratio="f"/>
                    </v:rect>
                  </w:pict>
                </mc:Fallback>
              </mc:AlternateContent>
            </w:r>
            <w:r>
              <w:rPr>
                <w:rFonts w:hint="default" w:ascii="Times New Roman" w:hAnsi="Times New Roman" w:cs="Times New Roman"/>
                <w:color w:val="auto"/>
                <w:sz w:val="21"/>
              </w:rPr>
              <mc:AlternateContent>
                <mc:Choice Requires="wps">
                  <w:drawing>
                    <wp:anchor distT="0" distB="0" distL="114300" distR="114300" simplePos="0" relativeHeight="251742208" behindDoc="0" locked="0" layoutInCell="1" allowOverlap="1">
                      <wp:simplePos x="0" y="0"/>
                      <wp:positionH relativeFrom="column">
                        <wp:posOffset>4323080</wp:posOffset>
                      </wp:positionH>
                      <wp:positionV relativeFrom="paragraph">
                        <wp:posOffset>3119120</wp:posOffset>
                      </wp:positionV>
                      <wp:extent cx="568960" cy="276225"/>
                      <wp:effectExtent l="0" t="0" r="2540" b="9525"/>
                      <wp:wrapNone/>
                      <wp:docPr id="412" name="矩形 412"/>
                      <wp:cNvGraphicFramePr/>
                      <a:graphic xmlns:a="http://schemas.openxmlformats.org/drawingml/2006/main">
                        <a:graphicData uri="http://schemas.microsoft.com/office/word/2010/wordprocessingShape">
                          <wps:wsp>
                            <wps:cNvSpPr/>
                            <wps:spPr>
                              <a:xfrm>
                                <a:off x="0" y="0"/>
                                <a:ext cx="568960" cy="27622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0.4pt;margin-top:245.6pt;height:21.75pt;width:44.8pt;z-index:251742208;v-text-anchor:middle;mso-width-relative:page;mso-height-relative:page;" fillcolor="#FFFFFF [3212]" filled="t" stroked="f" coordsize="21600,21600" o:gfxdata="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U&#10;RYlO1wAAAAsBAAAPAAAAAAAAAAEAIAAAACIAAABkcnMvZG93bnJldi54bWxQSwECFAAUAAAACACH&#10;TuJAuQtRAF4CAAC3BAAADgAAAAAAAAABACAAAAAmAQAAZHJzL2Uyb0RvYy54bWxQSwUGAAAAAAYA&#10;BgBZAQAA9gUAAAAA&#10;">
                      <v:fill on="t" focussize="0,0"/>
                      <v:stroke on="f" weight="2pt"/>
                      <v:imagedata o:title=""/>
                      <o:lock v:ext="edit" aspectratio="f"/>
                    </v:rect>
                  </w:pict>
                </mc:Fallback>
              </mc:AlternateContent>
            </w:r>
            <w:r>
              <w:rPr>
                <w:rFonts w:hint="default" w:ascii="Times New Roman" w:hAnsi="Times New Roman" w:cs="Times New Roman"/>
                <w:color w:val="auto"/>
                <w:sz w:val="21"/>
              </w:rPr>
              <mc:AlternateContent>
                <mc:Choice Requires="wps">
                  <w:drawing>
                    <wp:anchor distT="0" distB="0" distL="114300" distR="114300" simplePos="0" relativeHeight="251741184" behindDoc="0" locked="0" layoutInCell="1" allowOverlap="1">
                      <wp:simplePos x="0" y="0"/>
                      <wp:positionH relativeFrom="column">
                        <wp:posOffset>3559810</wp:posOffset>
                      </wp:positionH>
                      <wp:positionV relativeFrom="paragraph">
                        <wp:posOffset>2166620</wp:posOffset>
                      </wp:positionV>
                      <wp:extent cx="970280" cy="276225"/>
                      <wp:effectExtent l="0" t="0" r="1270" b="9525"/>
                      <wp:wrapNone/>
                      <wp:docPr id="411" name="矩形 411"/>
                      <wp:cNvGraphicFramePr/>
                      <a:graphic xmlns:a="http://schemas.openxmlformats.org/drawingml/2006/main">
                        <a:graphicData uri="http://schemas.microsoft.com/office/word/2010/wordprocessingShape">
                          <wps:wsp>
                            <wps:cNvSpPr/>
                            <wps:spPr>
                              <a:xfrm>
                                <a:off x="0" y="0"/>
                                <a:ext cx="970280" cy="27622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0.3pt;margin-top:170.6pt;height:21.75pt;width:76.4pt;z-index:251741184;v-text-anchor:middle;mso-width-relative:page;mso-height-relative:page;" fillcolor="#FFFFFF [3212]" filled="t" stroked="f" coordsize="21600,21600" o:gfxdata="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HA&#10;TWDXAAAACwEAAA8AAAAAAAAAAQAgAAAAIgAAAGRycy9kb3ducmV2LnhtbFBLAQIUABQAAAAIAIdO&#10;4kB03gJrXQIAALcEAAAOAAAAAAAAAAEAIAAAACYBAABkcnMvZTJvRG9jLnhtbFBLBQYAAAAABgAG&#10;AFkBAAD1BQAAAAA=&#10;">
                      <v:fill on="t" focussize="0,0"/>
                      <v:stroke on="f" weight="2pt"/>
                      <v:imagedata o:title=""/>
                      <o:lock v:ext="edit" aspectratio="f"/>
                    </v:rect>
                  </w:pict>
                </mc:Fallback>
              </mc:AlternateContent>
            </w:r>
            <w:r>
              <w:rPr>
                <w:rFonts w:hint="default" w:ascii="Times New Roman" w:hAnsi="Times New Roman" w:cs="Times New Roman"/>
                <w:color w:val="auto"/>
                <w:sz w:val="21"/>
              </w:rPr>
              <mc:AlternateContent>
                <mc:Choice Requires="wps">
                  <w:drawing>
                    <wp:anchor distT="0" distB="0" distL="114300" distR="114300" simplePos="0" relativeHeight="251740160" behindDoc="0" locked="0" layoutInCell="1" allowOverlap="1">
                      <wp:simplePos x="0" y="0"/>
                      <wp:positionH relativeFrom="column">
                        <wp:posOffset>3207385</wp:posOffset>
                      </wp:positionH>
                      <wp:positionV relativeFrom="paragraph">
                        <wp:posOffset>137795</wp:posOffset>
                      </wp:positionV>
                      <wp:extent cx="970280" cy="276225"/>
                      <wp:effectExtent l="0" t="0" r="1270" b="9525"/>
                      <wp:wrapNone/>
                      <wp:docPr id="410" name="矩形 410"/>
                      <wp:cNvGraphicFramePr/>
                      <a:graphic xmlns:a="http://schemas.openxmlformats.org/drawingml/2006/main">
                        <a:graphicData uri="http://schemas.microsoft.com/office/word/2010/wordprocessingShape">
                          <wps:wsp>
                            <wps:cNvSpPr/>
                            <wps:spPr>
                              <a:xfrm>
                                <a:off x="4465955" y="1272540"/>
                                <a:ext cx="970280" cy="27622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2.55pt;margin-top:10.85pt;height:21.75pt;width:76.4pt;z-index:251740160;v-text-anchor:middle;mso-width-relative:page;mso-height-relative:page;" fillcolor="#FFFFFF [3212]" filled="t" stroked="f" coordsize="21600,21600" o:gfxdata="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GXcPnVAAAACQEAAA8AAAAAAAAAAQAgAAAAIgAAAGRycy9kb3ducmV2LnhtbFBLAQIU&#10;ABQAAAAIAIdO4kCaJJBOaAIAAMMEAAAOAAAAAAAAAAEAIAAAACQBAABkcnMvZTJvRG9jLnhtbFBL&#10;BQYAAAAABgAGAFkBAAD+BQAAAAA=&#10;">
                      <v:fill on="t" focussize="0,0"/>
                      <v:stroke on="f" weight="2pt"/>
                      <v:imagedata o:title=""/>
                      <o:lock v:ext="edit" aspectratio="f"/>
                    </v:rect>
                  </w:pict>
                </mc:Fallback>
              </mc:AlternateContent>
            </w:r>
          </w:p>
          <w:p w14:paraId="5366F7B3">
            <w:pPr>
              <w:pStyle w:val="8"/>
              <w:autoSpaceDE w:val="0"/>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图2-</w:t>
            </w:r>
            <w:r>
              <w:rPr>
                <w:rFonts w:hint="default" w:ascii="Times New Roman" w:hAnsi="Times New Roman" w:eastAsia="宋体" w:cs="Times New Roman"/>
                <w:b/>
                <w:bCs/>
                <w:color w:val="auto"/>
                <w:sz w:val="24"/>
                <w:szCs w:val="24"/>
                <w:lang w:val="en-US" w:eastAsia="zh-CN"/>
              </w:rPr>
              <w:t>7</w:t>
            </w:r>
            <w:r>
              <w:rPr>
                <w:rFonts w:hint="default" w:ascii="Times New Roman" w:hAnsi="Times New Roman" w:eastAsia="宋体" w:cs="Times New Roman"/>
                <w:b/>
                <w:bCs/>
                <w:color w:val="auto"/>
                <w:sz w:val="24"/>
                <w:szCs w:val="24"/>
              </w:rPr>
              <w:t xml:space="preserve"> 消失模（泡沫法）铸造工艺流程图</w:t>
            </w:r>
          </w:p>
          <w:p w14:paraId="265233F8">
            <w:pPr>
              <w:pStyle w:val="126"/>
              <w:autoSpaceDE w:val="0"/>
              <w:spacing w:line="360" w:lineRule="auto"/>
              <w:ind w:firstLineChars="200"/>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lang w:val="en-US" w:eastAsia="zh-CN"/>
              </w:rPr>
              <w:t>项目三期</w:t>
            </w:r>
            <w:r>
              <w:rPr>
                <w:rFonts w:hint="default" w:ascii="Times New Roman" w:hAnsi="Times New Roman" w:cs="Times New Roman"/>
                <w:bCs/>
                <w:color w:val="auto"/>
                <w:sz w:val="24"/>
                <w:szCs w:val="24"/>
              </w:rPr>
              <w:t>消失模（泡沫法）铸造工艺流程简述：</w:t>
            </w:r>
          </w:p>
          <w:p w14:paraId="20CA833A">
            <w:pPr>
              <w:pStyle w:val="126"/>
              <w:autoSpaceDE w:val="0"/>
              <w:spacing w:line="360" w:lineRule="auto"/>
              <w:ind w:firstLineChars="20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rPr>
              <w:t>消失模铸造技术为采用聚苯乙烯泡沫塑料模型代替传统木制或金属制模型。外购聚苯乙烯泡沫后进行切割制模，浸敷涂料并晒干，然后置于可抽真空的特制砂箱内，充填无粘接剂，震实，在真空条件下浇注。金属液进入型腔时，塑料模型在高温下迅速气化，金属液占据模型位置，凝固后形成铸件。消失模车间由熔化、造型、制模、热处理、清理五大生产工部及砂处理辅助系统组成。本项目外购聚苯乙烯泡沫，用美工刀进行切割制模，这个过程中会产生边角料等。在模型表面涂刷耐火涂料，然后自然风干。将配料投入到中频炉中，加热至工艺要求的温度（1500℃），熔炼好的铁水装入铁水包后用行车送到造型工段区浇注。此工段的排污节点有中频感应电炉在熔炼时产生的电炉熔化废气（主要为生铁中的细小杂质颗粒）及炉渣等固体废料，此工序将产生烟尘以及噪声。后先向空砂箱中置入一定量的型砂，再把泡塑气化模具放入砂箱中并使其稳固；然后再按工艺要求分层添加型砂，振实一段时间</w:t>
            </w:r>
            <w:r>
              <w:rPr>
                <w:rFonts w:hint="default" w:ascii="Times New Roman" w:hAnsi="Times New Roman" w:cs="Times New Roman"/>
                <w:bCs/>
                <w:color w:val="auto"/>
                <w:sz w:val="24"/>
                <w:szCs w:val="24"/>
                <w:lang w:eastAsia="zh-CN"/>
              </w:rPr>
              <w:t>（</w:t>
            </w:r>
            <w:r>
              <w:rPr>
                <w:rFonts w:hint="default" w:ascii="Times New Roman" w:hAnsi="Times New Roman" w:cs="Times New Roman"/>
                <w:bCs/>
                <w:color w:val="auto"/>
                <w:sz w:val="24"/>
                <w:szCs w:val="24"/>
              </w:rPr>
              <w:t>一般30-60s</w:t>
            </w:r>
            <w:r>
              <w:rPr>
                <w:rFonts w:hint="default" w:ascii="Times New Roman" w:hAnsi="Times New Roman" w:cs="Times New Roman"/>
                <w:bCs/>
                <w:color w:val="auto"/>
                <w:sz w:val="24"/>
                <w:szCs w:val="24"/>
                <w:lang w:eastAsia="zh-CN"/>
              </w:rPr>
              <w:t>）</w:t>
            </w:r>
            <w:r>
              <w:rPr>
                <w:rFonts w:hint="default" w:ascii="Times New Roman" w:hAnsi="Times New Roman" w:cs="Times New Roman"/>
                <w:bCs/>
                <w:color w:val="auto"/>
                <w:sz w:val="24"/>
                <w:szCs w:val="24"/>
              </w:rPr>
              <w:t>，增加型砂的堆积密度并使用型砂充满模型的各个部位后，刮平箱口；用塑料薄膜覆盖砂箱口，接负压系统，将砂箱内抽成一定真空，以维持浇注过程中型砂不崩溃；紧实后把铁水包内的铁水通过浇口杯内进行浇注，泡塑气化模具消失，金属液取代其位置，浇后铸形维持3-5分钟真空；铸件冷却后释放真空并翻箱，取出铸件。此工段的排污节点有铁水浇注时在浇口部位产生的有机废气及真空泵工作时和砂筛分时产生的噪声。后进行热处理，热处理是将材料放在一定的介质内加热、保温、冷却，接着进行砂处理，包括新砂的补充、旧砂的筛分及储存回用。过程中会产生粉尘及不能回用的废砂。</w:t>
            </w:r>
          </w:p>
          <w:p w14:paraId="0F9095BB">
            <w:pPr>
              <w:pStyle w:val="126"/>
              <w:autoSpaceDE w:val="0"/>
              <w:spacing w:line="360" w:lineRule="auto"/>
              <w:ind w:firstLine="482" w:firstLineChars="200"/>
              <w:rPr>
                <w:rFonts w:hint="default" w:ascii="Times New Roman" w:hAnsi="Times New Roman" w:eastAsia="宋体" w:cs="Times New Roman"/>
                <w:b/>
                <w:color w:val="auto"/>
                <w:sz w:val="24"/>
                <w:szCs w:val="24"/>
                <w:lang w:val="en-US" w:eastAsia="zh-CN"/>
              </w:rPr>
            </w:pPr>
            <w:r>
              <w:rPr>
                <w:rFonts w:hint="default" w:ascii="Times New Roman" w:hAnsi="Times New Roman" w:cs="Times New Roman"/>
                <w:b/>
                <w:color w:val="auto"/>
                <w:sz w:val="24"/>
                <w:szCs w:val="24"/>
              </w:rPr>
              <w:t>④项目</w:t>
            </w:r>
            <w:r>
              <w:rPr>
                <w:rFonts w:hint="default" w:ascii="Times New Roman" w:hAnsi="Times New Roman" w:cs="Times New Roman"/>
                <w:b/>
                <w:color w:val="auto"/>
                <w:sz w:val="24"/>
                <w:szCs w:val="24"/>
                <w:lang w:val="en-US" w:eastAsia="zh-CN"/>
              </w:rPr>
              <w:t>四</w:t>
            </w:r>
            <w:r>
              <w:rPr>
                <w:rFonts w:hint="default" w:ascii="Times New Roman" w:hAnsi="Times New Roman" w:cs="Times New Roman"/>
                <w:b/>
                <w:color w:val="auto"/>
                <w:sz w:val="24"/>
                <w:szCs w:val="24"/>
              </w:rPr>
              <w:t>期</w:t>
            </w:r>
            <w:r>
              <w:rPr>
                <w:rFonts w:hint="default" w:ascii="Times New Roman" w:hAnsi="Times New Roman" w:cs="Times New Roman"/>
                <w:b/>
                <w:bCs/>
                <w:color w:val="auto"/>
                <w:sz w:val="24"/>
                <w:szCs w:val="24"/>
              </w:rPr>
              <w:t>年产</w:t>
            </w:r>
            <w:r>
              <w:rPr>
                <w:rFonts w:hint="default" w:ascii="Times New Roman" w:hAnsi="Times New Roman" w:cs="Times New Roman"/>
                <w:b/>
                <w:bCs/>
                <w:color w:val="auto"/>
                <w:sz w:val="24"/>
                <w:szCs w:val="24"/>
                <w:lang w:val="en-US" w:eastAsia="zh-CN"/>
              </w:rPr>
              <w:t>4</w:t>
            </w:r>
            <w:r>
              <w:rPr>
                <w:rFonts w:hint="default" w:ascii="Times New Roman" w:hAnsi="Times New Roman" w:cs="Times New Roman"/>
                <w:b/>
                <w:bCs/>
                <w:color w:val="auto"/>
                <w:sz w:val="24"/>
                <w:szCs w:val="24"/>
              </w:rPr>
              <w:t>000吨铸</w:t>
            </w:r>
            <w:r>
              <w:rPr>
                <w:rFonts w:hint="default" w:ascii="Times New Roman" w:hAnsi="Times New Roman" w:cs="Times New Roman"/>
                <w:b/>
                <w:bCs/>
                <w:color w:val="auto"/>
                <w:sz w:val="24"/>
                <w:szCs w:val="24"/>
                <w:lang w:val="en-US" w:eastAsia="zh-CN"/>
              </w:rPr>
              <w:t>钢</w:t>
            </w:r>
            <w:r>
              <w:rPr>
                <w:rFonts w:hint="default" w:ascii="Times New Roman" w:hAnsi="Times New Roman" w:cs="Times New Roman"/>
                <w:b/>
                <w:bCs/>
                <w:color w:val="auto"/>
                <w:sz w:val="24"/>
                <w:szCs w:val="24"/>
              </w:rPr>
              <w:t>件、</w:t>
            </w:r>
            <w:r>
              <w:rPr>
                <w:rFonts w:hint="default" w:ascii="Times New Roman" w:hAnsi="Times New Roman" w:cs="Times New Roman"/>
                <w:b/>
                <w:bCs/>
                <w:color w:val="auto"/>
                <w:sz w:val="24"/>
                <w:szCs w:val="24"/>
                <w:lang w:val="en-US" w:eastAsia="zh-CN"/>
              </w:rPr>
              <w:t>6</w:t>
            </w:r>
            <w:r>
              <w:rPr>
                <w:rFonts w:hint="default" w:ascii="Times New Roman" w:hAnsi="Times New Roman" w:cs="Times New Roman"/>
                <w:b/>
                <w:bCs/>
                <w:color w:val="auto"/>
                <w:sz w:val="24"/>
                <w:szCs w:val="24"/>
              </w:rPr>
              <w:t>000吨铸</w:t>
            </w:r>
            <w:r>
              <w:rPr>
                <w:rFonts w:hint="default" w:ascii="Times New Roman" w:hAnsi="Times New Roman" w:cs="Times New Roman"/>
                <w:b/>
                <w:bCs/>
                <w:color w:val="auto"/>
                <w:sz w:val="24"/>
                <w:szCs w:val="24"/>
                <w:lang w:val="en-US" w:eastAsia="zh-CN"/>
              </w:rPr>
              <w:t>铁</w:t>
            </w:r>
            <w:r>
              <w:rPr>
                <w:rFonts w:hint="default" w:ascii="Times New Roman" w:hAnsi="Times New Roman" w:cs="Times New Roman"/>
                <w:b/>
                <w:bCs/>
                <w:color w:val="auto"/>
                <w:sz w:val="24"/>
                <w:szCs w:val="24"/>
              </w:rPr>
              <w:t>件生产工艺流程</w:t>
            </w:r>
          </w:p>
          <w:p w14:paraId="183FBB3B">
            <w:pPr>
              <w:pStyle w:val="126"/>
              <w:autoSpaceDE w:val="0"/>
              <w:spacing w:line="360" w:lineRule="auto"/>
              <w:ind w:firstLineChars="200"/>
              <w:rPr>
                <w:rFonts w:hint="default" w:ascii="Times New Roman" w:hAnsi="Times New Roman" w:eastAsia="宋体" w:cs="Times New Roman"/>
                <w:b w:val="0"/>
                <w:bCs/>
                <w:color w:val="auto"/>
                <w:sz w:val="24"/>
                <w:szCs w:val="24"/>
                <w:lang w:val="en-US" w:eastAsia="zh-CN"/>
              </w:rPr>
            </w:pPr>
            <w:r>
              <w:rPr>
                <w:rFonts w:hint="default" w:ascii="Times New Roman" w:hAnsi="Times New Roman" w:cs="Times New Roman"/>
                <w:color w:val="auto"/>
                <w:sz w:val="24"/>
              </w:rPr>
              <mc:AlternateContent>
                <mc:Choice Requires="wpg">
                  <w:drawing>
                    <wp:anchor distT="0" distB="0" distL="114300" distR="114300" simplePos="0" relativeHeight="251728896" behindDoc="0" locked="0" layoutInCell="1" allowOverlap="1">
                      <wp:simplePos x="0" y="0"/>
                      <wp:positionH relativeFrom="column">
                        <wp:posOffset>244475</wp:posOffset>
                      </wp:positionH>
                      <wp:positionV relativeFrom="paragraph">
                        <wp:posOffset>1151890</wp:posOffset>
                      </wp:positionV>
                      <wp:extent cx="5318125" cy="2942590"/>
                      <wp:effectExtent l="0" t="0" r="0" b="0"/>
                      <wp:wrapNone/>
                      <wp:docPr id="123" name="组合 1067"/>
                      <wp:cNvGraphicFramePr/>
                      <a:graphic xmlns:a="http://schemas.openxmlformats.org/drawingml/2006/main">
                        <a:graphicData uri="http://schemas.microsoft.com/office/word/2010/wordprocessingGroup">
                          <wpg:wgp>
                            <wpg:cNvGrpSpPr/>
                            <wpg:grpSpPr>
                              <a:xfrm>
                                <a:off x="0" y="0"/>
                                <a:ext cx="5318103" cy="2942590"/>
                                <a:chOff x="5520" y="433205"/>
                                <a:chExt cx="8675" cy="4634"/>
                              </a:xfrm>
                            </wpg:grpSpPr>
                            <wps:wsp>
                              <wps:cNvPr id="327" name="矩形 11"/>
                              <wps:cNvSpPr/>
                              <wps:spPr>
                                <a:xfrm>
                                  <a:off x="5520" y="433205"/>
                                  <a:ext cx="8675" cy="4634"/>
                                </a:xfrm>
                                <a:prstGeom prst="rect">
                                  <a:avLst/>
                                </a:prstGeom>
                                <a:noFill/>
                                <a:ln w="25400">
                                  <a:noFill/>
                                </a:ln>
                              </wps:spPr>
                              <wps:bodyPr anchor="ctr" anchorCtr="0" upright="1"/>
                            </wps:wsp>
                            <wps:wsp>
                              <wps:cNvPr id="329" name="矩形 192"/>
                              <wps:cNvSpPr/>
                              <wps:spPr>
                                <a:xfrm>
                                  <a:off x="7965" y="433606"/>
                                  <a:ext cx="1036" cy="495"/>
                                </a:xfrm>
                                <a:prstGeom prst="rect">
                                  <a:avLst/>
                                </a:prstGeom>
                                <a:noFill/>
                                <a:ln w="25400" cap="flat" cmpd="sng">
                                  <a:solidFill>
                                    <a:srgbClr val="000000"/>
                                  </a:solidFill>
                                  <a:prstDash val="solid"/>
                                  <a:round/>
                                  <a:headEnd type="none" w="med" len="med"/>
                                  <a:tailEnd type="none" w="med" len="med"/>
                                </a:ln>
                              </wps:spPr>
                              <wps:txbx>
                                <w:txbxContent>
                                  <w:p w14:paraId="6D7DDCCC">
                                    <w:pPr>
                                      <w:jc w:val="center"/>
                                      <w:rPr>
                                        <w:rFonts w:hint="eastAsia" w:eastAsia="宋体"/>
                                        <w:color w:val="000000"/>
                                        <w:lang w:val="en-US" w:eastAsia="zh-CN"/>
                                      </w:rPr>
                                    </w:pPr>
                                    <w:r>
                                      <w:rPr>
                                        <w:rFonts w:hint="eastAsia"/>
                                        <w:color w:val="000000"/>
                                        <w:lang w:val="en-US" w:eastAsia="zh-CN"/>
                                      </w:rPr>
                                      <w:t>中频炉</w:t>
                                    </w:r>
                                  </w:p>
                                </w:txbxContent>
                              </wps:txbx>
                              <wps:bodyPr anchor="ctr" anchorCtr="0" upright="1"/>
                            </wps:wsp>
                            <wps:wsp>
                              <wps:cNvPr id="330" name="矩形 194"/>
                              <wps:cNvSpPr/>
                              <wps:spPr>
                                <a:xfrm>
                                  <a:off x="9135" y="433606"/>
                                  <a:ext cx="1036" cy="495"/>
                                </a:xfrm>
                                <a:prstGeom prst="rect">
                                  <a:avLst/>
                                </a:prstGeom>
                                <a:noFill/>
                                <a:ln w="25400">
                                  <a:noFill/>
                                </a:ln>
                              </wps:spPr>
                              <wps:txbx>
                                <w:txbxContent>
                                  <w:p w14:paraId="16431B2C">
                                    <w:pPr>
                                      <w:jc w:val="center"/>
                                      <w:rPr>
                                        <w:rFonts w:hint="eastAsia" w:eastAsia="宋体"/>
                                        <w:color w:val="000000"/>
                                        <w:lang w:val="en-US" w:eastAsia="zh-CN"/>
                                      </w:rPr>
                                    </w:pPr>
                                    <w:r>
                                      <w:rPr>
                                        <w:rFonts w:hint="eastAsia"/>
                                        <w:color w:val="000000"/>
                                        <w:lang w:val="en-US" w:eastAsia="zh-CN"/>
                                      </w:rPr>
                                      <w:t>铁水</w:t>
                                    </w:r>
                                  </w:p>
                                </w:txbxContent>
                              </wps:txbx>
                              <wps:bodyPr anchor="ctr" anchorCtr="0" upright="1"/>
                            </wps:wsp>
                            <wps:wsp>
                              <wps:cNvPr id="331" name="直接箭头连接符 196"/>
                              <wps:cNvCnPr/>
                              <wps:spPr>
                                <a:xfrm>
                                  <a:off x="9060" y="433854"/>
                                  <a:ext cx="330" cy="7"/>
                                </a:xfrm>
                                <a:prstGeom prst="straightConnector1">
                                  <a:avLst/>
                                </a:prstGeom>
                                <a:ln w="12700" cap="flat" cmpd="sng">
                                  <a:solidFill>
                                    <a:srgbClr val="000000"/>
                                  </a:solidFill>
                                  <a:prstDash val="solid"/>
                                  <a:round/>
                                  <a:headEnd type="none" w="med" len="med"/>
                                  <a:tailEnd type="arrow" w="med" len="med"/>
                                </a:ln>
                              </wps:spPr>
                              <wps:bodyPr/>
                            </wps:wsp>
                            <wps:wsp>
                              <wps:cNvPr id="337" name="直接箭头连接符 201"/>
                              <wps:cNvCnPr/>
                              <wps:spPr>
                                <a:xfrm>
                                  <a:off x="9653" y="434131"/>
                                  <a:ext cx="0" cy="705"/>
                                </a:xfrm>
                                <a:prstGeom prst="straightConnector1">
                                  <a:avLst/>
                                </a:prstGeom>
                                <a:ln w="12700" cap="flat" cmpd="sng">
                                  <a:solidFill>
                                    <a:srgbClr val="000000"/>
                                  </a:solidFill>
                                  <a:prstDash val="solid"/>
                                  <a:round/>
                                  <a:headEnd type="none" w="med" len="med"/>
                                  <a:tailEnd type="arrow" w="med" len="med"/>
                                </a:ln>
                              </wps:spPr>
                              <wps:bodyPr/>
                            </wps:wsp>
                            <wps:wsp>
                              <wps:cNvPr id="338" name="矩形 207"/>
                              <wps:cNvSpPr/>
                              <wps:spPr>
                                <a:xfrm>
                                  <a:off x="10499" y="434866"/>
                                  <a:ext cx="780" cy="495"/>
                                </a:xfrm>
                                <a:prstGeom prst="rect">
                                  <a:avLst/>
                                </a:prstGeom>
                                <a:noFill/>
                                <a:ln w="25400" cap="flat" cmpd="sng">
                                  <a:solidFill>
                                    <a:srgbClr val="000000"/>
                                  </a:solidFill>
                                  <a:prstDash val="solid"/>
                                  <a:round/>
                                  <a:headEnd type="none" w="med" len="med"/>
                                  <a:tailEnd type="none" w="med" len="med"/>
                                </a:ln>
                              </wps:spPr>
                              <wps:txbx>
                                <w:txbxContent>
                                  <w:p w14:paraId="3DBC7C44">
                                    <w:pPr>
                                      <w:jc w:val="center"/>
                                      <w:rPr>
                                        <w:rFonts w:hint="eastAsia" w:eastAsia="宋体"/>
                                        <w:color w:val="000000"/>
                                        <w:lang w:val="en-US" w:eastAsia="zh-CN"/>
                                      </w:rPr>
                                    </w:pPr>
                                    <w:r>
                                      <w:rPr>
                                        <w:rFonts w:hint="eastAsia"/>
                                        <w:color w:val="000000"/>
                                        <w:lang w:val="en-US" w:eastAsia="zh-CN"/>
                                      </w:rPr>
                                      <w:t>开箱</w:t>
                                    </w:r>
                                  </w:p>
                                </w:txbxContent>
                              </wps:txbx>
                              <wps:bodyPr anchor="ctr" anchorCtr="0" upright="1"/>
                            </wps:wsp>
                            <wps:wsp>
                              <wps:cNvPr id="339" name="矩形 203"/>
                              <wps:cNvSpPr/>
                              <wps:spPr>
                                <a:xfrm>
                                  <a:off x="12855" y="434866"/>
                                  <a:ext cx="1036" cy="495"/>
                                </a:xfrm>
                                <a:prstGeom prst="rect">
                                  <a:avLst/>
                                </a:prstGeom>
                                <a:noFill/>
                                <a:ln w="25400" cap="flat" cmpd="sng">
                                  <a:solidFill>
                                    <a:srgbClr val="000000"/>
                                  </a:solidFill>
                                  <a:prstDash val="solid"/>
                                  <a:round/>
                                  <a:headEnd type="none" w="med" len="med"/>
                                  <a:tailEnd type="none" w="med" len="med"/>
                                </a:ln>
                              </wps:spPr>
                              <wps:txbx>
                                <w:txbxContent>
                                  <w:p w14:paraId="448D1517">
                                    <w:pPr>
                                      <w:jc w:val="center"/>
                                      <w:rPr>
                                        <w:rFonts w:hint="eastAsia" w:eastAsia="宋体"/>
                                        <w:color w:val="000000"/>
                                        <w:lang w:val="en-US" w:eastAsia="zh-CN"/>
                                      </w:rPr>
                                    </w:pPr>
                                    <w:r>
                                      <w:rPr>
                                        <w:rFonts w:hint="eastAsia"/>
                                        <w:color w:val="000000"/>
                                        <w:lang w:val="en-US" w:eastAsia="zh-CN"/>
                                      </w:rPr>
                                      <w:t>去冒口</w:t>
                                    </w:r>
                                  </w:p>
                                </w:txbxContent>
                              </wps:txbx>
                              <wps:bodyPr anchor="ctr" anchorCtr="0" upright="1"/>
                            </wps:wsp>
                            <wps:wsp>
                              <wps:cNvPr id="340" name="矩形 205"/>
                              <wps:cNvSpPr/>
                              <wps:spPr>
                                <a:xfrm>
                                  <a:off x="11685" y="434881"/>
                                  <a:ext cx="780" cy="495"/>
                                </a:xfrm>
                                <a:prstGeom prst="rect">
                                  <a:avLst/>
                                </a:prstGeom>
                                <a:noFill/>
                                <a:ln w="25400" cap="flat" cmpd="sng">
                                  <a:solidFill>
                                    <a:srgbClr val="000000"/>
                                  </a:solidFill>
                                  <a:prstDash val="solid"/>
                                  <a:round/>
                                  <a:headEnd type="none" w="med" len="med"/>
                                  <a:tailEnd type="none" w="med" len="med"/>
                                </a:ln>
                              </wps:spPr>
                              <wps:txbx>
                                <w:txbxContent>
                                  <w:p w14:paraId="33489B6A">
                                    <w:pPr>
                                      <w:jc w:val="center"/>
                                      <w:rPr>
                                        <w:rFonts w:hint="eastAsia" w:eastAsia="宋体"/>
                                        <w:color w:val="000000"/>
                                        <w:lang w:val="en-US" w:eastAsia="zh-CN"/>
                                      </w:rPr>
                                    </w:pPr>
                                    <w:r>
                                      <w:rPr>
                                        <w:rFonts w:hint="eastAsia"/>
                                        <w:color w:val="000000"/>
                                        <w:lang w:val="en-US" w:eastAsia="zh-CN"/>
                                      </w:rPr>
                                      <w:t>落砂</w:t>
                                    </w:r>
                                  </w:p>
                                </w:txbxContent>
                              </wps:txbx>
                              <wps:bodyPr anchor="ctr" anchorCtr="0" upright="1"/>
                            </wps:wsp>
                            <wps:wsp>
                              <wps:cNvPr id="341" name="矩形 209"/>
                              <wps:cNvSpPr/>
                              <wps:spPr>
                                <a:xfrm>
                                  <a:off x="9345" y="434881"/>
                                  <a:ext cx="780" cy="495"/>
                                </a:xfrm>
                                <a:prstGeom prst="rect">
                                  <a:avLst/>
                                </a:prstGeom>
                                <a:noFill/>
                                <a:ln w="25400" cap="flat" cmpd="sng">
                                  <a:solidFill>
                                    <a:srgbClr val="000000"/>
                                  </a:solidFill>
                                  <a:prstDash val="solid"/>
                                  <a:round/>
                                  <a:headEnd type="none" w="med" len="med"/>
                                  <a:tailEnd type="none" w="med" len="med"/>
                                </a:ln>
                              </wps:spPr>
                              <wps:txbx>
                                <w:txbxContent>
                                  <w:p w14:paraId="43A9778D">
                                    <w:pPr>
                                      <w:jc w:val="center"/>
                                      <w:rPr>
                                        <w:rFonts w:hint="eastAsia" w:eastAsia="宋体"/>
                                        <w:color w:val="000000"/>
                                        <w:lang w:val="en-US" w:eastAsia="zh-CN"/>
                                      </w:rPr>
                                    </w:pPr>
                                    <w:r>
                                      <w:rPr>
                                        <w:rFonts w:hint="eastAsia"/>
                                        <w:color w:val="000000"/>
                                        <w:lang w:val="en-US" w:eastAsia="zh-CN"/>
                                      </w:rPr>
                                      <w:t>浇铸</w:t>
                                    </w:r>
                                  </w:p>
                                </w:txbxContent>
                              </wps:txbx>
                              <wps:bodyPr anchor="ctr" anchorCtr="0" upright="1"/>
                            </wps:wsp>
                            <wps:wsp>
                              <wps:cNvPr id="342" name="矩形 211"/>
                              <wps:cNvSpPr/>
                              <wps:spPr>
                                <a:xfrm>
                                  <a:off x="7965" y="434866"/>
                                  <a:ext cx="960" cy="495"/>
                                </a:xfrm>
                                <a:prstGeom prst="rect">
                                  <a:avLst/>
                                </a:prstGeom>
                                <a:noFill/>
                                <a:ln w="25400" cap="flat" cmpd="sng">
                                  <a:solidFill>
                                    <a:srgbClr val="000000"/>
                                  </a:solidFill>
                                  <a:prstDash val="solid"/>
                                  <a:round/>
                                  <a:headEnd type="none" w="med" len="med"/>
                                  <a:tailEnd type="none" w="med" len="med"/>
                                </a:ln>
                              </wps:spPr>
                              <wps:txbx>
                                <w:txbxContent>
                                  <w:p w14:paraId="7D30DEAC">
                                    <w:pPr>
                                      <w:jc w:val="center"/>
                                      <w:rPr>
                                        <w:rFonts w:hint="eastAsia" w:eastAsia="宋体"/>
                                        <w:color w:val="000000"/>
                                        <w:lang w:val="en-US" w:eastAsia="zh-CN"/>
                                      </w:rPr>
                                    </w:pPr>
                                    <w:r>
                                      <w:rPr>
                                        <w:rFonts w:hint="eastAsia"/>
                                        <w:color w:val="000000"/>
                                        <w:lang w:val="en-US" w:eastAsia="zh-CN"/>
                                      </w:rPr>
                                      <w:t>上料</w:t>
                                    </w:r>
                                  </w:p>
                                </w:txbxContent>
                              </wps:txbx>
                              <wps:bodyPr anchor="ctr" anchorCtr="0" upright="1"/>
                            </wps:wsp>
                            <wps:wsp>
                              <wps:cNvPr id="343" name="矩形 213"/>
                              <wps:cNvSpPr/>
                              <wps:spPr>
                                <a:xfrm>
                                  <a:off x="6825" y="434881"/>
                                  <a:ext cx="780" cy="495"/>
                                </a:xfrm>
                                <a:prstGeom prst="rect">
                                  <a:avLst/>
                                </a:prstGeom>
                                <a:noFill/>
                                <a:ln w="25400" cap="flat" cmpd="sng">
                                  <a:solidFill>
                                    <a:srgbClr val="000000"/>
                                  </a:solidFill>
                                  <a:prstDash val="solid"/>
                                  <a:round/>
                                  <a:headEnd type="none" w="med" len="med"/>
                                  <a:tailEnd type="none" w="med" len="med"/>
                                </a:ln>
                              </wps:spPr>
                              <wps:txbx>
                                <w:txbxContent>
                                  <w:p w14:paraId="45E92D65">
                                    <w:pPr>
                                      <w:jc w:val="center"/>
                                      <w:rPr>
                                        <w:rFonts w:hint="eastAsia" w:eastAsia="宋体"/>
                                        <w:color w:val="000000"/>
                                        <w:lang w:val="en-US" w:eastAsia="zh-CN"/>
                                      </w:rPr>
                                    </w:pPr>
                                    <w:r>
                                      <w:rPr>
                                        <w:rFonts w:hint="eastAsia"/>
                                        <w:color w:val="000000"/>
                                        <w:lang w:val="en-US" w:eastAsia="zh-CN"/>
                                      </w:rPr>
                                      <w:t>造型</w:t>
                                    </w:r>
                                  </w:p>
                                </w:txbxContent>
                              </wps:txbx>
                              <wps:bodyPr anchor="ctr" anchorCtr="0" upright="1"/>
                            </wps:wsp>
                            <wps:wsp>
                              <wps:cNvPr id="344" name="矩形 215"/>
                              <wps:cNvSpPr/>
                              <wps:spPr>
                                <a:xfrm>
                                  <a:off x="5685" y="434881"/>
                                  <a:ext cx="780" cy="495"/>
                                </a:xfrm>
                                <a:prstGeom prst="rect">
                                  <a:avLst/>
                                </a:prstGeom>
                                <a:noFill/>
                                <a:ln w="25400" cap="flat" cmpd="sng">
                                  <a:solidFill>
                                    <a:srgbClr val="000000"/>
                                  </a:solidFill>
                                  <a:prstDash val="solid"/>
                                  <a:round/>
                                  <a:headEnd type="none" w="med" len="med"/>
                                  <a:tailEnd type="none" w="med" len="med"/>
                                </a:ln>
                              </wps:spPr>
                              <wps:txbx>
                                <w:txbxContent>
                                  <w:p w14:paraId="51F4A172">
                                    <w:pPr>
                                      <w:jc w:val="center"/>
                                      <w:rPr>
                                        <w:rFonts w:hint="eastAsia" w:eastAsia="宋体"/>
                                        <w:color w:val="000000"/>
                                        <w:lang w:val="en-US" w:eastAsia="zh-CN"/>
                                      </w:rPr>
                                    </w:pPr>
                                    <w:r>
                                      <w:rPr>
                                        <w:rFonts w:hint="eastAsia"/>
                                        <w:color w:val="000000"/>
                                        <w:lang w:val="en-US" w:eastAsia="zh-CN"/>
                                      </w:rPr>
                                      <w:t>混砂</w:t>
                                    </w:r>
                                  </w:p>
                                </w:txbxContent>
                              </wps:txbx>
                              <wps:bodyPr anchor="ctr" anchorCtr="0" upright="1"/>
                            </wps:wsp>
                            <wps:wsp>
                              <wps:cNvPr id="345" name="直接连接符 217"/>
                              <wps:cNvCnPr/>
                              <wps:spPr>
                                <a:xfrm flipH="1">
                                  <a:off x="13368" y="435361"/>
                                  <a:ext cx="5" cy="2024"/>
                                </a:xfrm>
                                <a:prstGeom prst="line">
                                  <a:avLst/>
                                </a:prstGeom>
                                <a:ln w="12700" cap="flat" cmpd="sng">
                                  <a:solidFill>
                                    <a:srgbClr val="000000"/>
                                  </a:solidFill>
                                  <a:prstDash val="solid"/>
                                  <a:round/>
                                  <a:headEnd type="none" w="med" len="med"/>
                                  <a:tailEnd type="none" w="med" len="med"/>
                                </a:ln>
                              </wps:spPr>
                              <wps:bodyPr upright="1"/>
                            </wps:wsp>
                            <wps:wsp>
                              <wps:cNvPr id="346" name="直接箭头连接符 218"/>
                              <wps:cNvCnPr>
                                <a:stCxn id="339" idx="2"/>
                                <a:endCxn id="344" idx="2"/>
                              </wps:cNvCnPr>
                              <wps:spPr>
                                <a:xfrm flipV="1">
                                  <a:off x="6064" y="435376"/>
                                  <a:ext cx="11" cy="1200"/>
                                </a:xfrm>
                                <a:prstGeom prst="straightConnector1">
                                  <a:avLst/>
                                </a:prstGeom>
                                <a:ln w="0" cap="flat" cmpd="sng">
                                  <a:solidFill>
                                    <a:srgbClr val="000000"/>
                                  </a:solidFill>
                                  <a:prstDash val="solid"/>
                                  <a:round/>
                                  <a:headEnd type="none" w="med" len="med"/>
                                  <a:tailEnd type="arrow" w="med" len="med"/>
                                </a:ln>
                              </wps:spPr>
                              <wps:bodyPr/>
                            </wps:wsp>
                            <wps:wsp>
                              <wps:cNvPr id="347" name="直接箭头连接符 219"/>
                              <wps:cNvCnPr>
                                <a:stCxn id="339" idx="2"/>
                                <a:endCxn id="344" idx="2"/>
                              </wps:cNvCnPr>
                              <wps:spPr>
                                <a:xfrm>
                                  <a:off x="12480" y="435114"/>
                                  <a:ext cx="330" cy="7"/>
                                </a:xfrm>
                                <a:prstGeom prst="straightConnector1">
                                  <a:avLst/>
                                </a:prstGeom>
                                <a:ln w="12700" cap="flat" cmpd="sng">
                                  <a:solidFill>
                                    <a:srgbClr val="000000"/>
                                  </a:solidFill>
                                  <a:prstDash val="solid"/>
                                  <a:round/>
                                  <a:headEnd type="none" w="med" len="med"/>
                                  <a:tailEnd type="arrow" w="med" len="med"/>
                                </a:ln>
                              </wps:spPr>
                              <wps:bodyPr/>
                            </wps:wsp>
                            <wps:wsp>
                              <wps:cNvPr id="348" name="直接箭头连接符 220"/>
                              <wps:cNvCnPr>
                                <a:stCxn id="339" idx="2"/>
                                <a:endCxn id="344" idx="2"/>
                              </wps:cNvCnPr>
                              <wps:spPr>
                                <a:xfrm>
                                  <a:off x="11355" y="435114"/>
                                  <a:ext cx="330" cy="7"/>
                                </a:xfrm>
                                <a:prstGeom prst="straightConnector1">
                                  <a:avLst/>
                                </a:prstGeom>
                                <a:ln w="12700" cap="flat" cmpd="sng">
                                  <a:solidFill>
                                    <a:srgbClr val="000000"/>
                                  </a:solidFill>
                                  <a:prstDash val="solid"/>
                                  <a:round/>
                                  <a:headEnd type="none" w="med" len="med"/>
                                  <a:tailEnd type="arrow" w="med" len="med"/>
                                </a:ln>
                              </wps:spPr>
                              <wps:bodyPr/>
                            </wps:wsp>
                            <wps:wsp>
                              <wps:cNvPr id="349" name="直接箭头连接符 221"/>
                              <wps:cNvCnPr>
                                <a:stCxn id="339" idx="2"/>
                                <a:endCxn id="344" idx="2"/>
                              </wps:cNvCnPr>
                              <wps:spPr>
                                <a:xfrm>
                                  <a:off x="10125" y="435129"/>
                                  <a:ext cx="330" cy="7"/>
                                </a:xfrm>
                                <a:prstGeom prst="straightConnector1">
                                  <a:avLst/>
                                </a:prstGeom>
                                <a:ln w="12700" cap="flat" cmpd="sng">
                                  <a:solidFill>
                                    <a:srgbClr val="000000"/>
                                  </a:solidFill>
                                  <a:prstDash val="solid"/>
                                  <a:round/>
                                  <a:headEnd type="none" w="med" len="med"/>
                                  <a:tailEnd type="arrow" w="med" len="med"/>
                                </a:ln>
                              </wps:spPr>
                              <wps:bodyPr/>
                            </wps:wsp>
                            <wps:wsp>
                              <wps:cNvPr id="350" name="直接箭头连接符 222"/>
                              <wps:cNvCnPr>
                                <a:stCxn id="339" idx="2"/>
                                <a:endCxn id="344" idx="2"/>
                              </wps:cNvCnPr>
                              <wps:spPr>
                                <a:xfrm>
                                  <a:off x="8955" y="435114"/>
                                  <a:ext cx="330" cy="7"/>
                                </a:xfrm>
                                <a:prstGeom prst="straightConnector1">
                                  <a:avLst/>
                                </a:prstGeom>
                                <a:ln w="12700" cap="flat" cmpd="sng">
                                  <a:solidFill>
                                    <a:srgbClr val="000000"/>
                                  </a:solidFill>
                                  <a:prstDash val="solid"/>
                                  <a:round/>
                                  <a:headEnd type="none" w="med" len="med"/>
                                  <a:tailEnd type="arrow" w="med" len="med"/>
                                </a:ln>
                              </wps:spPr>
                              <wps:bodyPr/>
                            </wps:wsp>
                            <wps:wsp>
                              <wps:cNvPr id="351" name="直接箭头连接符 223"/>
                              <wps:cNvCnPr>
                                <a:stCxn id="339" idx="2"/>
                                <a:endCxn id="344" idx="2"/>
                              </wps:cNvCnPr>
                              <wps:spPr>
                                <a:xfrm>
                                  <a:off x="7635" y="435129"/>
                                  <a:ext cx="330" cy="7"/>
                                </a:xfrm>
                                <a:prstGeom prst="straightConnector1">
                                  <a:avLst/>
                                </a:prstGeom>
                                <a:ln w="12700" cap="flat" cmpd="sng">
                                  <a:solidFill>
                                    <a:srgbClr val="000000"/>
                                  </a:solidFill>
                                  <a:prstDash val="solid"/>
                                  <a:round/>
                                  <a:headEnd type="none" w="med" len="med"/>
                                  <a:tailEnd type="arrow" w="med" len="med"/>
                                </a:ln>
                              </wps:spPr>
                              <wps:bodyPr/>
                            </wps:wsp>
                            <wps:wsp>
                              <wps:cNvPr id="352" name="直接箭头连接符 224"/>
                              <wps:cNvCnPr>
                                <a:stCxn id="344" idx="3"/>
                                <a:endCxn id="344" idx="2"/>
                              </wps:cNvCnPr>
                              <wps:spPr>
                                <a:xfrm>
                                  <a:off x="6465" y="435129"/>
                                  <a:ext cx="330" cy="7"/>
                                </a:xfrm>
                                <a:prstGeom prst="straightConnector1">
                                  <a:avLst/>
                                </a:prstGeom>
                                <a:ln w="12700" cap="flat" cmpd="sng">
                                  <a:solidFill>
                                    <a:srgbClr val="000000"/>
                                  </a:solidFill>
                                  <a:prstDash val="solid"/>
                                  <a:round/>
                                  <a:headEnd type="none" w="med" len="med"/>
                                  <a:tailEnd type="arrow" w="med" len="med"/>
                                </a:ln>
                              </wps:spPr>
                              <wps:bodyPr/>
                            </wps:wsp>
                            <wps:wsp>
                              <wps:cNvPr id="354" name="矩形 226"/>
                              <wps:cNvSpPr/>
                              <wps:spPr>
                                <a:xfrm>
                                  <a:off x="10740" y="436321"/>
                                  <a:ext cx="1036" cy="495"/>
                                </a:xfrm>
                                <a:prstGeom prst="rect">
                                  <a:avLst/>
                                </a:prstGeom>
                                <a:noFill/>
                                <a:ln w="25400" cap="flat" cmpd="sng">
                                  <a:solidFill>
                                    <a:srgbClr val="000000"/>
                                  </a:solidFill>
                                  <a:prstDash val="solid"/>
                                  <a:round/>
                                  <a:headEnd type="none" w="med" len="med"/>
                                  <a:tailEnd type="none" w="med" len="med"/>
                                </a:ln>
                              </wps:spPr>
                              <wps:txbx>
                                <w:txbxContent>
                                  <w:p w14:paraId="7C5792CE">
                                    <w:pPr>
                                      <w:jc w:val="center"/>
                                      <w:rPr>
                                        <w:rFonts w:hint="eastAsia" w:eastAsia="宋体"/>
                                        <w:color w:val="000000"/>
                                        <w:lang w:val="en-US" w:eastAsia="zh-CN"/>
                                      </w:rPr>
                                    </w:pPr>
                                    <w:r>
                                      <w:rPr>
                                        <w:rFonts w:hint="eastAsia"/>
                                        <w:color w:val="000000"/>
                                        <w:lang w:val="en-US" w:eastAsia="zh-CN"/>
                                      </w:rPr>
                                      <w:t>冷却</w:t>
                                    </w:r>
                                  </w:p>
                                </w:txbxContent>
                              </wps:txbx>
                              <wps:bodyPr anchor="ctr" anchorCtr="0" upright="1"/>
                            </wps:wsp>
                            <wps:wsp>
                              <wps:cNvPr id="355" name="矩形 229"/>
                              <wps:cNvSpPr/>
                              <wps:spPr>
                                <a:xfrm>
                                  <a:off x="12045" y="436306"/>
                                  <a:ext cx="1036" cy="495"/>
                                </a:xfrm>
                                <a:prstGeom prst="rect">
                                  <a:avLst/>
                                </a:prstGeom>
                                <a:noFill/>
                                <a:ln w="25400" cap="flat" cmpd="sng">
                                  <a:solidFill>
                                    <a:srgbClr val="000000"/>
                                  </a:solidFill>
                                  <a:prstDash val="solid"/>
                                  <a:round/>
                                  <a:headEnd type="none" w="med" len="med"/>
                                  <a:tailEnd type="none" w="med" len="med"/>
                                </a:ln>
                              </wps:spPr>
                              <wps:txbx>
                                <w:txbxContent>
                                  <w:p w14:paraId="6B575509">
                                    <w:pPr>
                                      <w:jc w:val="center"/>
                                      <w:rPr>
                                        <w:rFonts w:hint="eastAsia" w:eastAsia="宋体"/>
                                        <w:color w:val="000000"/>
                                        <w:lang w:val="en-US" w:eastAsia="zh-CN"/>
                                      </w:rPr>
                                    </w:pPr>
                                    <w:r>
                                      <w:rPr>
                                        <w:rFonts w:hint="eastAsia" w:eastAsia="宋体"/>
                                        <w:color w:val="000000"/>
                                        <w:lang w:val="en-US" w:eastAsia="zh-CN"/>
                                      </w:rPr>
                                      <w:t>砂再生</w:t>
                                    </w:r>
                                  </w:p>
                                </w:txbxContent>
                              </wps:txbx>
                              <wps:bodyPr anchor="ctr" anchorCtr="0" upright="1"/>
                            </wps:wsp>
                            <wps:wsp>
                              <wps:cNvPr id="357" name="直接箭头连接符 233"/>
                              <wps:cNvCnPr>
                                <a:stCxn id="354" idx="1"/>
                                <a:endCxn id="344" idx="2"/>
                              </wps:cNvCnPr>
                              <wps:spPr>
                                <a:xfrm flipH="1">
                                  <a:off x="6064" y="436569"/>
                                  <a:ext cx="4676" cy="7"/>
                                </a:xfrm>
                                <a:prstGeom prst="straightConnector1">
                                  <a:avLst/>
                                </a:prstGeom>
                                <a:ln w="12700" cap="flat" cmpd="sng">
                                  <a:solidFill>
                                    <a:srgbClr val="000000"/>
                                  </a:solidFill>
                                  <a:prstDash val="solid"/>
                                  <a:round/>
                                  <a:headEnd type="none" w="med" len="med"/>
                                  <a:tailEnd type="none" w="med" len="med"/>
                                </a:ln>
                              </wps:spPr>
                              <wps:bodyPr/>
                            </wps:wsp>
                            <wps:wsp>
                              <wps:cNvPr id="187" name="直接箭头连接符 234"/>
                              <wps:cNvCnPr>
                                <a:stCxn id="354" idx="1"/>
                                <a:endCxn id="344" idx="2"/>
                              </wps:cNvCnPr>
                              <wps:spPr>
                                <a:xfrm flipH="1">
                                  <a:off x="11775" y="436486"/>
                                  <a:ext cx="270" cy="0"/>
                                </a:xfrm>
                                <a:prstGeom prst="straightConnector1">
                                  <a:avLst/>
                                </a:prstGeom>
                                <a:ln w="9525" cap="flat" cmpd="sng">
                                  <a:solidFill>
                                    <a:srgbClr val="000000"/>
                                  </a:solidFill>
                                  <a:prstDash val="solid"/>
                                  <a:round/>
                                  <a:headEnd type="none" w="med" len="med"/>
                                  <a:tailEnd type="arrow" w="med" len="med"/>
                                </a:ln>
                              </wps:spPr>
                              <wps:bodyPr/>
                            </wps:wsp>
                            <wps:wsp>
                              <wps:cNvPr id="188" name="直接箭头连接符 235"/>
                              <wps:cNvCnPr>
                                <a:stCxn id="354" idx="1"/>
                                <a:endCxn id="344" idx="2"/>
                              </wps:cNvCnPr>
                              <wps:spPr>
                                <a:xfrm flipH="1">
                                  <a:off x="13110" y="436561"/>
                                  <a:ext cx="270" cy="0"/>
                                </a:xfrm>
                                <a:prstGeom prst="straightConnector1">
                                  <a:avLst/>
                                </a:prstGeom>
                                <a:ln w="12700" cap="flat" cmpd="sng">
                                  <a:solidFill>
                                    <a:srgbClr val="000000"/>
                                  </a:solidFill>
                                  <a:prstDash val="solid"/>
                                  <a:round/>
                                  <a:headEnd type="none" w="med" len="med"/>
                                  <a:tailEnd type="arrow" w="med" len="med"/>
                                </a:ln>
                              </wps:spPr>
                              <wps:bodyPr/>
                            </wps:wsp>
                            <wps:wsp>
                              <wps:cNvPr id="192" name="矩形 236"/>
                              <wps:cNvSpPr/>
                              <wps:spPr>
                                <a:xfrm>
                                  <a:off x="10345" y="437221"/>
                                  <a:ext cx="1356" cy="495"/>
                                </a:xfrm>
                                <a:prstGeom prst="rect">
                                  <a:avLst/>
                                </a:prstGeom>
                                <a:noFill/>
                                <a:ln w="25400" cap="flat" cmpd="sng">
                                  <a:solidFill>
                                    <a:srgbClr val="000000"/>
                                  </a:solidFill>
                                  <a:prstDash val="solid"/>
                                  <a:round/>
                                  <a:headEnd type="none" w="med" len="med"/>
                                  <a:tailEnd type="none" w="med" len="med"/>
                                </a:ln>
                              </wps:spPr>
                              <wps:txbx>
                                <w:txbxContent>
                                  <w:p w14:paraId="61B3425A">
                                    <w:pPr>
                                      <w:jc w:val="center"/>
                                      <w:rPr>
                                        <w:rFonts w:hint="eastAsia"/>
                                        <w:color w:val="000000"/>
                                        <w:lang w:val="en-US" w:eastAsia="zh-CN"/>
                                      </w:rPr>
                                    </w:pPr>
                                    <w:r>
                                      <w:rPr>
                                        <w:rFonts w:hint="eastAsia"/>
                                        <w:color w:val="000000"/>
                                        <w:lang w:val="en-US" w:eastAsia="zh-CN"/>
                                      </w:rPr>
                                      <w:t>包装入库</w:t>
                                    </w:r>
                                  </w:p>
                                  <w:p w14:paraId="1B2974BD">
                                    <w:pPr>
                                      <w:jc w:val="center"/>
                                      <w:rPr>
                                        <w:color w:val="000000"/>
                                      </w:rPr>
                                    </w:pPr>
                                  </w:p>
                                  <w:p w14:paraId="37277933">
                                    <w:pPr>
                                      <w:jc w:val="center"/>
                                      <w:rPr>
                                        <w:rFonts w:hint="eastAsia" w:eastAsia="宋体"/>
                                        <w:color w:val="000000"/>
                                        <w:lang w:val="en-US" w:eastAsia="zh-CN"/>
                                      </w:rPr>
                                    </w:pPr>
                                    <w:r>
                                      <w:rPr>
                                        <w:color w:val="000000"/>
                                      </w:rPr>
                                      <w:drawing>
                                        <wp:inline distT="0" distB="0" distL="114300" distR="114300">
                                          <wp:extent cx="298450" cy="182245"/>
                                          <wp:effectExtent l="0" t="0" r="6350" b="8255"/>
                                          <wp:docPr id="19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0"/>
                                                  <pic:cNvPicPr>
                                                    <a:picLocks noChangeAspect="1"/>
                                                  </pic:cNvPicPr>
                                                </pic:nvPicPr>
                                                <pic:blipFill>
                                                  <a:blip r:embed="rId23"/>
                                                  <a:stretch>
                                                    <a:fillRect/>
                                                  </a:stretch>
                                                </pic:blipFill>
                                                <pic:spPr>
                                                  <a:xfrm>
                                                    <a:off x="0" y="0"/>
                                                    <a:ext cx="298450" cy="182245"/>
                                                  </a:xfrm>
                                                  <a:prstGeom prst="rect">
                                                    <a:avLst/>
                                                  </a:prstGeom>
                                                  <a:noFill/>
                                                  <a:ln>
                                                    <a:noFill/>
                                                  </a:ln>
                                                </pic:spPr>
                                              </pic:pic>
                                            </a:graphicData>
                                          </a:graphic>
                                        </wp:inline>
                                      </w:drawing>
                                    </w:r>
                                  </w:p>
                                </w:txbxContent>
                              </wps:txbx>
                              <wps:bodyPr anchor="ctr" anchorCtr="0" upright="1"/>
                            </wps:wsp>
                            <wps:wsp>
                              <wps:cNvPr id="196" name="矩形 238"/>
                              <wps:cNvSpPr/>
                              <wps:spPr>
                                <a:xfrm>
                                  <a:off x="12015" y="437161"/>
                                  <a:ext cx="1036" cy="495"/>
                                </a:xfrm>
                                <a:prstGeom prst="rect">
                                  <a:avLst/>
                                </a:prstGeom>
                                <a:noFill/>
                                <a:ln w="25400" cap="flat" cmpd="sng">
                                  <a:solidFill>
                                    <a:srgbClr val="000000"/>
                                  </a:solidFill>
                                  <a:prstDash val="solid"/>
                                  <a:round/>
                                  <a:headEnd type="none" w="med" len="med"/>
                                  <a:tailEnd type="none" w="med" len="med"/>
                                </a:ln>
                              </wps:spPr>
                              <wps:txbx>
                                <w:txbxContent>
                                  <w:p w14:paraId="797CF625">
                                    <w:pPr>
                                      <w:jc w:val="center"/>
                                      <w:rPr>
                                        <w:rFonts w:hint="eastAsia"/>
                                        <w:color w:val="000000"/>
                                        <w:lang w:val="en-US" w:eastAsia="zh-CN"/>
                                      </w:rPr>
                                    </w:pPr>
                                    <w:r>
                                      <w:rPr>
                                        <w:rFonts w:hint="eastAsia"/>
                                        <w:color w:val="000000"/>
                                        <w:lang w:val="en-US" w:eastAsia="zh-CN"/>
                                      </w:rPr>
                                      <w:t>抛丸</w:t>
                                    </w:r>
                                  </w:p>
                                  <w:p w14:paraId="5BA762A4">
                                    <w:pPr>
                                      <w:jc w:val="center"/>
                                      <w:rPr>
                                        <w:color w:val="000000"/>
                                      </w:rPr>
                                    </w:pPr>
                                  </w:p>
                                  <w:p w14:paraId="641895AD">
                                    <w:pPr>
                                      <w:jc w:val="center"/>
                                      <w:rPr>
                                        <w:rFonts w:hint="eastAsia" w:eastAsia="宋体"/>
                                        <w:color w:val="000000"/>
                                        <w:lang w:val="en-US" w:eastAsia="zh-CN"/>
                                      </w:rPr>
                                    </w:pPr>
                                    <w:r>
                                      <w:rPr>
                                        <w:color w:val="000000"/>
                                      </w:rPr>
                                      <w:drawing>
                                        <wp:inline distT="0" distB="0" distL="114300" distR="114300">
                                          <wp:extent cx="298450" cy="182245"/>
                                          <wp:effectExtent l="0" t="0" r="6350" b="8255"/>
                                          <wp:docPr id="1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1"/>
                                                  <pic:cNvPicPr>
                                                    <a:picLocks noChangeAspect="1"/>
                                                  </pic:cNvPicPr>
                                                </pic:nvPicPr>
                                                <pic:blipFill>
                                                  <a:blip r:embed="rId23"/>
                                                  <a:stretch>
                                                    <a:fillRect/>
                                                  </a:stretch>
                                                </pic:blipFill>
                                                <pic:spPr>
                                                  <a:xfrm>
                                                    <a:off x="0" y="0"/>
                                                    <a:ext cx="298450" cy="182245"/>
                                                  </a:xfrm>
                                                  <a:prstGeom prst="rect">
                                                    <a:avLst/>
                                                  </a:prstGeom>
                                                  <a:noFill/>
                                                  <a:ln>
                                                    <a:noFill/>
                                                  </a:ln>
                                                </pic:spPr>
                                              </pic:pic>
                                            </a:graphicData>
                                          </a:graphic>
                                        </wp:inline>
                                      </w:drawing>
                                    </w:r>
                                  </w:p>
                                </w:txbxContent>
                              </wps:txbx>
                              <wps:bodyPr anchor="ctr" anchorCtr="0" upright="1"/>
                            </wps:wsp>
                            <wps:wsp>
                              <wps:cNvPr id="197" name="直接箭头连接符 240"/>
                              <wps:cNvCnPr>
                                <a:stCxn id="354" idx="1"/>
                                <a:endCxn id="344" idx="2"/>
                              </wps:cNvCnPr>
                              <wps:spPr>
                                <a:xfrm flipH="1">
                                  <a:off x="11745" y="437446"/>
                                  <a:ext cx="270" cy="0"/>
                                </a:xfrm>
                                <a:prstGeom prst="straightConnector1">
                                  <a:avLst/>
                                </a:prstGeom>
                                <a:ln w="12700" cap="flat" cmpd="sng">
                                  <a:solidFill>
                                    <a:srgbClr val="000000"/>
                                  </a:solidFill>
                                  <a:prstDash val="solid"/>
                                  <a:round/>
                                  <a:headEnd type="none" w="med" len="med"/>
                                  <a:tailEnd type="arrow" w="med" len="med"/>
                                </a:ln>
                              </wps:spPr>
                              <wps:bodyPr/>
                            </wps:wsp>
                            <wps:wsp>
                              <wps:cNvPr id="198" name="直接箭头连接符 241"/>
                              <wps:cNvCnPr>
                                <a:stCxn id="354" idx="1"/>
                                <a:endCxn id="344" idx="2"/>
                              </wps:cNvCnPr>
                              <wps:spPr>
                                <a:xfrm flipH="1">
                                  <a:off x="13095" y="437401"/>
                                  <a:ext cx="270" cy="0"/>
                                </a:xfrm>
                                <a:prstGeom prst="straightConnector1">
                                  <a:avLst/>
                                </a:prstGeom>
                                <a:ln w="12700" cap="flat" cmpd="sng">
                                  <a:solidFill>
                                    <a:srgbClr val="000000"/>
                                  </a:solidFill>
                                  <a:prstDash val="solid"/>
                                  <a:round/>
                                  <a:headEnd type="none" w="med" len="med"/>
                                  <a:tailEnd type="arrow" w="med" len="med"/>
                                </a:ln>
                              </wps:spPr>
                              <wps:bodyPr/>
                            </wps:wsp>
                          </wpg:wgp>
                        </a:graphicData>
                      </a:graphic>
                    </wp:anchor>
                  </w:drawing>
                </mc:Choice>
                <mc:Fallback>
                  <w:pict>
                    <v:group id="组合 1067" o:spid="_x0000_s1026" o:spt="203" style="position:absolute;left:0pt;margin-left:19.25pt;margin-top:90.7pt;height:231.7pt;width:418.75pt;z-index:251728896;mso-width-relative:page;mso-height-relative:page;" coordorigin="5520,433205" coordsize="8675,4634" o:gfxdata="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">
                      <o:lock v:ext="edit" aspectratio="f"/>
                      <v:rect id="矩形 11" o:spid="_x0000_s1026" o:spt="1" style="position:absolute;left:5520;top:433205;height:4634;width:8675;v-text-anchor:middle;" filled="f" stroked="f" coordsize="21600,21600" o:gfxdata="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GYiNu/&#10;AAAA3AAAAA8AAAAAAAAAAQAgAAAAIgAAAGRycy9kb3ducmV2LnhtbFBLAQIUABQAAAAIAIdO4kAz&#10;LwWeOwAAADkAAAAQAAAAAAAAAAEAIAAAAA4BAABkcnMvc2hhcGV4bWwueG1sUEsFBgAAAAAGAAYA&#10;WwEAALgDAAAAAA==&#10;">
                        <v:fill on="f" focussize="0,0"/>
                        <v:stroke on="f" weight="2pt"/>
                        <v:imagedata o:title=""/>
                        <o:lock v:ext="edit" aspectratio="f"/>
                      </v:rect>
                      <v:rect id="矩形 192" o:spid="_x0000_s1026" o:spt="1" style="position:absolute;left:7965;top:433606;height:495;width:1036;v-text-anchor:middle;" filled="f" stroked="t" coordsize="21600,21600" o:gfxdata="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3XZz&#10;JsEAAADcAAAADwAAAAAAAAABACAAAAAiAAAAZHJzL2Rvd25yZXYueG1sUEsBAhQAFAAAAAgAh07i&#10;QDMvBZ47AAAAOQAAABAAAAAAAAAAAQAgAAAAEAEAAGRycy9zaGFwZXhtbC54bWxQSwUGAAAAAAYA&#10;BgBbAQAAugMAAAAA&#10;">
                        <v:fill on="f" focussize="0,0"/>
                        <v:stroke weight="2pt" color="#000000" joinstyle="round"/>
                        <v:imagedata o:title=""/>
                        <o:lock v:ext="edit" aspectratio="f"/>
                        <v:textbox>
                          <w:txbxContent>
                            <w:p w14:paraId="6D7DDCCC">
                              <w:pPr>
                                <w:jc w:val="center"/>
                                <w:rPr>
                                  <w:rFonts w:hint="eastAsia" w:eastAsia="宋体"/>
                                  <w:color w:val="000000"/>
                                  <w:lang w:val="en-US" w:eastAsia="zh-CN"/>
                                </w:rPr>
                              </w:pPr>
                              <w:r>
                                <w:rPr>
                                  <w:rFonts w:hint="eastAsia"/>
                                  <w:color w:val="000000"/>
                                  <w:lang w:val="en-US" w:eastAsia="zh-CN"/>
                                </w:rPr>
                                <w:t>中频炉</w:t>
                              </w:r>
                            </w:p>
                          </w:txbxContent>
                        </v:textbox>
                      </v:rect>
                      <v:rect id="矩形 194" o:spid="_x0000_s1026" o:spt="1" style="position:absolute;left:9135;top:433606;height:495;width:1036;v-text-anchor:middle;" filled="f" stroked="f" coordsize="21600,21600" o:gfxdata="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qIZyugAAANwA&#10;AAAPAAAAAAAAAAEAIAAAACIAAABkcnMvZG93bnJldi54bWxQSwECFAAUAAAACACHTuJAMy8FnjsA&#10;AAA5AAAAEAAAAAAAAAABACAAAAAJAQAAZHJzL3NoYXBleG1sLnhtbFBLBQYAAAAABgAGAFsBAACz&#10;AwAAAAA=&#10;">
                        <v:fill on="f" focussize="0,0"/>
                        <v:stroke on="f" weight="2pt"/>
                        <v:imagedata o:title=""/>
                        <o:lock v:ext="edit" aspectratio="f"/>
                        <v:textbox>
                          <w:txbxContent>
                            <w:p w14:paraId="16431B2C">
                              <w:pPr>
                                <w:jc w:val="center"/>
                                <w:rPr>
                                  <w:rFonts w:hint="eastAsia" w:eastAsia="宋体"/>
                                  <w:color w:val="000000"/>
                                  <w:lang w:val="en-US" w:eastAsia="zh-CN"/>
                                </w:rPr>
                              </w:pPr>
                              <w:r>
                                <w:rPr>
                                  <w:rFonts w:hint="eastAsia"/>
                                  <w:color w:val="000000"/>
                                  <w:lang w:val="en-US" w:eastAsia="zh-CN"/>
                                </w:rPr>
                                <w:t>铁水</w:t>
                              </w:r>
                            </w:p>
                          </w:txbxContent>
                        </v:textbox>
                      </v:rect>
                      <v:shape id="直接箭头连接符 196" o:spid="_x0000_s1026" o:spt="32" type="#_x0000_t32" style="position:absolute;left:9060;top:433854;height:7;width:330;" filled="f" stroked="t" coordsize="21600,21600" o:gfxdata="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Y7SK/&#10;AAAA3AAAAA8AAAAAAAAAAQAgAAAAIgAAAGRycy9kb3ducmV2LnhtbFBLAQIUABQAAAAIAIdO4kAz&#10;LwWeOwAAADkAAAAQAAAAAAAAAAEAIAAAAA4BAABkcnMvc2hhcGV4bWwueG1sUEsFBgAAAAAGAAYA&#10;WwEAALgDAAAAAA==&#10;">
                        <v:fill on="f" focussize="0,0"/>
                        <v:stroke weight="1pt" color="#000000" joinstyle="round" endarrow="open"/>
                        <v:imagedata o:title=""/>
                        <o:lock v:ext="edit" aspectratio="f"/>
                      </v:shape>
                      <v:shape id="直接箭头连接符 201" o:spid="_x0000_s1026" o:spt="32" type="#_x0000_t32" style="position:absolute;left:9653;top:434131;height:705;width:0;" filled="f" stroked="t" coordsize="21600,21600" o:gfxdata="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90M2/&#10;AAAA3AAAAA8AAAAAAAAAAQAgAAAAIgAAAGRycy9kb3ducmV2LnhtbFBLAQIUABQAAAAIAIdO4kAz&#10;LwWeOwAAADkAAAAQAAAAAAAAAAEAIAAAAA4BAABkcnMvc2hhcGV4bWwueG1sUEsFBgAAAAAGAAYA&#10;WwEAALgDAAAAAA==&#10;">
                        <v:fill on="f" focussize="0,0"/>
                        <v:stroke weight="1pt" color="#000000" joinstyle="round" endarrow="open"/>
                        <v:imagedata o:title=""/>
                        <o:lock v:ext="edit" aspectratio="f"/>
                      </v:shape>
                      <v:rect id="矩形 207" o:spid="_x0000_s1026" o:spt="1" style="position:absolute;left:10499;top:434866;height:495;width:780;v-text-anchor:middle;" filled="f" stroked="t" coordsize="21600,21600" o:gfxdata="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40BgvQAA&#10;ANw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textbox>
                          <w:txbxContent>
                            <w:p w14:paraId="3DBC7C44">
                              <w:pPr>
                                <w:jc w:val="center"/>
                                <w:rPr>
                                  <w:rFonts w:hint="eastAsia" w:eastAsia="宋体"/>
                                  <w:color w:val="000000"/>
                                  <w:lang w:val="en-US" w:eastAsia="zh-CN"/>
                                </w:rPr>
                              </w:pPr>
                              <w:r>
                                <w:rPr>
                                  <w:rFonts w:hint="eastAsia"/>
                                  <w:color w:val="000000"/>
                                  <w:lang w:val="en-US" w:eastAsia="zh-CN"/>
                                </w:rPr>
                                <w:t>开箱</w:t>
                              </w:r>
                            </w:p>
                          </w:txbxContent>
                        </v:textbox>
                      </v:rect>
                      <v:rect id="矩形 203" o:spid="_x0000_s1026" o:spt="1" style="position:absolute;left:12855;top:434866;height:495;width:1036;v-text-anchor:middle;" filled="f" stroked="t" coordsize="21600,21600" o:gfxdata="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r+X7&#10;wAAAANwAAAAPAAAAAAAAAAEAIAAAACIAAABkcnMvZG93bnJldi54bWxQSwECFAAUAAAACACHTuJA&#10;My8FnjsAAAA5AAAAEAAAAAAAAAABACAAAAAPAQAAZHJzL3NoYXBleG1sLnhtbFBLBQYAAAAABgAG&#10;AFsBAAC5AwAAAAA=&#10;">
                        <v:fill on="f" focussize="0,0"/>
                        <v:stroke weight="2pt" color="#000000" joinstyle="round"/>
                        <v:imagedata o:title=""/>
                        <o:lock v:ext="edit" aspectratio="f"/>
                        <v:textbox>
                          <w:txbxContent>
                            <w:p w14:paraId="448D1517">
                              <w:pPr>
                                <w:jc w:val="center"/>
                                <w:rPr>
                                  <w:rFonts w:hint="eastAsia" w:eastAsia="宋体"/>
                                  <w:color w:val="000000"/>
                                  <w:lang w:val="en-US" w:eastAsia="zh-CN"/>
                                </w:rPr>
                              </w:pPr>
                              <w:r>
                                <w:rPr>
                                  <w:rFonts w:hint="eastAsia"/>
                                  <w:color w:val="000000"/>
                                  <w:lang w:val="en-US" w:eastAsia="zh-CN"/>
                                </w:rPr>
                                <w:t>去冒口</w:t>
                              </w:r>
                            </w:p>
                          </w:txbxContent>
                        </v:textbox>
                      </v:rect>
                      <v:rect id="矩形 205" o:spid="_x0000_s1026" o:spt="1" style="position:absolute;left:11685;top:434881;height:495;width:780;v-text-anchor:middle;" filled="f" stroked="t" coordsize="21600,21600" o:gfxdata="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kz8bvQAA&#10;ANw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textbox>
                          <w:txbxContent>
                            <w:p w14:paraId="33489B6A">
                              <w:pPr>
                                <w:jc w:val="center"/>
                                <w:rPr>
                                  <w:rFonts w:hint="eastAsia" w:eastAsia="宋体"/>
                                  <w:color w:val="000000"/>
                                  <w:lang w:val="en-US" w:eastAsia="zh-CN"/>
                                </w:rPr>
                              </w:pPr>
                              <w:r>
                                <w:rPr>
                                  <w:rFonts w:hint="eastAsia"/>
                                  <w:color w:val="000000"/>
                                  <w:lang w:val="en-US" w:eastAsia="zh-CN"/>
                                </w:rPr>
                                <w:t>落砂</w:t>
                              </w:r>
                            </w:p>
                          </w:txbxContent>
                        </v:textbox>
                      </v:rect>
                      <v:rect id="矩形 209" o:spid="_x0000_s1026" o:spt="1" style="position:absolute;left:9345;top:434881;height:495;width:780;v-text-anchor:middle;" filled="f" stroked="t" coordsize="21600,21600" o:gfxdata="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35qA&#10;wAAAANwAAAAPAAAAAAAAAAEAIAAAACIAAABkcnMvZG93bnJldi54bWxQSwECFAAUAAAACACHTuJA&#10;My8FnjsAAAA5AAAAEAAAAAAAAAABACAAAAAPAQAAZHJzL3NoYXBleG1sLnhtbFBLBQYAAAAABgAG&#10;AFsBAAC5AwAAAAA=&#10;">
                        <v:fill on="f" focussize="0,0"/>
                        <v:stroke weight="2pt" color="#000000" joinstyle="round"/>
                        <v:imagedata o:title=""/>
                        <o:lock v:ext="edit" aspectratio="f"/>
                        <v:textbox>
                          <w:txbxContent>
                            <w:p w14:paraId="43A9778D">
                              <w:pPr>
                                <w:jc w:val="center"/>
                                <w:rPr>
                                  <w:rFonts w:hint="eastAsia" w:eastAsia="宋体"/>
                                  <w:color w:val="000000"/>
                                  <w:lang w:val="en-US" w:eastAsia="zh-CN"/>
                                </w:rPr>
                              </w:pPr>
                              <w:r>
                                <w:rPr>
                                  <w:rFonts w:hint="eastAsia"/>
                                  <w:color w:val="000000"/>
                                  <w:lang w:val="en-US" w:eastAsia="zh-CN"/>
                                </w:rPr>
                                <w:t>浇铸</w:t>
                              </w:r>
                            </w:p>
                          </w:txbxContent>
                        </v:textbox>
                      </v:rect>
                      <v:rect id="矩形 211" o:spid="_x0000_s1026" o:spt="1" style="position:absolute;left:7965;top:434866;height:495;width:960;v-text-anchor:middle;" filled="f" stroked="t" coordsize="21600,21600" o:gfxdata="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DQT3&#10;wAAAANwAAAAPAAAAAAAAAAEAIAAAACIAAABkcnMvZG93bnJldi54bWxQSwECFAAUAAAACACHTuJA&#10;My8FnjsAAAA5AAAAEAAAAAAAAAABACAAAAAPAQAAZHJzL3NoYXBleG1sLnhtbFBLBQYAAAAABgAG&#10;AFsBAAC5AwAAAAA=&#10;">
                        <v:fill on="f" focussize="0,0"/>
                        <v:stroke weight="2pt" color="#000000" joinstyle="round"/>
                        <v:imagedata o:title=""/>
                        <o:lock v:ext="edit" aspectratio="f"/>
                        <v:textbox>
                          <w:txbxContent>
                            <w:p w14:paraId="7D30DEAC">
                              <w:pPr>
                                <w:jc w:val="center"/>
                                <w:rPr>
                                  <w:rFonts w:hint="eastAsia" w:eastAsia="宋体"/>
                                  <w:color w:val="000000"/>
                                  <w:lang w:val="en-US" w:eastAsia="zh-CN"/>
                                </w:rPr>
                              </w:pPr>
                              <w:r>
                                <w:rPr>
                                  <w:rFonts w:hint="eastAsia"/>
                                  <w:color w:val="000000"/>
                                  <w:lang w:val="en-US" w:eastAsia="zh-CN"/>
                                </w:rPr>
                                <w:t>上料</w:t>
                              </w:r>
                            </w:p>
                          </w:txbxContent>
                        </v:textbox>
                      </v:rect>
                      <v:rect id="矩形 213" o:spid="_x0000_s1026" o:spt="1" style="position:absolute;left:6825;top:434881;height:495;width:780;v-text-anchor:middle;" filled="f" stroked="t" coordsize="21600,21600" o:gfxdata="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QaFs&#10;wAAAANwAAAAPAAAAAAAAAAEAIAAAACIAAABkcnMvZG93bnJldi54bWxQSwECFAAUAAAACACHTuJA&#10;My8FnjsAAAA5AAAAEAAAAAAAAAABACAAAAAPAQAAZHJzL3NoYXBleG1sLnhtbFBLBQYAAAAABgAG&#10;AFsBAAC5AwAAAAA=&#10;">
                        <v:fill on="f" focussize="0,0"/>
                        <v:stroke weight="2pt" color="#000000" joinstyle="round"/>
                        <v:imagedata o:title=""/>
                        <o:lock v:ext="edit" aspectratio="f"/>
                        <v:textbox>
                          <w:txbxContent>
                            <w:p w14:paraId="45E92D65">
                              <w:pPr>
                                <w:jc w:val="center"/>
                                <w:rPr>
                                  <w:rFonts w:hint="eastAsia" w:eastAsia="宋体"/>
                                  <w:color w:val="000000"/>
                                  <w:lang w:val="en-US" w:eastAsia="zh-CN"/>
                                </w:rPr>
                              </w:pPr>
                              <w:r>
                                <w:rPr>
                                  <w:rFonts w:hint="eastAsia"/>
                                  <w:color w:val="000000"/>
                                  <w:lang w:val="en-US" w:eastAsia="zh-CN"/>
                                </w:rPr>
                                <w:t>造型</w:t>
                              </w:r>
                            </w:p>
                          </w:txbxContent>
                        </v:textbox>
                      </v:rect>
                      <v:rect id="矩形 215" o:spid="_x0000_s1026" o:spt="1" style="position:absolute;left:5685;top:434881;height:495;width:780;v-text-anchor:middle;" filled="f" stroked="t" coordsize="21600,21600" o:gfxdata="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6oORi/&#10;AAAA3A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textbox>
                          <w:txbxContent>
                            <w:p w14:paraId="51F4A172">
                              <w:pPr>
                                <w:jc w:val="center"/>
                                <w:rPr>
                                  <w:rFonts w:hint="eastAsia" w:eastAsia="宋体"/>
                                  <w:color w:val="000000"/>
                                  <w:lang w:val="en-US" w:eastAsia="zh-CN"/>
                                </w:rPr>
                              </w:pPr>
                              <w:r>
                                <w:rPr>
                                  <w:rFonts w:hint="eastAsia"/>
                                  <w:color w:val="000000"/>
                                  <w:lang w:val="en-US" w:eastAsia="zh-CN"/>
                                </w:rPr>
                                <w:t>混砂</w:t>
                              </w:r>
                            </w:p>
                          </w:txbxContent>
                        </v:textbox>
                      </v:rect>
                      <v:line id="直接连接符 217" o:spid="_x0000_s1026" o:spt="20" style="position:absolute;left:13368;top:435361;flip:x;height:2024;width:5;" filled="f" stroked="t" coordsize="21600,21600" o:gfxdata="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237r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shape id="直接箭头连接符 218" o:spid="_x0000_s1026" o:spt="32" type="#_x0000_t32" style="position:absolute;left:6064;top:435376;flip:y;height:1200;width:11;" filled="f" stroked="t" coordsize="21600,21600" o:gfxdata="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sYGGLsAAADc&#10;AAAADwAAAAAAAAABACAAAAAiAAAAZHJzL2Rvd25yZXYueG1sUEsBAhQAFAAAAAgAh07iQDMvBZ47&#10;AAAAOQAAABAAAAAAAAAAAQAgAAAACgEAAGRycy9zaGFwZXhtbC54bWxQSwUGAAAAAAYABgBbAQAA&#10;tAMAAAAA&#10;">
                        <v:fill on="f" focussize="0,0"/>
                        <v:stroke weight="0pt" color="#000000" joinstyle="round" endarrow="open"/>
                        <v:imagedata o:title=""/>
                        <o:lock v:ext="edit" aspectratio="f"/>
                      </v:shape>
                      <v:shape id="直接箭头连接符 219" o:spid="_x0000_s1026" o:spt="32" type="#_x0000_t32" style="position:absolute;left:12480;top:435114;height:7;width:330;" filled="f" stroked="t" coordsize="21600,21600" o:gfxdata="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3ujsL4A&#10;AADcAAAADwAAAAAAAAABACAAAAAiAAAAZHJzL2Rvd25yZXYueG1sUEsBAhQAFAAAAAgAh07iQDMv&#10;BZ47AAAAOQAAABAAAAAAAAAAAQAgAAAADQEAAGRycy9zaGFwZXhtbC54bWxQSwUGAAAAAAYABgBb&#10;AQAAtwMAAAAA&#10;">
                        <v:fill on="f" focussize="0,0"/>
                        <v:stroke weight="1pt" color="#000000" joinstyle="round" endarrow="open"/>
                        <v:imagedata o:title=""/>
                        <o:lock v:ext="edit" aspectratio="f"/>
                      </v:shape>
                      <v:shape id="直接箭头连接符 220" o:spid="_x0000_s1026" o:spt="32" type="#_x0000_t32" style="position:absolute;left:11355;top:435114;height:7;width:330;" filled="f" stroked="t" coordsize="21600,21600" o:gfxdata="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Q3wrsAAADc&#10;AAAADwAAAAAAAAABACAAAAAiAAAAZHJzL2Rvd25yZXYueG1sUEsBAhQAFAAAAAgAh07iQDMvBZ47&#10;AAAAOQAAABAAAAAAAAAAAQAgAAAACgEAAGRycy9zaGFwZXhtbC54bWxQSwUGAAAAAAYABgBbAQAA&#10;tAMAAAAA&#10;">
                        <v:fill on="f" focussize="0,0"/>
                        <v:stroke weight="1pt" color="#000000" joinstyle="round" endarrow="open"/>
                        <v:imagedata o:title=""/>
                        <o:lock v:ext="edit" aspectratio="f"/>
                      </v:shape>
                      <v:shape id="直接箭头连接符 221" o:spid="_x0000_s1026" o:spt="32" type="#_x0000_t32" style="position:absolute;left:10125;top:435129;height:7;width:330;" filled="f" stroked="t" coordsize="21600,21600" o:gfxdata="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oklm/&#10;AAAA3AAAAA8AAAAAAAAAAQAgAAAAIgAAAGRycy9kb3ducmV2LnhtbFBLAQIUABQAAAAIAIdO4kAz&#10;LwWeOwAAADkAAAAQAAAAAAAAAAEAIAAAAA4BAABkcnMvc2hhcGV4bWwueG1sUEsFBgAAAAAGAAYA&#10;WwEAALgDAAAAAA==&#10;">
                        <v:fill on="f" focussize="0,0"/>
                        <v:stroke weight="1pt" color="#000000" joinstyle="round" endarrow="open"/>
                        <v:imagedata o:title=""/>
                        <o:lock v:ext="edit" aspectratio="f"/>
                      </v:shape>
                      <v:shape id="直接箭头连接符 222" o:spid="_x0000_s1026" o:spt="32" type="#_x0000_t32" style="position:absolute;left:8955;top:435114;height:7;width:330;" filled="f" stroked="t" coordsize="21600,21600" o:gfxdata="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utGbsAAADc&#10;AAAADwAAAAAAAAABACAAAAAiAAAAZHJzL2Rvd25yZXYueG1sUEsBAhQAFAAAAAgAh07iQDMvBZ47&#10;AAAAOQAAABAAAAAAAAAAAQAgAAAACgEAAGRycy9zaGFwZXhtbC54bWxQSwUGAAAAAAYABgBbAQAA&#10;tAMAAAAA&#10;">
                        <v:fill on="f" focussize="0,0"/>
                        <v:stroke weight="1pt" color="#000000" joinstyle="round" endarrow="open"/>
                        <v:imagedata o:title=""/>
                        <o:lock v:ext="edit" aspectratio="f"/>
                      </v:shape>
                      <v:shape id="直接箭头连接符 223" o:spid="_x0000_s1026" o:spt="32" type="#_x0000_t32" style="position:absolute;left:7635;top:435129;height:7;width:330;" filled="f" stroked="t" coordsize="21600,21600" o:gfxdata="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oHCIK/&#10;AAAA3AAAAA8AAAAAAAAAAQAgAAAAIgAAAGRycy9kb3ducmV2LnhtbFBLAQIUABQAAAAIAIdO4kAz&#10;LwWeOwAAADkAAAAQAAAAAAAAAAEAIAAAAA4BAABkcnMvc2hhcGV4bWwueG1sUEsFBgAAAAAGAAYA&#10;WwEAALgDAAAAAA==&#10;">
                        <v:fill on="f" focussize="0,0"/>
                        <v:stroke weight="1pt" color="#000000" joinstyle="round" endarrow="open"/>
                        <v:imagedata o:title=""/>
                        <o:lock v:ext="edit" aspectratio="f"/>
                      </v:shape>
                      <v:shape id="直接箭头连接符 224" o:spid="_x0000_s1026" o:spt="32" type="#_x0000_t32" style="position:absolute;left:6465;top:435129;height:7;width:330;" filled="f" stroked="t" coordsize="21600,21600" o:gfxdata="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VlvW/&#10;AAAA3AAAAA8AAAAAAAAAAQAgAAAAIgAAAGRycy9kb3ducmV2LnhtbFBLAQIUABQAAAAIAIdO4kAz&#10;LwWeOwAAADkAAAAQAAAAAAAAAAEAIAAAAA4BAABkcnMvc2hhcGV4bWwueG1sUEsFBgAAAAAGAAYA&#10;WwEAALgDAAAAAA==&#10;">
                        <v:fill on="f" focussize="0,0"/>
                        <v:stroke weight="1pt" color="#000000" joinstyle="round" endarrow="open"/>
                        <v:imagedata o:title=""/>
                        <o:lock v:ext="edit" aspectratio="f"/>
                      </v:shape>
                      <v:rect id="矩形 226" o:spid="_x0000_s1026" o:spt="1" style="position:absolute;left:10740;top:436321;height:495;width:1036;v-text-anchor:middle;" filled="f" stroked="t" coordsize="21600,21600" o:gfxdata="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ca/F&#10;wAAAANwAAAAPAAAAAAAAAAEAIAAAACIAAABkcnMvZG93bnJldi54bWxQSwECFAAUAAAACACHTuJA&#10;My8FnjsAAAA5AAAAEAAAAAAAAAABACAAAAAPAQAAZHJzL3NoYXBleG1sLnhtbFBLBQYAAAAABgAG&#10;AFsBAAC5AwAAAAA=&#10;">
                        <v:fill on="f" focussize="0,0"/>
                        <v:stroke weight="2pt" color="#000000" joinstyle="round"/>
                        <v:imagedata o:title=""/>
                        <o:lock v:ext="edit" aspectratio="f"/>
                        <v:textbox>
                          <w:txbxContent>
                            <w:p w14:paraId="7C5792CE">
                              <w:pPr>
                                <w:jc w:val="center"/>
                                <w:rPr>
                                  <w:rFonts w:hint="eastAsia" w:eastAsia="宋体"/>
                                  <w:color w:val="000000"/>
                                  <w:lang w:val="en-US" w:eastAsia="zh-CN"/>
                                </w:rPr>
                              </w:pPr>
                              <w:r>
                                <w:rPr>
                                  <w:rFonts w:hint="eastAsia"/>
                                  <w:color w:val="000000"/>
                                  <w:lang w:val="en-US" w:eastAsia="zh-CN"/>
                                </w:rPr>
                                <w:t>冷却</w:t>
                              </w:r>
                            </w:p>
                          </w:txbxContent>
                        </v:textbox>
                      </v:rect>
                      <v:rect id="矩形 229" o:spid="_x0000_s1026" o:spt="1" style="position:absolute;left:12045;top:436306;height:495;width:1036;v-text-anchor:middle;" filled="f" stroked="t" coordsize="21600,21600" o:gfxdata="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Q9Cl6/&#10;AAAA3A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textbox>
                          <w:txbxContent>
                            <w:p w14:paraId="6B575509">
                              <w:pPr>
                                <w:jc w:val="center"/>
                                <w:rPr>
                                  <w:rFonts w:hint="eastAsia" w:eastAsia="宋体"/>
                                  <w:color w:val="000000"/>
                                  <w:lang w:val="en-US" w:eastAsia="zh-CN"/>
                                </w:rPr>
                              </w:pPr>
                              <w:r>
                                <w:rPr>
                                  <w:rFonts w:hint="eastAsia" w:eastAsia="宋体"/>
                                  <w:color w:val="000000"/>
                                  <w:lang w:val="en-US" w:eastAsia="zh-CN"/>
                                </w:rPr>
                                <w:t>砂再生</w:t>
                              </w:r>
                            </w:p>
                          </w:txbxContent>
                        </v:textbox>
                      </v:rect>
                      <v:shape id="直接箭头连接符 233" o:spid="_x0000_s1026" o:spt="32" type="#_x0000_t32" style="position:absolute;left:6064;top:436569;flip:x;height:7;width:4676;" filled="f" stroked="t" coordsize="21600,21600" o:gfxdata="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MQ7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shape>
                      <v:shape id="直接箭头连接符 234" o:spid="_x0000_s1026" o:spt="32" type="#_x0000_t32" style="position:absolute;left:11775;top:436486;flip:x;height:0;width:270;" filled="f" stroked="t" coordsize="21600,21600" o:gfxdata="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GaoK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直接箭头连接符 235" o:spid="_x0000_s1026" o:spt="32" type="#_x0000_t32" style="position:absolute;left:13110;top:436561;flip:x;height:0;width:270;" filled="f" stroked="t" coordsize="21600,21600" o:gfxdata="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jYC/74A&#10;AADcAAAADwAAAAAAAAABACAAAAAiAAAAZHJzL2Rvd25yZXYueG1sUEsBAhQAFAAAAAgAh07iQDMv&#10;BZ47AAAAOQAAABAAAAAAAAAAAQAgAAAADQEAAGRycy9zaGFwZXhtbC54bWxQSwUGAAAAAAYABgBb&#10;AQAAtwMAAAAA&#10;">
                        <v:fill on="f" focussize="0,0"/>
                        <v:stroke weight="1pt" color="#000000" joinstyle="round" endarrow="open"/>
                        <v:imagedata o:title=""/>
                        <o:lock v:ext="edit" aspectratio="f"/>
                      </v:shape>
                      <v:rect id="矩形 236" o:spid="_x0000_s1026" o:spt="1" style="position:absolute;left:10345;top:437221;height:495;width:1356;v-text-anchor:middle;" filled="f" stroked="t" coordsize="21600,21600" o:gfxdata="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qUZRvQAA&#10;ANw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textbox>
                          <w:txbxContent>
                            <w:p w14:paraId="61B3425A">
                              <w:pPr>
                                <w:jc w:val="center"/>
                                <w:rPr>
                                  <w:rFonts w:hint="eastAsia"/>
                                  <w:color w:val="000000"/>
                                  <w:lang w:val="en-US" w:eastAsia="zh-CN"/>
                                </w:rPr>
                              </w:pPr>
                              <w:r>
                                <w:rPr>
                                  <w:rFonts w:hint="eastAsia"/>
                                  <w:color w:val="000000"/>
                                  <w:lang w:val="en-US" w:eastAsia="zh-CN"/>
                                </w:rPr>
                                <w:t>包装入库</w:t>
                              </w:r>
                            </w:p>
                            <w:p w14:paraId="1B2974BD">
                              <w:pPr>
                                <w:jc w:val="center"/>
                                <w:rPr>
                                  <w:color w:val="000000"/>
                                </w:rPr>
                              </w:pPr>
                            </w:p>
                            <w:p w14:paraId="37277933">
                              <w:pPr>
                                <w:jc w:val="center"/>
                                <w:rPr>
                                  <w:rFonts w:hint="eastAsia" w:eastAsia="宋体"/>
                                  <w:color w:val="000000"/>
                                  <w:lang w:val="en-US" w:eastAsia="zh-CN"/>
                                </w:rPr>
                              </w:pPr>
                              <w:r>
                                <w:rPr>
                                  <w:color w:val="000000"/>
                                </w:rPr>
                                <w:drawing>
                                  <wp:inline distT="0" distB="0" distL="114300" distR="114300">
                                    <wp:extent cx="298450" cy="182245"/>
                                    <wp:effectExtent l="0" t="0" r="6350" b="8255"/>
                                    <wp:docPr id="19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0"/>
                                            <pic:cNvPicPr>
                                              <a:picLocks noChangeAspect="1"/>
                                            </pic:cNvPicPr>
                                          </pic:nvPicPr>
                                          <pic:blipFill>
                                            <a:blip r:embed="rId23"/>
                                            <a:stretch>
                                              <a:fillRect/>
                                            </a:stretch>
                                          </pic:blipFill>
                                          <pic:spPr>
                                            <a:xfrm>
                                              <a:off x="0" y="0"/>
                                              <a:ext cx="298450" cy="182245"/>
                                            </a:xfrm>
                                            <a:prstGeom prst="rect">
                                              <a:avLst/>
                                            </a:prstGeom>
                                            <a:noFill/>
                                            <a:ln>
                                              <a:noFill/>
                                            </a:ln>
                                          </pic:spPr>
                                        </pic:pic>
                                      </a:graphicData>
                                    </a:graphic>
                                  </wp:inline>
                                </w:drawing>
                              </w:r>
                            </w:p>
                          </w:txbxContent>
                        </v:textbox>
                      </v:rect>
                      <v:rect id="矩形 238" o:spid="_x0000_s1026" o:spt="1" style="position:absolute;left:12015;top:437161;height:495;width:1036;v-text-anchor:middle;" filled="f" stroked="t" coordsize="21600,21600" o:gfxdata="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JAUr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textbox>
                          <w:txbxContent>
                            <w:p w14:paraId="797CF625">
                              <w:pPr>
                                <w:jc w:val="center"/>
                                <w:rPr>
                                  <w:rFonts w:hint="eastAsia"/>
                                  <w:color w:val="000000"/>
                                  <w:lang w:val="en-US" w:eastAsia="zh-CN"/>
                                </w:rPr>
                              </w:pPr>
                              <w:r>
                                <w:rPr>
                                  <w:rFonts w:hint="eastAsia"/>
                                  <w:color w:val="000000"/>
                                  <w:lang w:val="en-US" w:eastAsia="zh-CN"/>
                                </w:rPr>
                                <w:t>抛丸</w:t>
                              </w:r>
                            </w:p>
                            <w:p w14:paraId="5BA762A4">
                              <w:pPr>
                                <w:jc w:val="center"/>
                                <w:rPr>
                                  <w:color w:val="000000"/>
                                </w:rPr>
                              </w:pPr>
                            </w:p>
                            <w:p w14:paraId="641895AD">
                              <w:pPr>
                                <w:jc w:val="center"/>
                                <w:rPr>
                                  <w:rFonts w:hint="eastAsia" w:eastAsia="宋体"/>
                                  <w:color w:val="000000"/>
                                  <w:lang w:val="en-US" w:eastAsia="zh-CN"/>
                                </w:rPr>
                              </w:pPr>
                              <w:r>
                                <w:rPr>
                                  <w:color w:val="000000"/>
                                </w:rPr>
                                <w:drawing>
                                  <wp:inline distT="0" distB="0" distL="114300" distR="114300">
                                    <wp:extent cx="298450" cy="182245"/>
                                    <wp:effectExtent l="0" t="0" r="6350" b="8255"/>
                                    <wp:docPr id="1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1"/>
                                            <pic:cNvPicPr>
                                              <a:picLocks noChangeAspect="1"/>
                                            </pic:cNvPicPr>
                                          </pic:nvPicPr>
                                          <pic:blipFill>
                                            <a:blip r:embed="rId23"/>
                                            <a:stretch>
                                              <a:fillRect/>
                                            </a:stretch>
                                          </pic:blipFill>
                                          <pic:spPr>
                                            <a:xfrm>
                                              <a:off x="0" y="0"/>
                                              <a:ext cx="298450" cy="182245"/>
                                            </a:xfrm>
                                            <a:prstGeom prst="rect">
                                              <a:avLst/>
                                            </a:prstGeom>
                                            <a:noFill/>
                                            <a:ln>
                                              <a:noFill/>
                                            </a:ln>
                                          </pic:spPr>
                                        </pic:pic>
                                      </a:graphicData>
                                    </a:graphic>
                                  </wp:inline>
                                </w:drawing>
                              </w:r>
                            </w:p>
                          </w:txbxContent>
                        </v:textbox>
                      </v:rect>
                      <v:shape id="直接箭头连接符 240" o:spid="_x0000_s1026" o:spt="32" type="#_x0000_t32" style="position:absolute;left:11745;top:437446;flip:x;height:0;width:270;" filled="f" stroked="t" coordsize="21600,21600" o:gfxdata="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cABQ&#10;wAAAANwAAAAPAAAAAAAAAAEAIAAAACIAAABkcnMvZG93bnJldi54bWxQSwECFAAUAAAACACHTuJA&#10;My8FnjsAAAA5AAAAEAAAAAAAAAABACAAAAAPAQAAZHJzL3NoYXBleG1sLnhtbFBLBQYAAAAABgAG&#10;AFsBAAC5AwAAAAA=&#10;">
                        <v:fill on="f" focussize="0,0"/>
                        <v:stroke weight="1pt" color="#000000" joinstyle="round" endarrow="open"/>
                        <v:imagedata o:title=""/>
                        <o:lock v:ext="edit" aspectratio="f"/>
                      </v:shape>
                      <v:shape id="直接箭头连接符 241" o:spid="_x0000_s1026" o:spt="32" type="#_x0000_t32" style="position:absolute;left:13095;top:437401;flip:x;height:0;width:270;" filled="f" stroked="t" coordsize="21600,21600" o:gfxdata="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75Qi&#10;wAAAANwAAAAPAAAAAAAAAAEAIAAAACIAAABkcnMvZG93bnJldi54bWxQSwECFAAUAAAACACHTuJA&#10;My8FnjsAAAA5AAAAEAAAAAAAAAABACAAAAAPAQAAZHJzL3NoYXBleG1sLnhtbFBLBQYAAAAABgAG&#10;AFsBAAC5AwAAAAA=&#10;">
                        <v:fill on="f" focussize="0,0"/>
                        <v:stroke weight="1pt" color="#000000" joinstyle="round" endarrow="open"/>
                        <v:imagedata o:title=""/>
                        <o:lock v:ext="edit" aspectratio="f"/>
                      </v:shape>
                    </v:group>
                  </w:pict>
                </mc:Fallback>
              </mc:AlternateContent>
            </w:r>
            <w:r>
              <w:rPr>
                <w:rFonts w:hint="default" w:ascii="Times New Roman" w:hAnsi="Times New Roman" w:cs="Times New Roman"/>
                <w:b w:val="0"/>
                <w:bCs w:val="0"/>
                <w:color w:val="auto"/>
                <w:sz w:val="24"/>
                <w:szCs w:val="24"/>
              </w:rPr>
              <w:t>项目</w:t>
            </w:r>
            <w:r>
              <w:rPr>
                <w:rFonts w:hint="default" w:ascii="Times New Roman" w:hAnsi="Times New Roman" w:cs="Times New Roman"/>
                <w:b w:val="0"/>
                <w:bCs w:val="0"/>
                <w:color w:val="auto"/>
                <w:sz w:val="24"/>
                <w:szCs w:val="24"/>
                <w:lang w:val="en-US" w:eastAsia="zh-CN"/>
              </w:rPr>
              <w:t>四</w:t>
            </w:r>
            <w:r>
              <w:rPr>
                <w:rFonts w:hint="default" w:ascii="Times New Roman" w:hAnsi="Times New Roman" w:cs="Times New Roman"/>
                <w:b w:val="0"/>
                <w:bCs w:val="0"/>
                <w:color w:val="auto"/>
                <w:sz w:val="24"/>
                <w:szCs w:val="24"/>
              </w:rPr>
              <w:t>期年产</w:t>
            </w:r>
            <w:r>
              <w:rPr>
                <w:rFonts w:hint="default"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rPr>
              <w:t>000吨铸</w:t>
            </w:r>
            <w:r>
              <w:rPr>
                <w:rFonts w:hint="default" w:ascii="Times New Roman" w:hAnsi="Times New Roman" w:cs="Times New Roman"/>
                <w:b w:val="0"/>
                <w:bCs w:val="0"/>
                <w:color w:val="auto"/>
                <w:sz w:val="24"/>
                <w:szCs w:val="24"/>
                <w:lang w:val="en-US" w:eastAsia="zh-CN"/>
              </w:rPr>
              <w:t>钢</w:t>
            </w:r>
            <w:r>
              <w:rPr>
                <w:rFonts w:hint="default" w:ascii="Times New Roman" w:hAnsi="Times New Roman" w:cs="Times New Roman"/>
                <w:b w:val="0"/>
                <w:bCs w:val="0"/>
                <w:color w:val="auto"/>
                <w:sz w:val="24"/>
                <w:szCs w:val="24"/>
              </w:rPr>
              <w:t>件、</w:t>
            </w:r>
            <w:r>
              <w:rPr>
                <w:rFonts w:hint="default" w:ascii="Times New Roman" w:hAnsi="Times New Roman" w:cs="Times New Roman"/>
                <w:b w:val="0"/>
                <w:bCs w:val="0"/>
                <w:color w:val="auto"/>
                <w:sz w:val="24"/>
                <w:szCs w:val="24"/>
                <w:lang w:val="en-US" w:eastAsia="zh-CN"/>
              </w:rPr>
              <w:t>6</w:t>
            </w:r>
            <w:r>
              <w:rPr>
                <w:rFonts w:hint="default" w:ascii="Times New Roman" w:hAnsi="Times New Roman" w:cs="Times New Roman"/>
                <w:b w:val="0"/>
                <w:bCs w:val="0"/>
                <w:color w:val="auto"/>
                <w:sz w:val="24"/>
                <w:szCs w:val="24"/>
              </w:rPr>
              <w:t>000吨铸</w:t>
            </w:r>
            <w:r>
              <w:rPr>
                <w:rFonts w:hint="default" w:ascii="Times New Roman" w:hAnsi="Times New Roman" w:cs="Times New Roman"/>
                <w:b w:val="0"/>
                <w:bCs w:val="0"/>
                <w:color w:val="auto"/>
                <w:sz w:val="24"/>
                <w:szCs w:val="24"/>
                <w:lang w:val="en-US" w:eastAsia="zh-CN"/>
              </w:rPr>
              <w:t>铁</w:t>
            </w:r>
            <w:r>
              <w:rPr>
                <w:rFonts w:hint="default" w:ascii="Times New Roman" w:hAnsi="Times New Roman" w:cs="Times New Roman"/>
                <w:b w:val="0"/>
                <w:bCs w:val="0"/>
                <w:color w:val="auto"/>
                <w:sz w:val="24"/>
                <w:szCs w:val="24"/>
              </w:rPr>
              <w:t>件分为</w:t>
            </w:r>
            <w:r>
              <w:rPr>
                <w:rFonts w:hint="default"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rPr>
              <w:t>种工艺生产线</w:t>
            </w: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eastAsiaTheme="minorEastAsia"/>
                <w:b w:val="0"/>
                <w:bCs w:val="0"/>
                <w:color w:val="auto"/>
                <w:sz w:val="24"/>
                <w:szCs w:val="24"/>
                <w:lang w:val="en-US" w:eastAsia="zh-CN"/>
              </w:rPr>
              <w:t>树脂砂铸造工艺、粘土砂（湿型/芯工艺）铸造工艺和消失模铸造工艺（泡沫法），其中，粘土砂（湿型/芯工艺）铸造工艺和消失模铸造工艺（泡沫法）分别与</w:t>
            </w:r>
            <w:r>
              <w:rPr>
                <w:rFonts w:hint="default" w:ascii="Times New Roman" w:hAnsi="Times New Roman" w:eastAsia="宋体" w:cs="Times New Roman"/>
                <w:bCs/>
                <w:color w:val="auto"/>
                <w:sz w:val="24"/>
                <w:szCs w:val="24"/>
                <w:lang w:val="en-US" w:eastAsia="zh-CN"/>
              </w:rPr>
              <w:t>二期</w:t>
            </w:r>
            <w:r>
              <w:rPr>
                <w:rFonts w:hint="default" w:ascii="Times New Roman" w:hAnsi="Times New Roman" w:cs="Times New Roman"/>
                <w:bCs/>
                <w:color w:val="auto"/>
                <w:sz w:val="24"/>
                <w:szCs w:val="24"/>
                <w:lang w:val="en-US" w:eastAsia="zh-CN"/>
              </w:rPr>
              <w:t>与</w:t>
            </w:r>
            <w:r>
              <w:rPr>
                <w:rFonts w:hint="default" w:ascii="Times New Roman" w:hAnsi="Times New Roman" w:cs="Times New Roman"/>
                <w:b w:val="0"/>
                <w:bCs/>
                <w:color w:val="auto"/>
                <w:sz w:val="24"/>
                <w:szCs w:val="24"/>
                <w:lang w:val="en-US" w:eastAsia="zh-CN"/>
              </w:rPr>
              <w:t>三期的一致，此处不再赘述。树脂砂</w:t>
            </w:r>
            <w:r>
              <w:rPr>
                <w:rFonts w:hint="default" w:ascii="Times New Roman" w:hAnsi="Times New Roman" w:cs="Times New Roman"/>
                <w:b w:val="0"/>
                <w:bCs/>
                <w:color w:val="auto"/>
                <w:sz w:val="24"/>
                <w:szCs w:val="24"/>
              </w:rPr>
              <w:t>铸造工艺生产线如下所示</w:t>
            </w:r>
            <w:r>
              <w:rPr>
                <w:rFonts w:hint="default" w:ascii="Times New Roman" w:hAnsi="Times New Roman" w:cs="Times New Roman"/>
                <w:b w:val="0"/>
                <w:bCs/>
                <w:color w:val="auto"/>
                <w:sz w:val="24"/>
                <w:szCs w:val="24"/>
                <w:lang w:val="en-US" w:eastAsia="zh-CN"/>
              </w:rPr>
              <w:t>：</w:t>
            </w:r>
          </w:p>
          <w:p w14:paraId="2D2FE3BF">
            <w:pPr>
              <w:pStyle w:val="129"/>
              <w:ind w:left="0" w:leftChars="0" w:firstLine="0" w:firstLineChars="0"/>
              <w:rPr>
                <w:rFonts w:hint="default" w:ascii="Times New Roman" w:hAnsi="Times New Roman" w:cs="Times New Roman"/>
                <w:b/>
                <w:bCs/>
                <w:color w:val="auto"/>
              </w:rPr>
            </w:pPr>
          </w:p>
          <w:p w14:paraId="02BCF079">
            <w:pPr>
              <w:pStyle w:val="129"/>
              <w:ind w:left="0" w:leftChars="0" w:firstLine="0" w:firstLineChars="0"/>
              <w:rPr>
                <w:rFonts w:hint="default" w:ascii="Times New Roman" w:hAnsi="Times New Roman" w:cs="Times New Roman"/>
                <w:b/>
                <w:bCs/>
                <w:color w:val="auto"/>
              </w:rPr>
            </w:pPr>
          </w:p>
          <w:p w14:paraId="36603369">
            <w:pPr>
              <w:pStyle w:val="129"/>
              <w:ind w:left="0" w:leftChars="0" w:firstLine="0" w:firstLineChars="0"/>
              <w:rPr>
                <w:rFonts w:hint="default" w:ascii="Times New Roman" w:hAnsi="Times New Roman" w:cs="Times New Roman"/>
                <w:b/>
                <w:bCs/>
                <w:color w:val="auto"/>
              </w:rPr>
            </w:pPr>
          </w:p>
          <w:p w14:paraId="1A58B567">
            <w:pPr>
              <w:pStyle w:val="129"/>
              <w:ind w:left="0" w:leftChars="0" w:firstLine="0" w:firstLineChars="0"/>
              <w:rPr>
                <w:rFonts w:hint="default" w:ascii="Times New Roman" w:hAnsi="Times New Roman" w:cs="Times New Roman"/>
                <w:b/>
                <w:bCs/>
                <w:color w:val="auto"/>
              </w:rPr>
            </w:pPr>
          </w:p>
          <w:p w14:paraId="58E2223A">
            <w:pPr>
              <w:pStyle w:val="129"/>
              <w:ind w:left="0" w:leftChars="0" w:firstLine="0" w:firstLineChars="0"/>
              <w:rPr>
                <w:rFonts w:hint="default" w:ascii="Times New Roman" w:hAnsi="Times New Roman" w:cs="Times New Roman"/>
                <w:b/>
                <w:bCs/>
                <w:color w:val="auto"/>
              </w:rPr>
            </w:pPr>
          </w:p>
          <w:p w14:paraId="556B6185">
            <w:pPr>
              <w:pStyle w:val="129"/>
              <w:ind w:left="0" w:leftChars="0" w:firstLine="0" w:firstLineChars="0"/>
              <w:rPr>
                <w:rFonts w:hint="default" w:ascii="Times New Roman" w:hAnsi="Times New Roman" w:cs="Times New Roman"/>
                <w:b/>
                <w:bCs/>
                <w:color w:val="auto"/>
              </w:rPr>
            </w:pPr>
          </w:p>
          <w:p w14:paraId="480B6DA9">
            <w:pPr>
              <w:pStyle w:val="129"/>
              <w:ind w:left="0" w:leftChars="0" w:firstLine="0" w:firstLineChars="0"/>
              <w:rPr>
                <w:rFonts w:hint="default" w:ascii="Times New Roman" w:hAnsi="Times New Roman" w:cs="Times New Roman"/>
                <w:b/>
                <w:bCs/>
                <w:color w:val="auto"/>
              </w:rPr>
            </w:pPr>
          </w:p>
          <w:p w14:paraId="5888C39C">
            <w:pPr>
              <w:pStyle w:val="129"/>
              <w:ind w:left="0" w:leftChars="0" w:firstLine="0" w:firstLineChars="0"/>
              <w:rPr>
                <w:rFonts w:hint="default" w:ascii="Times New Roman" w:hAnsi="Times New Roman" w:cs="Times New Roman"/>
                <w:color w:val="auto"/>
                <w:sz w:val="24"/>
                <w:szCs w:val="24"/>
              </w:rPr>
            </w:pPr>
          </w:p>
          <w:p w14:paraId="5439E753">
            <w:pPr>
              <w:pStyle w:val="129"/>
              <w:ind w:left="0" w:leftChars="0" w:firstLine="0" w:firstLineChars="0"/>
              <w:rPr>
                <w:rFonts w:hint="default" w:ascii="Times New Roman" w:hAnsi="Times New Roman" w:cs="Times New Roman"/>
                <w:color w:val="auto"/>
                <w:sz w:val="24"/>
                <w:szCs w:val="24"/>
              </w:rPr>
            </w:pPr>
          </w:p>
          <w:p w14:paraId="64DFE3E8">
            <w:pPr>
              <w:pStyle w:val="129"/>
              <w:ind w:left="0" w:leftChars="0" w:firstLine="0" w:firstLineChars="0"/>
              <w:rPr>
                <w:rFonts w:hint="default" w:ascii="Times New Roman" w:hAnsi="Times New Roman" w:cs="Times New Roman"/>
                <w:color w:val="auto"/>
                <w:sz w:val="24"/>
                <w:szCs w:val="24"/>
              </w:rPr>
            </w:pPr>
          </w:p>
          <w:p w14:paraId="07ACFE08">
            <w:pPr>
              <w:pStyle w:val="129"/>
              <w:ind w:left="0" w:leftChars="0" w:firstLine="0" w:firstLineChars="0"/>
              <w:rPr>
                <w:rFonts w:hint="default" w:ascii="Times New Roman" w:hAnsi="Times New Roman" w:cs="Times New Roman"/>
                <w:color w:val="auto"/>
                <w:sz w:val="24"/>
                <w:szCs w:val="24"/>
              </w:rPr>
            </w:pPr>
          </w:p>
          <w:p w14:paraId="4DAC59E9">
            <w:pPr>
              <w:spacing w:line="360" w:lineRule="auto"/>
              <w:jc w:val="center"/>
              <w:rPr>
                <w:rFonts w:hint="default" w:ascii="Times New Roman" w:hAnsi="Times New Roman" w:cs="Times New Roman"/>
                <w:b/>
                <w:bCs w:val="0"/>
                <w:color w:val="auto"/>
                <w:sz w:val="24"/>
                <w:lang w:val="en-US" w:eastAsia="zh-CN"/>
              </w:rPr>
            </w:pPr>
          </w:p>
          <w:p w14:paraId="1B0DA03D">
            <w:pPr>
              <w:spacing w:line="360" w:lineRule="auto"/>
              <w:jc w:val="center"/>
              <w:rPr>
                <w:rFonts w:hint="default" w:ascii="Times New Roman" w:hAnsi="Times New Roman" w:cs="Times New Roman"/>
                <w:b/>
                <w:bCs w:val="0"/>
                <w:color w:val="auto"/>
                <w:sz w:val="24"/>
              </w:rPr>
            </w:pPr>
            <w:r>
              <w:rPr>
                <w:rFonts w:hint="default" w:ascii="Times New Roman" w:hAnsi="Times New Roman" w:cs="Times New Roman"/>
                <w:b/>
                <w:bCs w:val="0"/>
                <w:color w:val="auto"/>
                <w:sz w:val="24"/>
                <w:lang w:val="en-US" w:eastAsia="zh-CN"/>
              </w:rPr>
              <w:t>图2-8 树脂砂铸造</w:t>
            </w:r>
            <w:r>
              <w:rPr>
                <w:rFonts w:hint="default" w:ascii="Times New Roman" w:hAnsi="Times New Roman" w:cs="Times New Roman"/>
                <w:b/>
                <w:bCs w:val="0"/>
                <w:color w:val="auto"/>
                <w:sz w:val="24"/>
              </w:rPr>
              <w:t>工艺流程</w:t>
            </w:r>
          </w:p>
          <w:p w14:paraId="31780A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项目四期树脂砂</w:t>
            </w:r>
            <w:r>
              <w:rPr>
                <w:rFonts w:hint="default" w:ascii="Times New Roman" w:hAnsi="Times New Roman" w:cs="Times New Roman"/>
                <w:b w:val="0"/>
                <w:bCs w:val="0"/>
                <w:color w:val="auto"/>
                <w:sz w:val="24"/>
                <w:szCs w:val="24"/>
              </w:rPr>
              <w:t>铸造工艺</w:t>
            </w:r>
            <w:r>
              <w:rPr>
                <w:rFonts w:hint="default" w:ascii="Times New Roman" w:hAnsi="Times New Roman" w:cs="Times New Roman"/>
                <w:b w:val="0"/>
                <w:bCs w:val="0"/>
                <w:color w:val="auto"/>
                <w:sz w:val="24"/>
                <w:szCs w:val="24"/>
                <w:lang w:val="en-US" w:eastAsia="zh-CN"/>
              </w:rPr>
              <w:t>流程简述：</w:t>
            </w:r>
          </w:p>
          <w:p w14:paraId="55A8FF8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default" w:ascii="Times New Roman" w:hAnsi="Times New Roman" w:cs="Times New Roman"/>
                <w:b/>
                <w:color w:val="auto"/>
                <w:sz w:val="24"/>
                <w:szCs w:val="24"/>
              </w:rPr>
            </w:pPr>
            <w:r>
              <w:rPr>
                <w:rFonts w:hint="default" w:ascii="Times New Roman" w:hAnsi="Times New Roman" w:cs="Times New Roman"/>
                <w:b/>
                <w:bCs w:val="0"/>
                <w:color w:val="auto"/>
                <w:sz w:val="24"/>
                <w:szCs w:val="24"/>
              </w:rPr>
              <w:t>中频感应炉熔化</w:t>
            </w:r>
            <w:r>
              <w:rPr>
                <w:rFonts w:hint="default" w:ascii="Times New Roman" w:hAnsi="Times New Roman" w:cs="Times New Roman"/>
                <w:b/>
                <w:bCs/>
                <w:color w:val="auto"/>
                <w:sz w:val="24"/>
                <w:szCs w:val="24"/>
                <w:lang w:val="en-US" w:eastAsia="zh-CN"/>
              </w:rPr>
              <w:t>：</w:t>
            </w:r>
            <w:r>
              <w:rPr>
                <w:rFonts w:hint="default" w:ascii="Times New Roman" w:hAnsi="Times New Roman" w:cs="Times New Roman"/>
                <w:color w:val="auto"/>
                <w:sz w:val="24"/>
                <w:szCs w:val="24"/>
                <w:lang w:val="en-US" w:eastAsia="zh-CN"/>
              </w:rPr>
              <w:t>冷轧打包料</w:t>
            </w:r>
            <w:r>
              <w:rPr>
                <w:rFonts w:hint="default" w:ascii="Times New Roman" w:hAnsi="Times New Roman" w:cs="Times New Roman"/>
                <w:color w:val="auto"/>
                <w:sz w:val="24"/>
                <w:szCs w:val="24"/>
              </w:rPr>
              <w:t>按一定配比后通过桥式吊车运至中频感应炉中熔化；将中频感应炉温度升到1600℃左右使固态原料达到熔点后熔化，</w:t>
            </w:r>
            <w:r>
              <w:rPr>
                <w:rFonts w:hint="default" w:ascii="Times New Roman" w:hAnsi="Times New Roman" w:cs="Times New Roman"/>
                <w:color w:val="auto"/>
                <w:sz w:val="24"/>
                <w:szCs w:val="24"/>
                <w:lang w:val="en-US" w:eastAsia="zh-CN"/>
              </w:rPr>
              <w:t>该工序会产生颗粒物及熔化废渣。</w:t>
            </w:r>
          </w:p>
          <w:p w14:paraId="35DFC96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中频炉工作原理：</w:t>
            </w:r>
            <w:r>
              <w:rPr>
                <w:rFonts w:hint="default" w:ascii="Times New Roman" w:hAnsi="Times New Roman" w:cs="Times New Roman"/>
                <w:color w:val="auto"/>
                <w:sz w:val="24"/>
                <w:szCs w:val="24"/>
              </w:rPr>
              <w:t>中频电炉是利用中频电源建立中频磁场，使铁磁材料内部产生感应涡流并发热，达到加热材料的目的。中频电炉采用200-2500Hz中频电源进行感应加热，</w:t>
            </w:r>
            <w:r>
              <w:rPr>
                <w:rFonts w:hint="default" w:ascii="Times New Roman" w:hAnsi="Times New Roman" w:cs="Times New Roman"/>
                <w:color w:val="auto"/>
                <w:sz w:val="24"/>
                <w:szCs w:val="24"/>
                <w:lang w:eastAsia="zh-CN"/>
              </w:rPr>
              <w:t>熔化</w:t>
            </w:r>
            <w:r>
              <w:rPr>
                <w:rFonts w:hint="default" w:ascii="Times New Roman" w:hAnsi="Times New Roman" w:cs="Times New Roman"/>
                <w:color w:val="auto"/>
                <w:sz w:val="24"/>
                <w:szCs w:val="24"/>
              </w:rPr>
              <w:t>保温，中频电炉主要用于</w:t>
            </w:r>
            <w:r>
              <w:rPr>
                <w:rFonts w:hint="default" w:ascii="Times New Roman" w:hAnsi="Times New Roman" w:cs="Times New Roman"/>
                <w:color w:val="auto"/>
                <w:sz w:val="24"/>
                <w:szCs w:val="24"/>
                <w:lang w:eastAsia="zh-CN"/>
              </w:rPr>
              <w:t>熔化</w:t>
            </w:r>
            <w:r>
              <w:rPr>
                <w:rFonts w:hint="default" w:ascii="Times New Roman" w:hAnsi="Times New Roman" w:cs="Times New Roman"/>
                <w:color w:val="auto"/>
                <w:sz w:val="24"/>
                <w:szCs w:val="24"/>
              </w:rPr>
              <w:t>碳钢、合金钢、特种钢、铸铁等黑色金属村料，也可用于铜，铝等有色金属的</w:t>
            </w:r>
            <w:r>
              <w:rPr>
                <w:rFonts w:hint="default" w:ascii="Times New Roman" w:hAnsi="Times New Roman" w:cs="Times New Roman"/>
                <w:color w:val="auto"/>
                <w:sz w:val="24"/>
                <w:szCs w:val="24"/>
                <w:lang w:eastAsia="zh-CN"/>
              </w:rPr>
              <w:t>熔化</w:t>
            </w:r>
            <w:r>
              <w:rPr>
                <w:rFonts w:hint="default" w:ascii="Times New Roman" w:hAnsi="Times New Roman" w:cs="Times New Roman"/>
                <w:color w:val="auto"/>
                <w:sz w:val="24"/>
                <w:szCs w:val="24"/>
              </w:rPr>
              <w:t>和提温。</w:t>
            </w:r>
          </w:p>
          <w:p w14:paraId="3DD68151">
            <w:pPr>
              <w:pStyle w:val="13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混砂、造型、上涂料</w:t>
            </w:r>
            <w:r>
              <w:rPr>
                <w:rFonts w:hint="default" w:ascii="Times New Roman" w:hAnsi="Times New Roman" w:cs="Times New Roman"/>
                <w:b/>
                <w:bCs/>
                <w:color w:val="auto"/>
                <w:lang w:eastAsia="zh-CN"/>
              </w:rPr>
              <w:t>：</w:t>
            </w:r>
            <w:r>
              <w:rPr>
                <w:rFonts w:hint="default" w:ascii="Times New Roman" w:hAnsi="Times New Roman" w:cs="Times New Roman"/>
                <w:color w:val="auto"/>
              </w:rPr>
              <w:t>本项目树脂砂造型所用原料主要为</w:t>
            </w:r>
            <w:r>
              <w:rPr>
                <w:rFonts w:hint="default" w:ascii="Times New Roman" w:hAnsi="Times New Roman" w:cs="Times New Roman"/>
                <w:color w:val="auto"/>
                <w:lang w:val="en-US" w:eastAsia="zh-CN"/>
              </w:rPr>
              <w:t>呋喃树脂砂</w:t>
            </w:r>
            <w:r>
              <w:rPr>
                <w:rFonts w:hint="default" w:ascii="Times New Roman" w:hAnsi="Times New Roman" w:cs="Times New Roman"/>
                <w:color w:val="auto"/>
              </w:rPr>
              <w:t>，混砂机为移动式密闭装置。原料混合均匀后，混砂机在造型工段有序移动，依次自动灌入模具中造型，该过程树脂砂自然固化。</w:t>
            </w:r>
            <w:r>
              <w:rPr>
                <w:rFonts w:hint="default" w:ascii="Times New Roman" w:hAnsi="Times New Roman" w:cs="Times New Roman"/>
                <w:color w:val="auto"/>
                <w:highlight w:val="none"/>
              </w:rPr>
              <w:t>在起模后的砂型上刷</w:t>
            </w:r>
            <w:r>
              <w:rPr>
                <w:rFonts w:hint="default" w:ascii="Times New Roman" w:hAnsi="Times New Roman" w:cs="Times New Roman"/>
                <w:color w:val="auto"/>
                <w:highlight w:val="none"/>
                <w:lang w:val="en-US" w:eastAsia="zh-CN"/>
              </w:rPr>
              <w:t>醇基涂料，然后点火燃烧以防止金属粘砂、化学粘砂，使铸件表面光洁，提高产品质量。</w:t>
            </w:r>
            <w:r>
              <w:rPr>
                <w:rFonts w:hint="default" w:ascii="Times New Roman" w:hAnsi="Times New Roman" w:cs="Times New Roman"/>
                <w:color w:val="auto"/>
              </w:rPr>
              <w:t>再合成箱成为</w:t>
            </w:r>
            <w:r>
              <w:rPr>
                <w:rFonts w:hint="default" w:ascii="Times New Roman" w:hAnsi="Times New Roman" w:cs="Times New Roman"/>
                <w:color w:val="auto"/>
                <w:lang w:eastAsia="zh-CN"/>
              </w:rPr>
              <w:t>熔化</w:t>
            </w:r>
            <w:r>
              <w:rPr>
                <w:rFonts w:hint="default" w:ascii="Times New Roman" w:hAnsi="Times New Roman" w:cs="Times New Roman"/>
                <w:color w:val="auto"/>
              </w:rPr>
              <w:t>型。</w:t>
            </w:r>
          </w:p>
          <w:p w14:paraId="6C1859A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default" w:ascii="Times New Roman" w:hAnsi="Times New Roman" w:cs="Times New Roman"/>
                <w:color w:val="auto"/>
                <w:sz w:val="24"/>
                <w:szCs w:val="24"/>
                <w:lang w:eastAsia="zh-CN"/>
              </w:rPr>
            </w:pPr>
            <w:r>
              <w:rPr>
                <w:rFonts w:hint="default" w:ascii="Times New Roman" w:hAnsi="Times New Roman" w:cs="Times New Roman"/>
                <w:b/>
                <w:bCs w:val="0"/>
                <w:color w:val="auto"/>
                <w:sz w:val="24"/>
                <w:szCs w:val="24"/>
              </w:rPr>
              <w:t>落砂、抛丸</w:t>
            </w:r>
            <w:r>
              <w:rPr>
                <w:rFonts w:hint="default" w:ascii="Times New Roman" w:hAnsi="Times New Roman" w:cs="Times New Roman"/>
                <w:b/>
                <w:bCs w:val="0"/>
                <w:color w:val="auto"/>
                <w:sz w:val="24"/>
                <w:szCs w:val="24"/>
                <w:lang w:eastAsia="zh-CN"/>
              </w:rPr>
              <w:t>：</w:t>
            </w:r>
            <w:r>
              <w:rPr>
                <w:rFonts w:hint="default" w:ascii="Times New Roman" w:hAnsi="Times New Roman" w:cs="Times New Roman"/>
                <w:color w:val="auto"/>
                <w:sz w:val="24"/>
                <w:szCs w:val="24"/>
              </w:rPr>
              <w:t>经过振动落砂处理后的铸件表面还会粘附少量型砂，同时铸件表面较粗糙，不能够满足工艺要求，还需要通过抛丸机进行表面清理，使铸件表面细腻发亮</w:t>
            </w:r>
            <w:r>
              <w:rPr>
                <w:rFonts w:hint="default" w:ascii="Times New Roman" w:hAnsi="Times New Roman" w:cs="Times New Roman"/>
                <w:color w:val="auto"/>
                <w:sz w:val="24"/>
                <w:szCs w:val="24"/>
                <w:lang w:eastAsia="zh-CN"/>
              </w:rPr>
              <w:t>。</w:t>
            </w:r>
          </w:p>
          <w:p w14:paraId="39EABE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cs="Times New Roman"/>
                <w:b/>
                <w:bCs/>
                <w:color w:val="auto"/>
                <w:sz w:val="24"/>
                <w:szCs w:val="24"/>
                <w:lang w:val="en-US" w:eastAsia="zh-CN"/>
              </w:rPr>
              <w:t>砂处理：</w:t>
            </w:r>
            <w:r>
              <w:rPr>
                <w:rFonts w:hint="default" w:ascii="Times New Roman" w:hAnsi="Times New Roman" w:cs="Times New Roman"/>
                <w:color w:val="auto"/>
                <w:sz w:val="24"/>
                <w:szCs w:val="24"/>
                <w:lang w:val="en-US" w:eastAsia="zh-CN"/>
              </w:rPr>
              <w:t>从落砂工段来的的旧砂首先经过磁选，分离出混入砂中的毛刺、飞边等金属后，然后由带式输送机直接输送到破碎筛分，使旧砂得到再生。</w:t>
            </w:r>
          </w:p>
          <w:p w14:paraId="5DE0FD7A">
            <w:pPr>
              <w:pStyle w:val="126"/>
              <w:autoSpaceDE w:val="0"/>
              <w:spacing w:line="360" w:lineRule="auto"/>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⑤项目</w:t>
            </w:r>
            <w:r>
              <w:rPr>
                <w:rFonts w:hint="default" w:ascii="Times New Roman" w:hAnsi="Times New Roman" w:cs="Times New Roman"/>
                <w:b/>
                <w:color w:val="auto"/>
                <w:sz w:val="24"/>
                <w:szCs w:val="24"/>
                <w:lang w:val="en-US" w:eastAsia="zh-CN"/>
              </w:rPr>
              <w:t>五</w:t>
            </w:r>
            <w:r>
              <w:rPr>
                <w:rFonts w:hint="default" w:ascii="Times New Roman" w:hAnsi="Times New Roman" w:cs="Times New Roman"/>
                <w:b/>
                <w:color w:val="auto"/>
                <w:sz w:val="24"/>
                <w:szCs w:val="24"/>
              </w:rPr>
              <w:t>期</w:t>
            </w:r>
            <w:r>
              <w:rPr>
                <w:rFonts w:hint="default" w:ascii="Times New Roman" w:hAnsi="Times New Roman" w:cs="Times New Roman"/>
                <w:b/>
                <w:bCs/>
                <w:color w:val="auto"/>
                <w:sz w:val="24"/>
                <w:szCs w:val="24"/>
              </w:rPr>
              <w:t>年产</w:t>
            </w:r>
            <w:r>
              <w:rPr>
                <w:rFonts w:hint="default" w:ascii="Times New Roman" w:hAnsi="Times New Roman" w:cs="Times New Roman"/>
                <w:b/>
                <w:bCs/>
                <w:color w:val="auto"/>
                <w:sz w:val="24"/>
                <w:szCs w:val="24"/>
                <w:lang w:val="en-US" w:eastAsia="zh-CN"/>
              </w:rPr>
              <w:t>4</w:t>
            </w:r>
            <w:r>
              <w:rPr>
                <w:rFonts w:hint="default" w:ascii="Times New Roman" w:hAnsi="Times New Roman" w:cs="Times New Roman"/>
                <w:b/>
                <w:bCs/>
                <w:color w:val="auto"/>
                <w:sz w:val="24"/>
                <w:szCs w:val="24"/>
              </w:rPr>
              <w:t>000吨铸</w:t>
            </w:r>
            <w:r>
              <w:rPr>
                <w:rFonts w:hint="default" w:ascii="Times New Roman" w:hAnsi="Times New Roman" w:cs="Times New Roman"/>
                <w:b/>
                <w:bCs/>
                <w:color w:val="auto"/>
                <w:sz w:val="24"/>
                <w:szCs w:val="24"/>
                <w:lang w:val="en-US" w:eastAsia="zh-CN"/>
              </w:rPr>
              <w:t>钢</w:t>
            </w:r>
            <w:r>
              <w:rPr>
                <w:rFonts w:hint="default" w:ascii="Times New Roman" w:hAnsi="Times New Roman" w:cs="Times New Roman"/>
                <w:b/>
                <w:bCs/>
                <w:color w:val="auto"/>
                <w:sz w:val="24"/>
                <w:szCs w:val="24"/>
              </w:rPr>
              <w:t>件、</w:t>
            </w:r>
            <w:r>
              <w:rPr>
                <w:rFonts w:hint="default" w:ascii="Times New Roman" w:hAnsi="Times New Roman" w:cs="Times New Roman"/>
                <w:b/>
                <w:bCs/>
                <w:color w:val="auto"/>
                <w:sz w:val="24"/>
                <w:szCs w:val="24"/>
                <w:lang w:val="en-US" w:eastAsia="zh-CN"/>
              </w:rPr>
              <w:t>6</w:t>
            </w:r>
            <w:r>
              <w:rPr>
                <w:rFonts w:hint="default" w:ascii="Times New Roman" w:hAnsi="Times New Roman" w:cs="Times New Roman"/>
                <w:b/>
                <w:bCs/>
                <w:color w:val="auto"/>
                <w:sz w:val="24"/>
                <w:szCs w:val="24"/>
              </w:rPr>
              <w:t>000吨铸</w:t>
            </w:r>
            <w:r>
              <w:rPr>
                <w:rFonts w:hint="default" w:ascii="Times New Roman" w:hAnsi="Times New Roman" w:cs="Times New Roman"/>
                <w:b/>
                <w:bCs/>
                <w:color w:val="auto"/>
                <w:sz w:val="24"/>
                <w:szCs w:val="24"/>
                <w:lang w:val="en-US" w:eastAsia="zh-CN"/>
              </w:rPr>
              <w:t>铁</w:t>
            </w:r>
            <w:r>
              <w:rPr>
                <w:rFonts w:hint="default" w:ascii="Times New Roman" w:hAnsi="Times New Roman" w:cs="Times New Roman"/>
                <w:b/>
                <w:bCs/>
                <w:color w:val="auto"/>
                <w:sz w:val="24"/>
                <w:szCs w:val="24"/>
              </w:rPr>
              <w:t>件生产工艺流程</w:t>
            </w:r>
          </w:p>
          <w:p w14:paraId="54AEDB89">
            <w:pPr>
              <w:pStyle w:val="126"/>
              <w:autoSpaceDE w:val="0"/>
              <w:spacing w:line="360" w:lineRule="auto"/>
              <w:ind w:firstLineChars="200"/>
              <w:rPr>
                <w:rFonts w:hint="default" w:ascii="Times New Roman" w:hAnsi="Times New Roman" w:eastAsia="宋体" w:cs="Times New Roman"/>
                <w:b w:val="0"/>
                <w:bCs/>
                <w:color w:val="auto"/>
                <w:sz w:val="24"/>
                <w:szCs w:val="24"/>
                <w:lang w:val="en-US" w:eastAsia="zh-CN"/>
              </w:rPr>
            </w:pPr>
            <w:r>
              <w:rPr>
                <w:rFonts w:hint="default" w:ascii="Times New Roman" w:hAnsi="Times New Roman" w:cs="Times New Roman"/>
                <w:b w:val="0"/>
                <w:bCs w:val="0"/>
                <w:color w:val="auto"/>
                <w:sz w:val="24"/>
                <w:szCs w:val="24"/>
              </w:rPr>
              <w:t>项目</w:t>
            </w:r>
            <w:r>
              <w:rPr>
                <w:rFonts w:hint="default" w:ascii="Times New Roman" w:hAnsi="Times New Roman" w:cs="Times New Roman"/>
                <w:b w:val="0"/>
                <w:bCs w:val="0"/>
                <w:color w:val="auto"/>
                <w:sz w:val="24"/>
                <w:szCs w:val="24"/>
                <w:lang w:val="en-US" w:eastAsia="zh-CN"/>
              </w:rPr>
              <w:t>五</w:t>
            </w:r>
            <w:r>
              <w:rPr>
                <w:rFonts w:hint="default" w:ascii="Times New Roman" w:hAnsi="Times New Roman" w:cs="Times New Roman"/>
                <w:b w:val="0"/>
                <w:bCs w:val="0"/>
                <w:color w:val="auto"/>
                <w:sz w:val="24"/>
                <w:szCs w:val="24"/>
              </w:rPr>
              <w:t>期年产</w:t>
            </w:r>
            <w:r>
              <w:rPr>
                <w:rFonts w:hint="default"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rPr>
              <w:t>000吨铸</w:t>
            </w:r>
            <w:r>
              <w:rPr>
                <w:rFonts w:hint="default" w:ascii="Times New Roman" w:hAnsi="Times New Roman" w:cs="Times New Roman"/>
                <w:b w:val="0"/>
                <w:bCs w:val="0"/>
                <w:color w:val="auto"/>
                <w:sz w:val="24"/>
                <w:szCs w:val="24"/>
                <w:lang w:val="en-US" w:eastAsia="zh-CN"/>
              </w:rPr>
              <w:t>钢</w:t>
            </w:r>
            <w:r>
              <w:rPr>
                <w:rFonts w:hint="default" w:ascii="Times New Roman" w:hAnsi="Times New Roman" w:cs="Times New Roman"/>
                <w:b w:val="0"/>
                <w:bCs w:val="0"/>
                <w:color w:val="auto"/>
                <w:sz w:val="24"/>
                <w:szCs w:val="24"/>
              </w:rPr>
              <w:t>件、</w:t>
            </w:r>
            <w:r>
              <w:rPr>
                <w:rFonts w:hint="default" w:ascii="Times New Roman" w:hAnsi="Times New Roman" w:cs="Times New Roman"/>
                <w:b w:val="0"/>
                <w:bCs w:val="0"/>
                <w:color w:val="auto"/>
                <w:sz w:val="24"/>
                <w:szCs w:val="24"/>
                <w:lang w:val="en-US" w:eastAsia="zh-CN"/>
              </w:rPr>
              <w:t>6</w:t>
            </w:r>
            <w:r>
              <w:rPr>
                <w:rFonts w:hint="default" w:ascii="Times New Roman" w:hAnsi="Times New Roman" w:cs="Times New Roman"/>
                <w:b w:val="0"/>
                <w:bCs w:val="0"/>
                <w:color w:val="auto"/>
                <w:sz w:val="24"/>
                <w:szCs w:val="24"/>
              </w:rPr>
              <w:t>000吨铸</w:t>
            </w:r>
            <w:r>
              <w:rPr>
                <w:rFonts w:hint="default" w:ascii="Times New Roman" w:hAnsi="Times New Roman" w:cs="Times New Roman"/>
                <w:b w:val="0"/>
                <w:bCs w:val="0"/>
                <w:color w:val="auto"/>
                <w:sz w:val="24"/>
                <w:szCs w:val="24"/>
                <w:lang w:val="en-US" w:eastAsia="zh-CN"/>
              </w:rPr>
              <w:t>铁</w:t>
            </w:r>
            <w:r>
              <w:rPr>
                <w:rFonts w:hint="default" w:ascii="Times New Roman" w:hAnsi="Times New Roman" w:cs="Times New Roman"/>
                <w:b w:val="0"/>
                <w:bCs w:val="0"/>
                <w:color w:val="auto"/>
                <w:sz w:val="24"/>
                <w:szCs w:val="24"/>
              </w:rPr>
              <w:t>件分为</w:t>
            </w:r>
            <w:r>
              <w:rPr>
                <w:rFonts w:hint="default"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rPr>
              <w:t>种工艺生产线</w:t>
            </w: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lang w:val="en-US" w:eastAsia="zh-CN"/>
              </w:rPr>
              <w:t>一条</w:t>
            </w:r>
            <w:r>
              <w:rPr>
                <w:rFonts w:hint="default" w:ascii="Times New Roman" w:hAnsi="Times New Roman" w:cs="Times New Roman" w:eastAsiaTheme="minorEastAsia"/>
                <w:color w:val="auto"/>
                <w:sz w:val="24"/>
                <w:szCs w:val="24"/>
                <w:lang w:val="en-US" w:eastAsia="zh-CN"/>
              </w:rPr>
              <w:t>树脂砂铸造工艺、一条粘土砂（湿型/芯工艺）铸造工艺、一条消失模铸造工艺（泡污沫法）和一条消失模铸造工艺（失蜡法）</w:t>
            </w:r>
            <w:r>
              <w:rPr>
                <w:rFonts w:hint="default" w:ascii="Times New Roman" w:hAnsi="Times New Roman" w:cs="Times New Roman" w:eastAsiaTheme="minorEastAsia"/>
                <w:b w:val="0"/>
                <w:bCs w:val="0"/>
                <w:color w:val="auto"/>
                <w:sz w:val="24"/>
                <w:szCs w:val="24"/>
                <w:lang w:val="en-US" w:eastAsia="zh-CN"/>
              </w:rPr>
              <w:t>，其中，粘土砂（湿型/芯工艺）铸造工艺、消失模铸造工艺（泡沫法）和</w:t>
            </w:r>
            <w:r>
              <w:rPr>
                <w:rFonts w:hint="default" w:ascii="Times New Roman" w:hAnsi="Times New Roman" w:cs="Times New Roman" w:eastAsiaTheme="minorEastAsia"/>
                <w:color w:val="auto"/>
                <w:sz w:val="24"/>
                <w:szCs w:val="24"/>
                <w:lang w:val="en-US" w:eastAsia="zh-CN"/>
              </w:rPr>
              <w:t>树脂砂铸造工艺</w:t>
            </w:r>
            <w:r>
              <w:rPr>
                <w:rFonts w:hint="default" w:ascii="Times New Roman" w:hAnsi="Times New Roman" w:cs="Times New Roman" w:eastAsiaTheme="minorEastAsia"/>
                <w:b w:val="0"/>
                <w:bCs w:val="0"/>
                <w:color w:val="auto"/>
                <w:sz w:val="24"/>
                <w:szCs w:val="24"/>
                <w:lang w:val="en-US" w:eastAsia="zh-CN"/>
              </w:rPr>
              <w:t>分别与</w:t>
            </w:r>
            <w:r>
              <w:rPr>
                <w:rFonts w:hint="default" w:ascii="Times New Roman" w:hAnsi="Times New Roman" w:eastAsia="宋体" w:cs="Times New Roman"/>
                <w:bCs/>
                <w:color w:val="auto"/>
                <w:sz w:val="24"/>
                <w:szCs w:val="24"/>
                <w:lang w:val="en-US" w:eastAsia="zh-CN"/>
              </w:rPr>
              <w:t>二期</w:t>
            </w:r>
            <w:r>
              <w:rPr>
                <w:rFonts w:hint="default" w:ascii="Times New Roman" w:hAnsi="Times New Roman" w:cs="Times New Roman"/>
                <w:bCs/>
                <w:color w:val="auto"/>
                <w:sz w:val="24"/>
                <w:szCs w:val="24"/>
                <w:lang w:val="en-US" w:eastAsia="zh-CN"/>
              </w:rPr>
              <w:t>、</w:t>
            </w:r>
            <w:r>
              <w:rPr>
                <w:rFonts w:hint="default" w:ascii="Times New Roman" w:hAnsi="Times New Roman" w:cs="Times New Roman"/>
                <w:b w:val="0"/>
                <w:bCs/>
                <w:color w:val="auto"/>
                <w:sz w:val="24"/>
                <w:szCs w:val="24"/>
                <w:lang w:val="en-US" w:eastAsia="zh-CN"/>
              </w:rPr>
              <w:t>三期和四期的一致，此处不再赘述。</w:t>
            </w:r>
            <w:r>
              <w:rPr>
                <w:rFonts w:hint="default" w:ascii="Times New Roman" w:hAnsi="Times New Roman" w:cs="Times New Roman" w:eastAsiaTheme="minorEastAsia"/>
                <w:color w:val="auto"/>
                <w:sz w:val="24"/>
                <w:szCs w:val="24"/>
                <w:lang w:val="en-US" w:eastAsia="zh-CN"/>
              </w:rPr>
              <w:t>消失模铸造工艺（失蜡法）</w:t>
            </w:r>
            <w:r>
              <w:rPr>
                <w:rFonts w:hint="default" w:ascii="Times New Roman" w:hAnsi="Times New Roman" w:cs="Times New Roman"/>
                <w:b w:val="0"/>
                <w:bCs/>
                <w:color w:val="auto"/>
                <w:sz w:val="24"/>
                <w:szCs w:val="24"/>
              </w:rPr>
              <w:t>如下所示</w:t>
            </w:r>
            <w:r>
              <w:rPr>
                <w:rFonts w:hint="default" w:ascii="Times New Roman" w:hAnsi="Times New Roman" w:cs="Times New Roman"/>
                <w:b w:val="0"/>
                <w:bCs/>
                <w:color w:val="auto"/>
                <w:sz w:val="24"/>
                <w:szCs w:val="24"/>
                <w:lang w:val="en-US" w:eastAsia="zh-CN"/>
              </w:rPr>
              <w:t>：</w:t>
            </w:r>
          </w:p>
          <w:p w14:paraId="4A4BB028">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default" w:ascii="Times New Roman" w:hAnsi="Times New Roman" w:eastAsia="宋体" w:cs="Times New Roman"/>
                <w:b/>
                <w:bCs/>
                <w:color w:val="auto"/>
                <w:sz w:val="24"/>
                <w:lang w:val="en-US" w:eastAsia="zh-CN"/>
              </w:rPr>
            </w:pPr>
          </w:p>
          <w:p w14:paraId="0DC53DEC">
            <w:pPr>
              <w:snapToGrid w:val="0"/>
              <w:spacing w:line="360" w:lineRule="auto"/>
              <w:rPr>
                <w:rFonts w:hint="default" w:ascii="Times New Roman" w:hAnsi="Times New Roman" w:cs="Times New Roman"/>
                <w:color w:val="auto"/>
                <w:sz w:val="24"/>
              </w:rPr>
            </w:pPr>
            <w:r>
              <w:rPr>
                <w:rFonts w:hint="default" w:ascii="Times New Roman" w:hAnsi="Times New Roman" w:cs="Times New Roman"/>
                <w:color w:val="auto"/>
                <w:sz w:val="24"/>
              </w:rPr>
              <mc:AlternateContent>
                <mc:Choice Requires="wpc">
                  <w:drawing>
                    <wp:inline distT="0" distB="0" distL="114300" distR="114300">
                      <wp:extent cx="5172075" cy="5692140"/>
                      <wp:effectExtent l="0" t="0" r="0" b="0"/>
                      <wp:docPr id="199" name="画布 13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0" name="文本框 1370"/>
                              <wps:cNvSpPr txBox="1"/>
                              <wps:spPr>
                                <a:xfrm>
                                  <a:off x="1953895" y="45720"/>
                                  <a:ext cx="804545" cy="297180"/>
                                </a:xfrm>
                                <a:prstGeom prst="rect">
                                  <a:avLst/>
                                </a:prstGeom>
                                <a:solidFill>
                                  <a:srgbClr val="FFFFFF"/>
                                </a:solidFill>
                                <a:ln>
                                  <a:noFill/>
                                </a:ln>
                              </wps:spPr>
                              <wps:txbx>
                                <w:txbxContent>
                                  <w:p w14:paraId="57B12296">
                                    <w:pPr>
                                      <w:jc w:val="center"/>
                                      <w:rPr>
                                        <w:rFonts w:hint="eastAsia"/>
                                      </w:rPr>
                                    </w:pPr>
                                    <w:r>
                                      <w:rPr>
                                        <w:rFonts w:hint="eastAsia"/>
                                      </w:rPr>
                                      <w:t>固体石蜡</w:t>
                                    </w:r>
                                  </w:p>
                                </w:txbxContent>
                              </wps:txbx>
                              <wps:bodyPr upright="1"/>
                            </wps:wsp>
                            <wps:wsp>
                              <wps:cNvPr id="201" name="文本框 1371"/>
                              <wps:cNvSpPr txBox="1"/>
                              <wps:spPr>
                                <a:xfrm>
                                  <a:off x="1953895" y="541020"/>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A59FA8">
                                    <w:pPr>
                                      <w:jc w:val="center"/>
                                      <w:rPr>
                                        <w:rFonts w:hint="eastAsia"/>
                                      </w:rPr>
                                    </w:pPr>
                                    <w:r>
                                      <w:rPr>
                                        <w:rFonts w:hint="eastAsia"/>
                                      </w:rPr>
                                      <w:t>熔化</w:t>
                                    </w:r>
                                  </w:p>
                                </w:txbxContent>
                              </wps:txbx>
                              <wps:bodyPr upright="1"/>
                            </wps:wsp>
                            <wps:wsp>
                              <wps:cNvPr id="202" name="直线 1372"/>
                              <wps:cNvCnPr/>
                              <wps:spPr>
                                <a:xfrm>
                                  <a:off x="2298700" y="243205"/>
                                  <a:ext cx="0" cy="297815"/>
                                </a:xfrm>
                                <a:prstGeom prst="line">
                                  <a:avLst/>
                                </a:prstGeom>
                                <a:ln w="9525" cap="flat" cmpd="sng">
                                  <a:solidFill>
                                    <a:srgbClr val="000000"/>
                                  </a:solidFill>
                                  <a:prstDash val="solid"/>
                                  <a:headEnd type="none" w="med" len="med"/>
                                  <a:tailEnd type="triangle" w="med" len="med"/>
                                </a:ln>
                              </wps:spPr>
                              <wps:bodyPr upright="1"/>
                            </wps:wsp>
                            <wps:wsp>
                              <wps:cNvPr id="203" name="直线 1373"/>
                              <wps:cNvCnPr/>
                              <wps:spPr>
                                <a:xfrm>
                                  <a:off x="1724025" y="678180"/>
                                  <a:ext cx="229870" cy="635"/>
                                </a:xfrm>
                                <a:prstGeom prst="line">
                                  <a:avLst/>
                                </a:prstGeom>
                                <a:ln w="9525" cap="flat" cmpd="sng">
                                  <a:solidFill>
                                    <a:srgbClr val="000000"/>
                                  </a:solidFill>
                                  <a:prstDash val="solid"/>
                                  <a:headEnd type="none" w="med" len="med"/>
                                  <a:tailEnd type="triangle" w="med" len="med"/>
                                </a:ln>
                              </wps:spPr>
                              <wps:bodyPr upright="1"/>
                            </wps:wsp>
                            <wps:wsp>
                              <wps:cNvPr id="204" name="文本框 1374"/>
                              <wps:cNvSpPr txBox="1"/>
                              <wps:spPr>
                                <a:xfrm>
                                  <a:off x="737870" y="541020"/>
                                  <a:ext cx="1149350" cy="297180"/>
                                </a:xfrm>
                                <a:prstGeom prst="rect">
                                  <a:avLst/>
                                </a:prstGeom>
                                <a:solidFill>
                                  <a:srgbClr val="FFFFFF">
                                    <a:alpha val="0"/>
                                  </a:srgbClr>
                                </a:solidFill>
                                <a:ln>
                                  <a:noFill/>
                                </a:ln>
                              </wps:spPr>
                              <wps:txbx>
                                <w:txbxContent>
                                  <w:p w14:paraId="3C88BA48">
                                    <w:pPr>
                                      <w:jc w:val="center"/>
                                      <w:rPr>
                                        <w:rFonts w:hint="eastAsia"/>
                                      </w:rPr>
                                    </w:pPr>
                                    <w:r>
                                      <w:rPr>
                                        <w:rFonts w:hint="eastAsia"/>
                                      </w:rPr>
                                      <w:t>电加热（56℃）</w:t>
                                    </w:r>
                                  </w:p>
                                </w:txbxContent>
                              </wps:txbx>
                              <wps:bodyPr upright="1"/>
                            </wps:wsp>
                            <wps:wsp>
                              <wps:cNvPr id="205" name="直线 1375"/>
                              <wps:cNvCnPr/>
                              <wps:spPr>
                                <a:xfrm>
                                  <a:off x="2298700" y="838200"/>
                                  <a:ext cx="635" cy="297815"/>
                                </a:xfrm>
                                <a:prstGeom prst="line">
                                  <a:avLst/>
                                </a:prstGeom>
                                <a:ln w="9525" cap="flat" cmpd="sng">
                                  <a:solidFill>
                                    <a:srgbClr val="000000"/>
                                  </a:solidFill>
                                  <a:prstDash val="solid"/>
                                  <a:headEnd type="none" w="med" len="med"/>
                                  <a:tailEnd type="triangle" w="med" len="med"/>
                                </a:ln>
                              </wps:spPr>
                              <wps:bodyPr upright="1"/>
                            </wps:wsp>
                            <wps:wsp>
                              <wps:cNvPr id="206" name="文本框 1376"/>
                              <wps:cNvSpPr txBox="1"/>
                              <wps:spPr>
                                <a:xfrm>
                                  <a:off x="1925320" y="1135380"/>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4D90D0">
                                    <w:pPr>
                                      <w:jc w:val="center"/>
                                      <w:rPr>
                                        <w:rFonts w:hint="eastAsia"/>
                                      </w:rPr>
                                    </w:pPr>
                                    <w:r>
                                      <w:rPr>
                                        <w:rFonts w:hint="eastAsia"/>
                                      </w:rPr>
                                      <w:t>压制熔模</w:t>
                                    </w:r>
                                  </w:p>
                                </w:txbxContent>
                              </wps:txbx>
                              <wps:bodyPr upright="1"/>
                            </wps:wsp>
                            <wps:wsp>
                              <wps:cNvPr id="207" name="直线 1377"/>
                              <wps:cNvCnPr/>
                              <wps:spPr>
                                <a:xfrm>
                                  <a:off x="1704975" y="1276350"/>
                                  <a:ext cx="229870" cy="635"/>
                                </a:xfrm>
                                <a:prstGeom prst="line">
                                  <a:avLst/>
                                </a:prstGeom>
                                <a:ln w="9525" cap="flat" cmpd="sng">
                                  <a:solidFill>
                                    <a:srgbClr val="000000"/>
                                  </a:solidFill>
                                  <a:prstDash val="solid"/>
                                  <a:headEnd type="none" w="med" len="med"/>
                                  <a:tailEnd type="triangle" w="med" len="med"/>
                                </a:ln>
                              </wps:spPr>
                              <wps:bodyPr upright="1"/>
                            </wps:wsp>
                            <wps:wsp>
                              <wps:cNvPr id="208" name="文本框 1378"/>
                              <wps:cNvSpPr txBox="1"/>
                              <wps:spPr>
                                <a:xfrm>
                                  <a:off x="890905" y="1135380"/>
                                  <a:ext cx="1149350" cy="297180"/>
                                </a:xfrm>
                                <a:prstGeom prst="rect">
                                  <a:avLst/>
                                </a:prstGeom>
                                <a:solidFill>
                                  <a:srgbClr val="FFFFFF">
                                    <a:alpha val="0"/>
                                  </a:srgbClr>
                                </a:solidFill>
                                <a:ln>
                                  <a:noFill/>
                                </a:ln>
                              </wps:spPr>
                              <wps:txbx>
                                <w:txbxContent>
                                  <w:p w14:paraId="3C141051">
                                    <w:pPr>
                                      <w:jc w:val="center"/>
                                      <w:rPr>
                                        <w:rFonts w:hint="eastAsia"/>
                                      </w:rPr>
                                    </w:pPr>
                                    <w:r>
                                      <w:rPr>
                                        <w:rFonts w:hint="eastAsia"/>
                                      </w:rPr>
                                      <w:t>空压机</w:t>
                                    </w:r>
                                  </w:p>
                                </w:txbxContent>
                              </wps:txbx>
                              <wps:bodyPr upright="1"/>
                            </wps:wsp>
                            <wps:wsp>
                              <wps:cNvPr id="209" name="直线 1379"/>
                              <wps:cNvCnPr/>
                              <wps:spPr>
                                <a:xfrm>
                                  <a:off x="2298700" y="1432560"/>
                                  <a:ext cx="635" cy="297815"/>
                                </a:xfrm>
                                <a:prstGeom prst="line">
                                  <a:avLst/>
                                </a:prstGeom>
                                <a:ln w="9525" cap="flat" cmpd="sng">
                                  <a:solidFill>
                                    <a:srgbClr val="000000"/>
                                  </a:solidFill>
                                  <a:prstDash val="solid"/>
                                  <a:headEnd type="none" w="med" len="med"/>
                                  <a:tailEnd type="triangle" w="med" len="med"/>
                                </a:ln>
                              </wps:spPr>
                              <wps:bodyPr upright="1"/>
                            </wps:wsp>
                            <wps:wsp>
                              <wps:cNvPr id="210" name="文本框 1380"/>
                              <wps:cNvSpPr txBox="1"/>
                              <wps:spPr>
                                <a:xfrm>
                                  <a:off x="1906270" y="2253615"/>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2E600B">
                                    <w:pPr>
                                      <w:jc w:val="center"/>
                                      <w:rPr>
                                        <w:rFonts w:hint="eastAsia"/>
                                      </w:rPr>
                                    </w:pPr>
                                    <w:r>
                                      <w:rPr>
                                        <w:rFonts w:hint="eastAsia"/>
                                      </w:rPr>
                                      <w:t>制壳</w:t>
                                    </w:r>
                                  </w:p>
                                </w:txbxContent>
                              </wps:txbx>
                              <wps:bodyPr upright="1"/>
                            </wps:wsp>
                            <wps:wsp>
                              <wps:cNvPr id="211" name="文本框 1381"/>
                              <wps:cNvSpPr txBox="1"/>
                              <wps:spPr>
                                <a:xfrm>
                                  <a:off x="344805" y="2263140"/>
                                  <a:ext cx="1379220" cy="297180"/>
                                </a:xfrm>
                                <a:prstGeom prst="rect">
                                  <a:avLst/>
                                </a:prstGeom>
                                <a:solidFill>
                                  <a:srgbClr val="FFFFFF"/>
                                </a:solidFill>
                                <a:ln>
                                  <a:noFill/>
                                </a:ln>
                              </wps:spPr>
                              <wps:txbx>
                                <w:txbxContent>
                                  <w:p w14:paraId="5E52492A">
                                    <w:pPr>
                                      <w:jc w:val="center"/>
                                      <w:rPr>
                                        <w:rFonts w:hint="eastAsia"/>
                                      </w:rPr>
                                    </w:pPr>
                                    <w:r>
                                      <w:rPr>
                                        <w:rFonts w:hint="eastAsia"/>
                                      </w:rPr>
                                      <w:t>耐火材料、粘结剂</w:t>
                                    </w:r>
                                  </w:p>
                                </w:txbxContent>
                              </wps:txbx>
                              <wps:bodyPr upright="1"/>
                            </wps:wsp>
                            <wps:wsp>
                              <wps:cNvPr id="212" name="直线 1382"/>
                              <wps:cNvCnPr/>
                              <wps:spPr>
                                <a:xfrm>
                                  <a:off x="1685925" y="2390775"/>
                                  <a:ext cx="229870" cy="635"/>
                                </a:xfrm>
                                <a:prstGeom prst="line">
                                  <a:avLst/>
                                </a:prstGeom>
                                <a:ln w="9525" cap="flat" cmpd="sng">
                                  <a:solidFill>
                                    <a:srgbClr val="000000"/>
                                  </a:solidFill>
                                  <a:prstDash val="solid"/>
                                  <a:headEnd type="none" w="med" len="med"/>
                                  <a:tailEnd type="triangle" w="med" len="med"/>
                                </a:ln>
                              </wps:spPr>
                              <wps:bodyPr upright="1"/>
                            </wps:wsp>
                            <wps:wsp>
                              <wps:cNvPr id="213" name="直线 1383"/>
                              <wps:cNvCnPr/>
                              <wps:spPr>
                                <a:xfrm>
                                  <a:off x="1656715" y="2985135"/>
                                  <a:ext cx="229870" cy="635"/>
                                </a:xfrm>
                                <a:prstGeom prst="line">
                                  <a:avLst/>
                                </a:prstGeom>
                                <a:ln w="9525" cap="flat" cmpd="sng">
                                  <a:solidFill>
                                    <a:srgbClr val="000000"/>
                                  </a:solidFill>
                                  <a:prstDash val="solid"/>
                                  <a:headEnd type="none" w="med" len="med"/>
                                  <a:tailEnd type="triangle" w="med" len="med"/>
                                </a:ln>
                              </wps:spPr>
                              <wps:bodyPr upright="1"/>
                            </wps:wsp>
                            <wps:wsp>
                              <wps:cNvPr id="214" name="直线 1384"/>
                              <wps:cNvCnPr/>
                              <wps:spPr>
                                <a:xfrm>
                                  <a:off x="2298700" y="2550795"/>
                                  <a:ext cx="635" cy="297815"/>
                                </a:xfrm>
                                <a:prstGeom prst="line">
                                  <a:avLst/>
                                </a:prstGeom>
                                <a:ln w="9525" cap="flat" cmpd="sng">
                                  <a:solidFill>
                                    <a:srgbClr val="000000"/>
                                  </a:solidFill>
                                  <a:prstDash val="solid"/>
                                  <a:headEnd type="none" w="med" len="med"/>
                                  <a:tailEnd type="triangle" w="med" len="med"/>
                                </a:ln>
                              </wps:spPr>
                              <wps:bodyPr upright="1"/>
                            </wps:wsp>
                            <wps:wsp>
                              <wps:cNvPr id="215" name="文本框 1385"/>
                              <wps:cNvSpPr txBox="1"/>
                              <wps:spPr>
                                <a:xfrm>
                                  <a:off x="1877695" y="2838450"/>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AF77A6">
                                    <w:pPr>
                                      <w:jc w:val="center"/>
                                      <w:rPr>
                                        <w:rFonts w:hint="eastAsia"/>
                                      </w:rPr>
                                    </w:pPr>
                                    <w:r>
                                      <w:rPr>
                                        <w:rFonts w:hint="eastAsia"/>
                                      </w:rPr>
                                      <w:t>脱蜡</w:t>
                                    </w:r>
                                  </w:p>
                                </w:txbxContent>
                              </wps:txbx>
                              <wps:bodyPr upright="1"/>
                            </wps:wsp>
                            <wps:wsp>
                              <wps:cNvPr id="216" name="直线 1386"/>
                              <wps:cNvCnPr/>
                              <wps:spPr>
                                <a:xfrm>
                                  <a:off x="2289175" y="1941195"/>
                                  <a:ext cx="635" cy="297815"/>
                                </a:xfrm>
                                <a:prstGeom prst="line">
                                  <a:avLst/>
                                </a:prstGeom>
                                <a:ln w="9525" cap="flat" cmpd="sng">
                                  <a:solidFill>
                                    <a:srgbClr val="000000"/>
                                  </a:solidFill>
                                  <a:prstDash val="solid"/>
                                  <a:headEnd type="none" w="med" len="med"/>
                                  <a:tailEnd type="triangle" w="med" len="med"/>
                                </a:ln>
                              </wps:spPr>
                              <wps:bodyPr upright="1"/>
                            </wps:wsp>
                            <wps:wsp>
                              <wps:cNvPr id="217" name="文本框 1387"/>
                              <wps:cNvSpPr txBox="1"/>
                              <wps:spPr>
                                <a:xfrm>
                                  <a:off x="1896745" y="1729740"/>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EEFC8A">
                                    <w:pPr>
                                      <w:jc w:val="center"/>
                                      <w:rPr>
                                        <w:rFonts w:hint="eastAsia"/>
                                      </w:rPr>
                                    </w:pPr>
                                    <w:r>
                                      <w:rPr>
                                        <w:rFonts w:hint="eastAsia"/>
                                      </w:rPr>
                                      <w:t>熔模组装</w:t>
                                    </w:r>
                                  </w:p>
                                </w:txbxContent>
                              </wps:txbx>
                              <wps:bodyPr upright="1"/>
                            </wps:wsp>
                            <wps:wsp>
                              <wps:cNvPr id="218" name="直线 1388"/>
                              <wps:cNvCnPr/>
                              <wps:spPr>
                                <a:xfrm>
                                  <a:off x="1695450" y="3592830"/>
                                  <a:ext cx="229870" cy="635"/>
                                </a:xfrm>
                                <a:prstGeom prst="line">
                                  <a:avLst/>
                                </a:prstGeom>
                                <a:ln w="9525" cap="flat" cmpd="sng">
                                  <a:solidFill>
                                    <a:srgbClr val="000000"/>
                                  </a:solidFill>
                                  <a:prstDash val="solid"/>
                                  <a:headEnd type="none" w="med" len="med"/>
                                  <a:tailEnd type="triangle" w="med" len="med"/>
                                </a:ln>
                              </wps:spPr>
                              <wps:bodyPr upright="1"/>
                            </wps:wsp>
                            <wps:wsp>
                              <wps:cNvPr id="146" name="文本框 1389"/>
                              <wps:cNvSpPr txBox="1"/>
                              <wps:spPr>
                                <a:xfrm>
                                  <a:off x="767080" y="2847975"/>
                                  <a:ext cx="1149350" cy="297180"/>
                                </a:xfrm>
                                <a:prstGeom prst="rect">
                                  <a:avLst/>
                                </a:prstGeom>
                                <a:solidFill>
                                  <a:srgbClr val="FFFFFF">
                                    <a:alpha val="0"/>
                                  </a:srgbClr>
                                </a:solidFill>
                                <a:ln>
                                  <a:noFill/>
                                </a:ln>
                              </wps:spPr>
                              <wps:txbx>
                                <w:txbxContent>
                                  <w:p w14:paraId="62563E6C">
                                    <w:pPr>
                                      <w:jc w:val="center"/>
                                      <w:rPr>
                                        <w:rFonts w:hint="eastAsia"/>
                                      </w:rPr>
                                    </w:pPr>
                                    <w:r>
                                      <w:rPr>
                                        <w:rFonts w:hint="eastAsia"/>
                                      </w:rPr>
                                      <w:t>热水（56℃）</w:t>
                                    </w:r>
                                  </w:p>
                                </w:txbxContent>
                              </wps:txbx>
                              <wps:bodyPr upright="1"/>
                            </wps:wsp>
                            <wps:wsp>
                              <wps:cNvPr id="219" name="直线 1390"/>
                              <wps:cNvCnPr/>
                              <wps:spPr>
                                <a:xfrm>
                                  <a:off x="2298700" y="3135630"/>
                                  <a:ext cx="635" cy="297815"/>
                                </a:xfrm>
                                <a:prstGeom prst="line">
                                  <a:avLst/>
                                </a:prstGeom>
                                <a:ln w="9525" cap="flat" cmpd="sng">
                                  <a:solidFill>
                                    <a:srgbClr val="000000"/>
                                  </a:solidFill>
                                  <a:prstDash val="solid"/>
                                  <a:headEnd type="none" w="med" len="med"/>
                                  <a:tailEnd type="triangle" w="med" len="med"/>
                                </a:ln>
                              </wps:spPr>
                              <wps:bodyPr upright="1"/>
                            </wps:wsp>
                            <wps:wsp>
                              <wps:cNvPr id="220" name="文本框 1391"/>
                              <wps:cNvSpPr txBox="1"/>
                              <wps:spPr>
                                <a:xfrm>
                                  <a:off x="1934845" y="3432810"/>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81F4BC">
                                    <w:pPr>
                                      <w:jc w:val="center"/>
                                      <w:rPr>
                                        <w:rFonts w:hint="eastAsia"/>
                                      </w:rPr>
                                    </w:pPr>
                                    <w:r>
                                      <w:rPr>
                                        <w:rFonts w:hint="eastAsia"/>
                                      </w:rPr>
                                      <w:t>焙烧</w:t>
                                    </w:r>
                                  </w:p>
                                </w:txbxContent>
                              </wps:txbx>
                              <wps:bodyPr upright="1"/>
                            </wps:wsp>
                            <wps:wsp>
                              <wps:cNvPr id="221" name="文本框 1392"/>
                              <wps:cNvSpPr txBox="1"/>
                              <wps:spPr>
                                <a:xfrm>
                                  <a:off x="899795" y="3470910"/>
                                  <a:ext cx="1149350" cy="297180"/>
                                </a:xfrm>
                                <a:prstGeom prst="rect">
                                  <a:avLst/>
                                </a:prstGeom>
                                <a:solidFill>
                                  <a:srgbClr val="FFFFFF">
                                    <a:alpha val="0"/>
                                  </a:srgbClr>
                                </a:solidFill>
                                <a:ln>
                                  <a:noFill/>
                                </a:ln>
                              </wps:spPr>
                              <wps:txbx>
                                <w:txbxContent>
                                  <w:p w14:paraId="3F526EA5">
                                    <w:pPr>
                                      <w:jc w:val="center"/>
                                      <w:rPr>
                                        <w:rFonts w:hint="eastAsia"/>
                                      </w:rPr>
                                    </w:pPr>
                                    <w:r>
                                      <w:rPr>
                                        <w:rFonts w:hint="eastAsia"/>
                                      </w:rPr>
                                      <w:t>天然气</w:t>
                                    </w:r>
                                  </w:p>
                                </w:txbxContent>
                              </wps:txbx>
                              <wps:bodyPr upright="1"/>
                            </wps:wsp>
                            <wps:wsp>
                              <wps:cNvPr id="222" name="文本框 1393"/>
                              <wps:cNvSpPr txBox="1"/>
                              <wps:spPr>
                                <a:xfrm>
                                  <a:off x="3562985" y="2819400"/>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757994">
                                    <w:pPr>
                                      <w:jc w:val="center"/>
                                      <w:rPr>
                                        <w:rFonts w:hint="eastAsia"/>
                                      </w:rPr>
                                    </w:pPr>
                                    <w:r>
                                      <w:rPr>
                                        <w:rFonts w:hint="eastAsia"/>
                                      </w:rPr>
                                      <w:t>熔炼</w:t>
                                    </w:r>
                                  </w:p>
                                </w:txbxContent>
                              </wps:txbx>
                              <wps:bodyPr upright="1"/>
                            </wps:wsp>
                            <wps:wsp>
                              <wps:cNvPr id="151" name="文本框 1394"/>
                              <wps:cNvSpPr txBox="1"/>
                              <wps:spPr>
                                <a:xfrm>
                                  <a:off x="3112770" y="2295525"/>
                                  <a:ext cx="1494155" cy="297180"/>
                                </a:xfrm>
                                <a:prstGeom prst="rect">
                                  <a:avLst/>
                                </a:prstGeom>
                                <a:solidFill>
                                  <a:srgbClr val="FFFFFF"/>
                                </a:solidFill>
                                <a:ln>
                                  <a:noFill/>
                                </a:ln>
                              </wps:spPr>
                              <wps:txbx>
                                <w:txbxContent>
                                  <w:p w14:paraId="50465D38">
                                    <w:pPr>
                                      <w:jc w:val="center"/>
                                      <w:rPr>
                                        <w:rFonts w:hint="eastAsia"/>
                                      </w:rPr>
                                    </w:pPr>
                                    <w:r>
                                      <w:rPr>
                                        <w:rFonts w:hint="eastAsia"/>
                                        <w:lang w:val="en-US" w:eastAsia="zh-CN"/>
                                      </w:rPr>
                                      <w:t>冷轧打包料</w:t>
                                    </w:r>
                                    <w:r>
                                      <w:rPr>
                                        <w:rFonts w:hint="eastAsia"/>
                                      </w:rPr>
                                      <w:t>、硅铁</w:t>
                                    </w:r>
                                  </w:p>
                                </w:txbxContent>
                              </wps:txbx>
                              <wps:bodyPr upright="1"/>
                            </wps:wsp>
                            <wps:wsp>
                              <wps:cNvPr id="223" name="直线 1395"/>
                              <wps:cNvCnPr/>
                              <wps:spPr>
                                <a:xfrm>
                                  <a:off x="3907790" y="2522220"/>
                                  <a:ext cx="0" cy="297180"/>
                                </a:xfrm>
                                <a:prstGeom prst="line">
                                  <a:avLst/>
                                </a:prstGeom>
                                <a:ln w="9525" cap="flat" cmpd="sng">
                                  <a:solidFill>
                                    <a:srgbClr val="000000"/>
                                  </a:solidFill>
                                  <a:prstDash val="solid"/>
                                  <a:headEnd type="none" w="med" len="med"/>
                                  <a:tailEnd type="triangle" w="med" len="med"/>
                                </a:ln>
                              </wps:spPr>
                              <wps:bodyPr upright="1"/>
                            </wps:wsp>
                            <wps:wsp>
                              <wps:cNvPr id="224" name="直线 1396"/>
                              <wps:cNvCnPr/>
                              <wps:spPr>
                                <a:xfrm>
                                  <a:off x="3907790" y="3116580"/>
                                  <a:ext cx="635" cy="792480"/>
                                </a:xfrm>
                                <a:prstGeom prst="line">
                                  <a:avLst/>
                                </a:prstGeom>
                                <a:ln w="9525" cap="flat" cmpd="sng">
                                  <a:solidFill>
                                    <a:srgbClr val="000000"/>
                                  </a:solidFill>
                                  <a:prstDash val="solid"/>
                                  <a:headEnd type="none" w="med" len="med"/>
                                  <a:tailEnd type="none" w="med" len="med"/>
                                </a:ln>
                              </wps:spPr>
                              <wps:bodyPr upright="1"/>
                            </wps:wsp>
                            <wps:wsp>
                              <wps:cNvPr id="225" name="文本框 1397"/>
                              <wps:cNvSpPr txBox="1"/>
                              <wps:spPr>
                                <a:xfrm>
                                  <a:off x="3792855" y="3413760"/>
                                  <a:ext cx="574675" cy="297180"/>
                                </a:xfrm>
                                <a:prstGeom prst="rect">
                                  <a:avLst/>
                                </a:prstGeom>
                                <a:solidFill>
                                  <a:srgbClr val="FFFFFF">
                                    <a:alpha val="0"/>
                                  </a:srgbClr>
                                </a:solidFill>
                                <a:ln>
                                  <a:noFill/>
                                </a:ln>
                              </wps:spPr>
                              <wps:txbx>
                                <w:txbxContent>
                                  <w:p w14:paraId="12660C53">
                                    <w:pPr>
                                      <w:jc w:val="center"/>
                                      <w:rPr>
                                        <w:rFonts w:hint="eastAsia"/>
                                      </w:rPr>
                                    </w:pPr>
                                    <w:r>
                                      <w:rPr>
                                        <w:rFonts w:hint="eastAsia"/>
                                      </w:rPr>
                                      <w:t>铁水</w:t>
                                    </w:r>
                                  </w:p>
                                </w:txbxContent>
                              </wps:txbx>
                              <wps:bodyPr upright="1"/>
                            </wps:wsp>
                            <wps:wsp>
                              <wps:cNvPr id="226" name="直线 1398"/>
                              <wps:cNvCnPr/>
                              <wps:spPr>
                                <a:xfrm>
                                  <a:off x="2298700" y="3749040"/>
                                  <a:ext cx="635" cy="297180"/>
                                </a:xfrm>
                                <a:prstGeom prst="line">
                                  <a:avLst/>
                                </a:prstGeom>
                                <a:ln w="9525" cap="flat" cmpd="sng">
                                  <a:solidFill>
                                    <a:srgbClr val="000000"/>
                                  </a:solidFill>
                                  <a:prstDash val="solid"/>
                                  <a:headEnd type="none" w="med" len="med"/>
                                  <a:tailEnd type="triangle" w="med" len="med"/>
                                </a:ln>
                              </wps:spPr>
                              <wps:bodyPr upright="1"/>
                            </wps:wsp>
                            <wps:wsp>
                              <wps:cNvPr id="227" name="直线 1399"/>
                              <wps:cNvCnPr/>
                              <wps:spPr>
                                <a:xfrm flipH="1">
                                  <a:off x="2298700" y="3909060"/>
                                  <a:ext cx="1609090" cy="0"/>
                                </a:xfrm>
                                <a:prstGeom prst="line">
                                  <a:avLst/>
                                </a:prstGeom>
                                <a:ln w="9525" cap="flat" cmpd="sng">
                                  <a:solidFill>
                                    <a:srgbClr val="000000"/>
                                  </a:solidFill>
                                  <a:prstDash val="solid"/>
                                  <a:headEnd type="none" w="med" len="med"/>
                                  <a:tailEnd type="triangle" w="med" len="med"/>
                                </a:ln>
                              </wps:spPr>
                              <wps:bodyPr upright="1"/>
                            </wps:wsp>
                            <wps:wsp>
                              <wps:cNvPr id="228" name="文本框 1400"/>
                              <wps:cNvSpPr txBox="1"/>
                              <wps:spPr>
                                <a:xfrm>
                                  <a:off x="1906270" y="4065270"/>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78F3E4">
                                    <w:pPr>
                                      <w:jc w:val="center"/>
                                      <w:rPr>
                                        <w:rFonts w:hint="eastAsia"/>
                                      </w:rPr>
                                    </w:pPr>
                                    <w:r>
                                      <w:rPr>
                                        <w:rFonts w:hint="eastAsia"/>
                                      </w:rPr>
                                      <w:t>浇注</w:t>
                                    </w:r>
                                  </w:p>
                                </w:txbxContent>
                              </wps:txbx>
                              <wps:bodyPr upright="1"/>
                            </wps:wsp>
                            <wps:wsp>
                              <wps:cNvPr id="158" name="文本框 1401"/>
                              <wps:cNvSpPr txBox="1"/>
                              <wps:spPr>
                                <a:xfrm>
                                  <a:off x="1906270" y="4644390"/>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ACF439">
                                    <w:pPr>
                                      <w:jc w:val="center"/>
                                      <w:rPr>
                                        <w:rFonts w:hint="eastAsia"/>
                                      </w:rPr>
                                    </w:pPr>
                                    <w:r>
                                      <w:rPr>
                                        <w:rFonts w:hint="eastAsia"/>
                                      </w:rPr>
                                      <w:t>去壳</w:t>
                                    </w:r>
                                  </w:p>
                                </w:txbxContent>
                              </wps:txbx>
                              <wps:bodyPr upright="1"/>
                            </wps:wsp>
                            <wps:wsp>
                              <wps:cNvPr id="230" name="文本框 1402"/>
                              <wps:cNvSpPr txBox="1"/>
                              <wps:spPr>
                                <a:xfrm>
                                  <a:off x="1887220" y="5248275"/>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19A3A9">
                                    <w:pPr>
                                      <w:jc w:val="center"/>
                                      <w:rPr>
                                        <w:rFonts w:hint="eastAsia"/>
                                      </w:rPr>
                                    </w:pPr>
                                    <w:r>
                                      <w:rPr>
                                        <w:rFonts w:hint="eastAsia"/>
                                      </w:rPr>
                                      <w:t>抛丸</w:t>
                                    </w:r>
                                  </w:p>
                                </w:txbxContent>
                              </wps:txbx>
                              <wps:bodyPr upright="1"/>
                            </wps:wsp>
                            <wps:wsp>
                              <wps:cNvPr id="160" name="文本框 1403"/>
                              <wps:cNvSpPr txBox="1"/>
                              <wps:spPr>
                                <a:xfrm>
                                  <a:off x="2959735" y="5238750"/>
                                  <a:ext cx="80454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FE0F37">
                                    <w:pPr>
                                      <w:jc w:val="center"/>
                                      <w:rPr>
                                        <w:rFonts w:hint="eastAsia"/>
                                      </w:rPr>
                                    </w:pPr>
                                    <w:r>
                                      <w:rPr>
                                        <w:rFonts w:hint="eastAsia"/>
                                      </w:rPr>
                                      <w:t>打磨整理</w:t>
                                    </w:r>
                                  </w:p>
                                </w:txbxContent>
                              </wps:txbx>
                              <wps:bodyPr upright="1"/>
                            </wps:wsp>
                            <wps:wsp>
                              <wps:cNvPr id="231" name="文本框 1404"/>
                              <wps:cNvSpPr txBox="1"/>
                              <wps:spPr>
                                <a:xfrm>
                                  <a:off x="3907790" y="5253990"/>
                                  <a:ext cx="574675" cy="297180"/>
                                </a:xfrm>
                                <a:prstGeom prst="rect">
                                  <a:avLst/>
                                </a:prstGeom>
                                <a:solidFill>
                                  <a:srgbClr val="FFFFFF">
                                    <a:alpha val="0"/>
                                  </a:srgbClr>
                                </a:solidFill>
                                <a:ln>
                                  <a:noFill/>
                                </a:ln>
                              </wps:spPr>
                              <wps:txbx>
                                <w:txbxContent>
                                  <w:p w14:paraId="5B63DFED">
                                    <w:pPr>
                                      <w:jc w:val="center"/>
                                      <w:rPr>
                                        <w:rFonts w:hint="eastAsia"/>
                                      </w:rPr>
                                    </w:pPr>
                                    <w:r>
                                      <w:rPr>
                                        <w:rFonts w:hint="eastAsia"/>
                                      </w:rPr>
                                      <w:t>产品</w:t>
                                    </w:r>
                                  </w:p>
                                </w:txbxContent>
                              </wps:txbx>
                              <wps:bodyPr upright="1"/>
                            </wps:wsp>
                            <wps:wsp>
                              <wps:cNvPr id="162" name="直线 1405"/>
                              <wps:cNvCnPr/>
                              <wps:spPr>
                                <a:xfrm>
                                  <a:off x="2298700" y="4356735"/>
                                  <a:ext cx="635" cy="297815"/>
                                </a:xfrm>
                                <a:prstGeom prst="line">
                                  <a:avLst/>
                                </a:prstGeom>
                                <a:ln w="9525" cap="flat" cmpd="sng">
                                  <a:solidFill>
                                    <a:srgbClr val="000000"/>
                                  </a:solidFill>
                                  <a:prstDash val="solid"/>
                                  <a:headEnd type="none" w="med" len="med"/>
                                  <a:tailEnd type="triangle" w="med" len="med"/>
                                </a:ln>
                              </wps:spPr>
                              <wps:bodyPr upright="1"/>
                            </wps:wsp>
                            <wps:wsp>
                              <wps:cNvPr id="232" name="直线 1406"/>
                              <wps:cNvCnPr/>
                              <wps:spPr>
                                <a:xfrm>
                                  <a:off x="2298700" y="4932045"/>
                                  <a:ext cx="635" cy="297815"/>
                                </a:xfrm>
                                <a:prstGeom prst="line">
                                  <a:avLst/>
                                </a:prstGeom>
                                <a:ln w="9525" cap="flat" cmpd="sng">
                                  <a:solidFill>
                                    <a:srgbClr val="000000"/>
                                  </a:solidFill>
                                  <a:prstDash val="solid"/>
                                  <a:headEnd type="none" w="med" len="med"/>
                                  <a:tailEnd type="triangle" w="med" len="med"/>
                                </a:ln>
                              </wps:spPr>
                              <wps:bodyPr upright="1"/>
                            </wps:wsp>
                            <wps:wsp>
                              <wps:cNvPr id="234" name="直线 1407"/>
                              <wps:cNvCnPr/>
                              <wps:spPr>
                                <a:xfrm>
                                  <a:off x="2701290" y="5385435"/>
                                  <a:ext cx="229870" cy="635"/>
                                </a:xfrm>
                                <a:prstGeom prst="line">
                                  <a:avLst/>
                                </a:prstGeom>
                                <a:ln w="9525" cap="flat" cmpd="sng">
                                  <a:solidFill>
                                    <a:srgbClr val="000000"/>
                                  </a:solidFill>
                                  <a:prstDash val="solid"/>
                                  <a:headEnd type="none" w="med" len="med"/>
                                  <a:tailEnd type="triangle" w="med" len="med"/>
                                </a:ln>
                              </wps:spPr>
                              <wps:bodyPr upright="1"/>
                            </wps:wsp>
                            <wps:wsp>
                              <wps:cNvPr id="235" name="直线 1408"/>
                              <wps:cNvCnPr/>
                              <wps:spPr>
                                <a:xfrm>
                                  <a:off x="3792855" y="5394960"/>
                                  <a:ext cx="229870" cy="635"/>
                                </a:xfrm>
                                <a:prstGeom prst="line">
                                  <a:avLst/>
                                </a:prstGeom>
                                <a:ln w="9525" cap="flat" cmpd="sng">
                                  <a:solidFill>
                                    <a:srgbClr val="000000"/>
                                  </a:solidFill>
                                  <a:prstDash val="solid"/>
                                  <a:headEnd type="none" w="med" len="med"/>
                                  <a:tailEnd type="triangle" w="med" len="med"/>
                                </a:ln>
                              </wps:spPr>
                              <wps:bodyPr upright="1"/>
                            </wps:wsp>
                          </wpc:wpc>
                        </a:graphicData>
                      </a:graphic>
                    </wp:inline>
                  </w:drawing>
                </mc:Choice>
                <mc:Fallback>
                  <w:pict>
                    <v:group id="画布 1368" o:spid="_x0000_s1026" o:spt="203" style="height:448.2pt;width:407.25pt;" coordsize="5172075,5692140" editas="canvas" o:gfxdata="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">
                      <o:lock v:ext="edit" aspectratio="f"/>
                      <v:shape id="画布 1368" o:spid="_x0000_s1026" style="position:absolute;left:0;top:0;height:5692140;width:5172075;" filled="f" stroked="f" coordsize="21600,21600" o:gfxdata="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">
                        <v:fill on="f" focussize="0,0"/>
                        <v:stroke on="f"/>
                        <v:imagedata o:title=""/>
                        <o:lock v:ext="edit" aspectratio="t"/>
                      </v:shape>
                      <v:shape id="文本框 1370" o:spid="_x0000_s1026" o:spt="202" type="#_x0000_t202" style="position:absolute;left:1953895;top:45720;height:297180;width:804545;" fillcolor="#FFFFFF" filled="t" stroked="f" coordsize="21600,21600" o:gfxdata="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4/CJNQAAAAFAQAADwAAAAAAAAABACAAAAAiAAAAZHJz&#10;L2Rvd25yZXYueG1sUEsBAhQAFAAAAAgAh07iQAgI1prPAQAAhQMAAA4AAAAAAAAAAQAgAAAAIwEA&#10;AGRycy9lMm9Eb2MueG1sUEsFBgAAAAAGAAYAWQEAAGQFAAAAAA==&#10;">
                        <v:fill on="t" focussize="0,0"/>
                        <v:stroke on="f"/>
                        <v:imagedata o:title=""/>
                        <o:lock v:ext="edit" aspectratio="f"/>
                        <v:textbox>
                          <w:txbxContent>
                            <w:p w14:paraId="57B12296">
                              <w:pPr>
                                <w:jc w:val="center"/>
                                <w:rPr>
                                  <w:rFonts w:hint="eastAsia"/>
                                </w:rPr>
                              </w:pPr>
                              <w:r>
                                <w:rPr>
                                  <w:rFonts w:hint="eastAsia"/>
                                </w:rPr>
                                <w:t>固体石蜡</w:t>
                              </w:r>
                            </w:p>
                          </w:txbxContent>
                        </v:textbox>
                      </v:shape>
                      <v:shape id="文本框 1371" o:spid="_x0000_s1026" o:spt="202" type="#_x0000_t202" style="position:absolute;left:1953895;top:541020;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xIUT1QAAAAUBAAAPAAAA&#10;AAAAAAEAIAAAACIAAABkcnMvZG93bnJldi54bWxQSwECFAAUAAAACACHTuJAzfLo9hgCAABFBAAA&#10;DgAAAAAAAAABACAAAAAkAQAAZHJzL2Uyb0RvYy54bWxQSwUGAAAAAAYABgBZAQAArgUAAAAA&#10;">
                        <v:fill on="t" focussize="0,0"/>
                        <v:stroke color="#000000" joinstyle="miter"/>
                        <v:imagedata o:title=""/>
                        <o:lock v:ext="edit" aspectratio="f"/>
                        <v:textbox>
                          <w:txbxContent>
                            <w:p w14:paraId="71A59FA8">
                              <w:pPr>
                                <w:jc w:val="center"/>
                                <w:rPr>
                                  <w:rFonts w:hint="eastAsia"/>
                                </w:rPr>
                              </w:pPr>
                              <w:r>
                                <w:rPr>
                                  <w:rFonts w:hint="eastAsia"/>
                                </w:rPr>
                                <w:t>熔化</w:t>
                              </w:r>
                            </w:p>
                          </w:txbxContent>
                        </v:textbox>
                      </v:shape>
                      <v:line id="直线 1372" o:spid="_x0000_s1026" o:spt="20" style="position:absolute;left:2298700;top:243205;height:297815;width:0;"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dYPXPXAAAABQEAAA8AAAAAAAAAAQAgAAAAIgAAAGRycy9kb3ducmV2&#10;LnhtbFBLAQIUABQAAAAIAIdO4kDdwqGi/QEAAO4DAAAOAAAAAAAAAAEAIAAAACYBAABkcnMvZTJv&#10;RG9jLnhtbFBLBQYAAAAABgAGAFkBAACVBQAAAAA=&#10;">
                        <v:fill on="f" focussize="0,0"/>
                        <v:stroke color="#000000" joinstyle="round" endarrow="block"/>
                        <v:imagedata o:title=""/>
                        <o:lock v:ext="edit" aspectratio="f"/>
                      </v:line>
                      <v:line id="直线 1373" o:spid="_x0000_s1026" o:spt="20" style="position:absolute;left:1724025;top:678180;height:635;width:229870;"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91g9c9cAAAAFAQAADwAAAAAAAAABACAAAAAiAAAAZHJzL2Rvd25y&#10;ZXYueG1sUEsBAhQAFAAAAAgAh07iQEoENr//AQAA8AMAAA4AAAAAAAAAAQAgAAAAJgEAAGRycy9l&#10;Mm9Eb2MueG1sUEsFBgAAAAAGAAYAWQEAAJcFAAAAAA==&#10;">
                        <v:fill on="f" focussize="0,0"/>
                        <v:stroke color="#000000" joinstyle="round" endarrow="block"/>
                        <v:imagedata o:title=""/>
                        <o:lock v:ext="edit" aspectratio="f"/>
                      </v:line>
                      <v:shape id="文本框 1374" o:spid="_x0000_s1026" o:spt="202" type="#_x0000_t202" style="position:absolute;left:737870;top:541020;height:297180;width:1149350;" fillcolor="#FFFFFF" filled="t" stroked="f" coordsize="21600,21600" o:gfxdata="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J+rdidUAAAAFAQAADwAAAAAAAAAB&#10;ACAAAAAiAAAAZHJzL2Rvd25yZXYueG1sUEsBAhQAFAAAAAgAh07iQK/4pqDaAQAAowMAAA4AAAAA&#10;AAAAAQAgAAAAJAEAAGRycy9lMm9Eb2MueG1sUEsFBgAAAAAGAAYAWQEAAHAFAAAAAA==&#10;">
                        <v:fill on="t" opacity="0f" focussize="0,0"/>
                        <v:stroke on="f"/>
                        <v:imagedata o:title=""/>
                        <o:lock v:ext="edit" aspectratio="f"/>
                        <v:textbox>
                          <w:txbxContent>
                            <w:p w14:paraId="3C88BA48">
                              <w:pPr>
                                <w:jc w:val="center"/>
                                <w:rPr>
                                  <w:rFonts w:hint="eastAsia"/>
                                </w:rPr>
                              </w:pPr>
                              <w:r>
                                <w:rPr>
                                  <w:rFonts w:hint="eastAsia"/>
                                </w:rPr>
                                <w:t>电加热（56℃）</w:t>
                              </w:r>
                            </w:p>
                          </w:txbxContent>
                        </v:textbox>
                      </v:shape>
                      <v:line id="直线 1375" o:spid="_x0000_s1026" o:spt="20" style="position:absolute;left:2298700;top:838200;height:297815;width:635;"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WD1z1wAAAAUBAAAPAAAAAAAAAAEAIAAAACIAAABkcnMvZG93&#10;bnJldi54bWxQSwECFAAUAAAACACHTuJArBsiFgECAADwAwAADgAAAAAAAAABACAAAAAmAQAAZHJz&#10;L2Uyb0RvYy54bWxQSwUGAAAAAAYABgBZAQAAmQUAAAAA&#10;">
                        <v:fill on="f" focussize="0,0"/>
                        <v:stroke color="#000000" joinstyle="round" endarrow="block"/>
                        <v:imagedata o:title=""/>
                        <o:lock v:ext="edit" aspectratio="f"/>
                      </v:line>
                      <v:shape id="文本框 1376" o:spid="_x0000_s1026" o:spt="202" type="#_x0000_t202" style="position:absolute;left:1925320;top:1135380;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cSFE9UAAAAFAQAADwAA&#10;AAAAAAABACAAAAAiAAAAZHJzL2Rvd25yZXYueG1sUEsBAhQAFAAAAAgAh07iQEnJaCIZAgAARgQA&#10;AA4AAAAAAAAAAQAgAAAAJAEAAGRycy9lMm9Eb2MueG1sUEsFBgAAAAAGAAYAWQEAAK8FAAAAAA==&#10;">
                        <v:fill on="t" focussize="0,0"/>
                        <v:stroke color="#000000" joinstyle="miter"/>
                        <v:imagedata o:title=""/>
                        <o:lock v:ext="edit" aspectratio="f"/>
                        <v:textbox>
                          <w:txbxContent>
                            <w:p w14:paraId="384D90D0">
                              <w:pPr>
                                <w:jc w:val="center"/>
                                <w:rPr>
                                  <w:rFonts w:hint="eastAsia"/>
                                </w:rPr>
                              </w:pPr>
                              <w:r>
                                <w:rPr>
                                  <w:rFonts w:hint="eastAsia"/>
                                </w:rPr>
                                <w:t>压制熔模</w:t>
                              </w:r>
                            </w:p>
                          </w:txbxContent>
                        </v:textbox>
                      </v:shape>
                      <v:line id="直线 1377" o:spid="_x0000_s1026" o:spt="20" style="position:absolute;left:1704975;top:1276350;height:635;width:229870;"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91g9c9cAAAAFAQAADwAAAAAAAAABACAAAAAiAAAAZHJzL2Rvd25y&#10;ZXYueG1sUEsBAhQAFAAAAAgAh07iQCz8PVj/AQAA8QMAAA4AAAAAAAAAAQAgAAAAJgEAAGRycy9l&#10;Mm9Eb2MueG1sUEsFBgAAAAAGAAYAWQEAAJcFAAAAAA==&#10;">
                        <v:fill on="f" focussize="0,0"/>
                        <v:stroke color="#000000" joinstyle="round" endarrow="block"/>
                        <v:imagedata o:title=""/>
                        <o:lock v:ext="edit" aspectratio="f"/>
                      </v:line>
                      <v:shape id="文本框 1378" o:spid="_x0000_s1026" o:spt="202" type="#_x0000_t202" style="position:absolute;left:890905;top:1135380;height:297180;width:1149350;" fillcolor="#FFFFFF" filled="t" stroked="f" coordsize="21600,21600" o:gfxdata="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fq3YnVAAAABQEAAA8AAAAAAAAA&#10;AQAgAAAAIgAAAGRycy9kb3ducmV2LnhtbFBLAQIUABQAAAAIAIdO4kAZtTmn2wEAAKQDAAAOAAAA&#10;AAAAAAEAIAAAACQBAABkcnMvZTJvRG9jLnhtbFBLBQYAAAAABgAGAFkBAABxBQAAAAA=&#10;">
                        <v:fill on="t" opacity="0f" focussize="0,0"/>
                        <v:stroke on="f"/>
                        <v:imagedata o:title=""/>
                        <o:lock v:ext="edit" aspectratio="f"/>
                        <v:textbox>
                          <w:txbxContent>
                            <w:p w14:paraId="3C141051">
                              <w:pPr>
                                <w:jc w:val="center"/>
                                <w:rPr>
                                  <w:rFonts w:hint="eastAsia"/>
                                </w:rPr>
                              </w:pPr>
                              <w:r>
                                <w:rPr>
                                  <w:rFonts w:hint="eastAsia"/>
                                </w:rPr>
                                <w:t>空压机</w:t>
                              </w:r>
                            </w:p>
                          </w:txbxContent>
                        </v:textbox>
                      </v:shape>
                      <v:line id="直线 1379" o:spid="_x0000_s1026" o:spt="20" style="position:absolute;left:2298700;top:1432560;height:297815;width:635;"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dYPXPXAAAABQEAAA8AAAAAAAAAAQAgAAAAIgAAAGRycy9kb3du&#10;cmV2LnhtbFBLAQIUABQAAAAIAIdO4kBsFT3cAAIAAPEDAAAOAAAAAAAAAAEAIAAAACYBAABkcnMv&#10;ZTJvRG9jLnhtbFBLBQYAAAAABgAGAFkBAACYBQAAAAA=&#10;">
                        <v:fill on="f" focussize="0,0"/>
                        <v:stroke color="#000000" joinstyle="round" endarrow="block"/>
                        <v:imagedata o:title=""/>
                        <o:lock v:ext="edit" aspectratio="f"/>
                      </v:line>
                      <v:shape id="文本框 1380" o:spid="_x0000_s1026" o:spt="202" type="#_x0000_t202" style="position:absolute;left:1906270;top:2253615;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cSFE9UAAAAFAQAADwAA&#10;AAAAAAABACAAAAAiAAAAZHJzL2Rvd25yZXYueG1sUEsBAhQAFAAAAAgAh07iQGyhMkUZAgAARgQA&#10;AA4AAAAAAAAAAQAgAAAAJAEAAGRycy9lMm9Eb2MueG1sUEsFBgAAAAAGAAYAWQEAAK8FAAAAAA==&#10;">
                        <v:fill on="t" focussize="0,0"/>
                        <v:stroke color="#000000" joinstyle="miter"/>
                        <v:imagedata o:title=""/>
                        <o:lock v:ext="edit" aspectratio="f"/>
                        <v:textbox>
                          <w:txbxContent>
                            <w:p w14:paraId="702E600B">
                              <w:pPr>
                                <w:jc w:val="center"/>
                                <w:rPr>
                                  <w:rFonts w:hint="eastAsia"/>
                                </w:rPr>
                              </w:pPr>
                              <w:r>
                                <w:rPr>
                                  <w:rFonts w:hint="eastAsia"/>
                                </w:rPr>
                                <w:t>制壳</w:t>
                              </w:r>
                            </w:p>
                          </w:txbxContent>
                        </v:textbox>
                      </v:shape>
                      <v:shape id="文本框 1381" o:spid="_x0000_s1026" o:spt="202" type="#_x0000_t202" style="position:absolute;left:344805;top:2263140;height:297180;width:1379220;" fillcolor="#FFFFFF" filled="t" stroked="f" coordsize="21600,21600" o:gfxdata="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rj8Ik1AAAAAUBAAAPAAAAAAAAAAEAIAAAACIAAABk&#10;cnMvZG93bnJldi54bWxQSwECFAAUAAAACACHTuJAKdBXrdEBAACHAwAADgAAAAAAAAABACAAAAAj&#10;AQAAZHJzL2Uyb0RvYy54bWxQSwUGAAAAAAYABgBZAQAAZgUAAAAA&#10;">
                        <v:fill on="t" focussize="0,0"/>
                        <v:stroke on="f"/>
                        <v:imagedata o:title=""/>
                        <o:lock v:ext="edit" aspectratio="f"/>
                        <v:textbox>
                          <w:txbxContent>
                            <w:p w14:paraId="5E52492A">
                              <w:pPr>
                                <w:jc w:val="center"/>
                                <w:rPr>
                                  <w:rFonts w:hint="eastAsia"/>
                                </w:rPr>
                              </w:pPr>
                              <w:r>
                                <w:rPr>
                                  <w:rFonts w:hint="eastAsia"/>
                                </w:rPr>
                                <w:t>耐火材料、粘结剂</w:t>
                              </w:r>
                            </w:p>
                          </w:txbxContent>
                        </v:textbox>
                      </v:shape>
                      <v:line id="直线 1382" o:spid="_x0000_s1026" o:spt="20" style="position:absolute;left:1685925;top:2390775;height:635;width:229870;"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WD1z1wAAAAUBAAAPAAAAAAAAAAEAIAAAACIAAABkcnMvZG93&#10;bnJldi54bWxQSwECFAAUAAAACACHTuJAD31wwwECAADxAwAADgAAAAAAAAABACAAAAAmAQAAZHJz&#10;L2Uyb0RvYy54bWxQSwUGAAAAAAYABgBZAQAAmQUAAAAA&#10;">
                        <v:fill on="f" focussize="0,0"/>
                        <v:stroke color="#000000" joinstyle="round" endarrow="block"/>
                        <v:imagedata o:title=""/>
                        <o:lock v:ext="edit" aspectratio="f"/>
                      </v:line>
                      <v:line id="直线 1383" o:spid="_x0000_s1026" o:spt="20" style="position:absolute;left:1656715;top:2985135;height:635;width:229870;"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WD1z1wAAAAUBAAAPAAAAAAAAAAEAIAAAACIAAABkcnMvZG93&#10;bnJldi54bWxQSwECFAAUAAAACACHTuJA+TjoiAECAADxAwAADgAAAAAAAAABACAAAAAmAQAAZHJz&#10;L2Uyb0RvYy54bWxQSwUGAAAAAAYABgBZAQAAmQUAAAAA&#10;">
                        <v:fill on="f" focussize="0,0"/>
                        <v:stroke color="#000000" joinstyle="round" endarrow="block"/>
                        <v:imagedata o:title=""/>
                        <o:lock v:ext="edit" aspectratio="f"/>
                      </v:line>
                      <v:line id="直线 1384" o:spid="_x0000_s1026" o:spt="20" style="position:absolute;left:2298700;top:2550795;height:297815;width:635;"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1g9c9cAAAAFAQAADwAAAAAAAAABACAAAAAiAAAAZHJzL2Rv&#10;d25yZXYueG1sUEsBAhQAFAAAAAgAh07iQGd4y/QCAgAA8QMAAA4AAAAAAAAAAQAgAAAAJgEAAGRy&#10;cy9lMm9Eb2MueG1sUEsFBgAAAAAGAAYAWQEAAJoFAAAAAA==&#10;">
                        <v:fill on="f" focussize="0,0"/>
                        <v:stroke color="#000000" joinstyle="round" endarrow="block"/>
                        <v:imagedata o:title=""/>
                        <o:lock v:ext="edit" aspectratio="f"/>
                      </v:line>
                      <v:shape id="文本框 1385" o:spid="_x0000_s1026" o:spt="202" type="#_x0000_t202" style="position:absolute;left:1877695;top:2838450;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cSFE9UAAAAFAQAADwAA&#10;AAAAAAABACAAAAAiAAAAZHJzL2Rvd25yZXYueG1sUEsBAhQAFAAAAAgAh07iQKaxf6QZAgAARgQA&#10;AA4AAAAAAAAAAQAgAAAAJAEAAGRycy9lMm9Eb2MueG1sUEsFBgAAAAAGAAYAWQEAAK8FAAAAAA==&#10;">
                        <v:fill on="t" focussize="0,0"/>
                        <v:stroke color="#000000" joinstyle="miter"/>
                        <v:imagedata o:title=""/>
                        <o:lock v:ext="edit" aspectratio="f"/>
                        <v:textbox>
                          <w:txbxContent>
                            <w:p w14:paraId="7DAF77A6">
                              <w:pPr>
                                <w:jc w:val="center"/>
                                <w:rPr>
                                  <w:rFonts w:hint="eastAsia"/>
                                </w:rPr>
                              </w:pPr>
                              <w:r>
                                <w:rPr>
                                  <w:rFonts w:hint="eastAsia"/>
                                </w:rPr>
                                <w:t>脱蜡</w:t>
                              </w:r>
                            </w:p>
                          </w:txbxContent>
                        </v:textbox>
                      </v:shape>
                      <v:line id="直线 1386" o:spid="_x0000_s1026" o:spt="20" style="position:absolute;left:2289175;top:1941195;height:297815;width:635;"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1g9c9cAAAAFAQAADwAAAAAAAAABACAAAAAiAAAAZHJzL2Rv&#10;d25yZXYueG1sUEsBAhQAFAAAAAgAh07iQMFcBIcCAgAA8QMAAA4AAAAAAAAAAQAgAAAAJgEAAGRy&#10;cy9lMm9Eb2MueG1sUEsFBgAAAAAGAAYAWQEAAJoFAAAAAA==&#10;">
                        <v:fill on="f" focussize="0,0"/>
                        <v:stroke color="#000000" joinstyle="round" endarrow="block"/>
                        <v:imagedata o:title=""/>
                        <o:lock v:ext="edit" aspectratio="f"/>
                      </v:line>
                      <v:shape id="文本框 1387" o:spid="_x0000_s1026" o:spt="202" type="#_x0000_t202" style="position:absolute;left:1896745;top:1729740;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xIUT1QAAAAUBAAAPAAAA&#10;AAAAAAEAIAAAACIAAABkcnMvZG93bnJldi54bWxQSwECFAAUAAAACACHTuJAXwh/jxgCAABGBAAA&#10;DgAAAAAAAAABACAAAAAkAQAAZHJzL2Uyb0RvYy54bWxQSwUGAAAAAAYABgBZAQAArgUAAAAA&#10;">
                        <v:fill on="t" focussize="0,0"/>
                        <v:stroke color="#000000" joinstyle="miter"/>
                        <v:imagedata o:title=""/>
                        <o:lock v:ext="edit" aspectratio="f"/>
                        <v:textbox>
                          <w:txbxContent>
                            <w:p w14:paraId="42EEFC8A">
                              <w:pPr>
                                <w:jc w:val="center"/>
                                <w:rPr>
                                  <w:rFonts w:hint="eastAsia"/>
                                </w:rPr>
                              </w:pPr>
                              <w:r>
                                <w:rPr>
                                  <w:rFonts w:hint="eastAsia"/>
                                </w:rPr>
                                <w:t>熔模组装</w:t>
                              </w:r>
                            </w:p>
                          </w:txbxContent>
                        </v:textbox>
                      </v:shape>
                      <v:line id="直线 1388" o:spid="_x0000_s1026" o:spt="20" style="position:absolute;left:1695450;top:3592830;height:635;width:229870;"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dYPXPXAAAABQEAAA8AAAAAAAAAAQAgAAAAIgAAAGRycy9kb3du&#10;cmV2LnhtbFBLAQIUABQAAAAIAIdO4kBgSXqeAAIAAPEDAAAOAAAAAAAAAAEAIAAAACYBAABkcnMv&#10;ZTJvRG9jLnhtbFBLBQYAAAAABgAGAFkBAACYBQAAAAA=&#10;">
                        <v:fill on="f" focussize="0,0"/>
                        <v:stroke color="#000000" joinstyle="round" endarrow="block"/>
                        <v:imagedata o:title=""/>
                        <o:lock v:ext="edit" aspectratio="f"/>
                      </v:line>
                      <v:shape id="文本框 1389" o:spid="_x0000_s1026" o:spt="202" type="#_x0000_t202" style="position:absolute;left:767080;top:2847975;height:297180;width:1149350;" fillcolor="#FFFFFF" filled="t" stroked="f" coordsize="21600,21600" o:gfxdata="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J+rdidUAAAAFAQAADwAAAAAAAAAB&#10;ACAAAAAiAAAAZHJzL2Rvd25yZXYueG1sUEsBAhQAFAAAAAgAh07iQH27EOLaAQAApAMAAA4AAAAA&#10;AAAAAQAgAAAAJAEAAGRycy9lMm9Eb2MueG1sUEsFBgAAAAAGAAYAWQEAAHAFAAAAAA==&#10;">
                        <v:fill on="t" opacity="0f" focussize="0,0"/>
                        <v:stroke on="f"/>
                        <v:imagedata o:title=""/>
                        <o:lock v:ext="edit" aspectratio="f"/>
                        <v:textbox>
                          <w:txbxContent>
                            <w:p w14:paraId="62563E6C">
                              <w:pPr>
                                <w:jc w:val="center"/>
                                <w:rPr>
                                  <w:rFonts w:hint="eastAsia"/>
                                </w:rPr>
                              </w:pPr>
                              <w:r>
                                <w:rPr>
                                  <w:rFonts w:hint="eastAsia"/>
                                </w:rPr>
                                <w:t>热水（56℃）</w:t>
                              </w:r>
                            </w:p>
                          </w:txbxContent>
                        </v:textbox>
                      </v:shape>
                      <v:line id="直线 1390" o:spid="_x0000_s1026" o:spt="20" style="position:absolute;left:2298700;top:3135630;height:297815;width:635;"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91g9c9cAAAAFAQAADwAAAAAAAAABACAAAAAiAAAAZHJzL2Rvd25y&#10;ZXYueG1sUEsBAhQAFAAAAAgAh07iQDJPY7r/AQAA8QMAAA4AAAAAAAAAAQAgAAAAJgEAAGRycy9l&#10;Mm9Eb2MueG1sUEsFBgAAAAAGAAYAWQEAAJcFAAAAAA==&#10;">
                        <v:fill on="f" focussize="0,0"/>
                        <v:stroke color="#000000" joinstyle="round" endarrow="block"/>
                        <v:imagedata o:title=""/>
                        <o:lock v:ext="edit" aspectratio="f"/>
                      </v:line>
                      <v:shape id="文本框 1391" o:spid="_x0000_s1026" o:spt="202" type="#_x0000_t202" style="position:absolute;left:1934845;top:3432810;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cSFE9UAAAAFAQAADwAA&#10;AAAAAAABACAAAAAiAAAAZHJzL2Rvd25yZXYueG1sUEsBAhQAFAAAAAgAh07iQKO13q0ZAgAARgQA&#10;AA4AAAAAAAAAAQAgAAAAJAEAAGRycy9lMm9Eb2MueG1sUEsFBgAAAAAGAAYAWQEAAK8FAAAAAA==&#10;">
                        <v:fill on="t" focussize="0,0"/>
                        <v:stroke color="#000000" joinstyle="miter"/>
                        <v:imagedata o:title=""/>
                        <o:lock v:ext="edit" aspectratio="f"/>
                        <v:textbox>
                          <w:txbxContent>
                            <w:p w14:paraId="7B81F4BC">
                              <w:pPr>
                                <w:jc w:val="center"/>
                                <w:rPr>
                                  <w:rFonts w:hint="eastAsia"/>
                                </w:rPr>
                              </w:pPr>
                              <w:r>
                                <w:rPr>
                                  <w:rFonts w:hint="eastAsia"/>
                                </w:rPr>
                                <w:t>焙烧</w:t>
                              </w:r>
                            </w:p>
                          </w:txbxContent>
                        </v:textbox>
                      </v:shape>
                      <v:shape id="文本框 1392" o:spid="_x0000_s1026" o:spt="202" type="#_x0000_t202" style="position:absolute;left:899795;top:3470910;height:297180;width:1149350;" fillcolor="#FFFFFF" filled="t" stroked="f" coordsize="21600,21600" o:gfxdata="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fq3YnVAAAABQEAAA8AAAAAAAAA&#10;AQAgAAAAIgAAAGRycy9kb3ducmV2LnhtbFBLAQIUABQAAAAIAIdO4kA/02zS2wEAAKQDAAAOAAAA&#10;AAAAAAEAIAAAACQBAABkcnMvZTJvRG9jLnhtbFBLBQYAAAAABgAGAFkBAABxBQAAAAA=&#10;">
                        <v:fill on="t" opacity="0f" focussize="0,0"/>
                        <v:stroke on="f"/>
                        <v:imagedata o:title=""/>
                        <o:lock v:ext="edit" aspectratio="f"/>
                        <v:textbox>
                          <w:txbxContent>
                            <w:p w14:paraId="3F526EA5">
                              <w:pPr>
                                <w:jc w:val="center"/>
                                <w:rPr>
                                  <w:rFonts w:hint="eastAsia"/>
                                </w:rPr>
                              </w:pPr>
                              <w:r>
                                <w:rPr>
                                  <w:rFonts w:hint="eastAsia"/>
                                </w:rPr>
                                <w:t>天然气</w:t>
                              </w:r>
                            </w:p>
                          </w:txbxContent>
                        </v:textbox>
                      </v:shape>
                      <v:shape id="文本框 1393" o:spid="_x0000_s1026" o:spt="202" type="#_x0000_t202" style="position:absolute;left:3562985;top:2819400;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cSFE9UAAAAFAQAADwAA&#10;AAAAAAABACAAAAAiAAAAZHJzL2Rvd25yZXYueG1sUEsBAhQAFAAAAAgAh07iQEBm/dkZAgAARgQA&#10;AA4AAAAAAAAAAQAgAAAAJAEAAGRycy9lMm9Eb2MueG1sUEsFBgAAAAAGAAYAWQEAAK8FAAAAAA==&#10;">
                        <v:fill on="t" focussize="0,0"/>
                        <v:stroke color="#000000" joinstyle="miter"/>
                        <v:imagedata o:title=""/>
                        <o:lock v:ext="edit" aspectratio="f"/>
                        <v:textbox>
                          <w:txbxContent>
                            <w:p w14:paraId="41757994">
                              <w:pPr>
                                <w:jc w:val="center"/>
                                <w:rPr>
                                  <w:rFonts w:hint="eastAsia"/>
                                </w:rPr>
                              </w:pPr>
                              <w:r>
                                <w:rPr>
                                  <w:rFonts w:hint="eastAsia"/>
                                </w:rPr>
                                <w:t>熔炼</w:t>
                              </w:r>
                            </w:p>
                          </w:txbxContent>
                        </v:textbox>
                      </v:shape>
                      <v:shape id="文本框 1394" o:spid="_x0000_s1026" o:spt="202" type="#_x0000_t202" style="position:absolute;left:3112770;top:2295525;height:297180;width:1494155;" fillcolor="#FFFFFF" filled="t" stroked="f" coordsize="21600,21600" o:gfxdata="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uPwiTUAAAABQEAAA8AAAAAAAAAAQAgAAAAIgAA&#10;AGRycy9kb3ducmV2LnhtbFBLAQIUABQAAAAIAIdO4kBvB5O+0wEAAIgDAAAOAAAAAAAAAAEAIAAA&#10;ACMBAABkcnMvZTJvRG9jLnhtbFBLBQYAAAAABgAGAFkBAABoBQAAAAA=&#10;">
                        <v:fill on="t" focussize="0,0"/>
                        <v:stroke on="f"/>
                        <v:imagedata o:title=""/>
                        <o:lock v:ext="edit" aspectratio="f"/>
                        <v:textbox>
                          <w:txbxContent>
                            <w:p w14:paraId="50465D38">
                              <w:pPr>
                                <w:jc w:val="center"/>
                                <w:rPr>
                                  <w:rFonts w:hint="eastAsia"/>
                                </w:rPr>
                              </w:pPr>
                              <w:r>
                                <w:rPr>
                                  <w:rFonts w:hint="eastAsia"/>
                                  <w:lang w:val="en-US" w:eastAsia="zh-CN"/>
                                </w:rPr>
                                <w:t>冷轧打包料</w:t>
                              </w:r>
                              <w:r>
                                <w:rPr>
                                  <w:rFonts w:hint="eastAsia"/>
                                </w:rPr>
                                <w:t>、硅铁</w:t>
                              </w:r>
                            </w:p>
                          </w:txbxContent>
                        </v:textbox>
                      </v:shape>
                      <v:line id="直线 1395" o:spid="_x0000_s1026" o:spt="20" style="position:absolute;left:3907790;top:2522220;height:297180;width:0;"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3WD1z1wAAAAUBAAAPAAAAAAAAAAEAIAAAACIAAABkcnMvZG93bnJl&#10;di54bWxQSwECFAAUAAAACACHTuJAQVV00v4BAADvAwAADgAAAAAAAAABACAAAAAmAQAAZHJzL2Uy&#10;b0RvYy54bWxQSwUGAAAAAAYABgBZAQAAlgUAAAAA&#10;">
                        <v:fill on="f" focussize="0,0"/>
                        <v:stroke color="#000000" joinstyle="round" endarrow="block"/>
                        <v:imagedata o:title=""/>
                        <o:lock v:ext="edit" aspectratio="f"/>
                      </v:line>
                      <v:line id="直线 1396" o:spid="_x0000_s1026" o:spt="20" style="position:absolute;left:3907790;top:3116580;height:792480;width:635;" filled="f" stroked="t" coordsize="21600,21600" o:gfxdata="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CyeE9UAAAAFAQAADwAAAAAAAAABACAAAAAiAAAAZHJzL2Rvd25yZXYueG1s&#10;UEsBAhQAFAAAAAgAh07iQHmKks77AQAA7QMAAA4AAAAAAAAAAQAgAAAAJAEAAGRycy9lMm9Eb2Mu&#10;eG1sUEsFBgAAAAAGAAYAWQEAAJEFAAAAAA==&#10;">
                        <v:fill on="f" focussize="0,0"/>
                        <v:stroke color="#000000" joinstyle="round"/>
                        <v:imagedata o:title=""/>
                        <o:lock v:ext="edit" aspectratio="f"/>
                      </v:line>
                      <v:shape id="文本框 1397" o:spid="_x0000_s1026" o:spt="202" type="#_x0000_t202" style="position:absolute;left:3792855;top:3413760;height:297180;width:574675;" fillcolor="#FFFFFF" filled="t" stroked="f" coordsize="21600,21600" o:gfxdata="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fq3YnVAAAABQEAAA8AAAAAAAAA&#10;AQAgAAAAIgAAAGRycy9kb3ducmV2LnhtbFBLAQIUABQAAAAIAIdO4kBBMPAy2wEAAKQDAAAOAAAA&#10;AAAAAAEAIAAAACQBAABkcnMvZTJvRG9jLnhtbFBLBQYAAAAABgAGAFkBAABxBQAAAAA=&#10;">
                        <v:fill on="t" opacity="0f" focussize="0,0"/>
                        <v:stroke on="f"/>
                        <v:imagedata o:title=""/>
                        <o:lock v:ext="edit" aspectratio="f"/>
                        <v:textbox>
                          <w:txbxContent>
                            <w:p w14:paraId="12660C53">
                              <w:pPr>
                                <w:jc w:val="center"/>
                                <w:rPr>
                                  <w:rFonts w:hint="eastAsia"/>
                                </w:rPr>
                              </w:pPr>
                              <w:r>
                                <w:rPr>
                                  <w:rFonts w:hint="eastAsia"/>
                                </w:rPr>
                                <w:t>铁水</w:t>
                              </w:r>
                            </w:p>
                          </w:txbxContent>
                        </v:textbox>
                      </v:shape>
                      <v:line id="直线 1398" o:spid="_x0000_s1026" o:spt="20" style="position:absolute;left:2298700;top:3749040;height:297180;width:635;"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1g9c9cAAAAFAQAADwAAAAAAAAABACAAAAAiAAAAZHJzL2Rv&#10;d25yZXYueG1sUEsBAhQAFAAAAAgAh07iQEUXmdQCAgAA8QMAAA4AAAAAAAAAAQAgAAAAJgEAAGRy&#10;cy9lMm9Eb2MueG1sUEsFBgAAAAAGAAYAWQEAAJoFAAAAAA==&#10;">
                        <v:fill on="f" focussize="0,0"/>
                        <v:stroke color="#000000" joinstyle="round" endarrow="block"/>
                        <v:imagedata o:title=""/>
                        <o:lock v:ext="edit" aspectratio="f"/>
                      </v:line>
                      <v:line id="直线 1399" o:spid="_x0000_s1026" o:spt="20" style="position:absolute;left:2298700;top:3909060;flip:x;height:0;width:1609090;" filled="f" stroked="t" coordsize="21600,21600" o:gfxdata="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&#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8wqCDWAAAABQEAAA8AAAAAAAAAAQAgAAAAIgAAAGRy&#10;cy9kb3ducmV2LnhtbFBLAQIUABQAAAAIAIdO4kDodULuBwIAAPoDAAAOAAAAAAAAAAEAIAAAACUB&#10;AABkcnMvZTJvRG9jLnhtbFBLBQYAAAAABgAGAFkBAACeBQAAAAA=&#10;">
                        <v:fill on="f" focussize="0,0"/>
                        <v:stroke color="#000000" joinstyle="round" endarrow="block"/>
                        <v:imagedata o:title=""/>
                        <o:lock v:ext="edit" aspectratio="f"/>
                      </v:line>
                      <v:shape id="文本框 1400" o:spid="_x0000_s1026" o:spt="202" type="#_x0000_t202" style="position:absolute;left:1906270;top:4065270;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xIUT1QAAAAUBAAAPAAAA&#10;AAAAAAEAIAAAACIAAABkcnMvZG93bnJldi54bWxQSwECFAAUAAAACACHTuJA+F5LpxgCAABGBAAA&#10;DgAAAAAAAAABACAAAAAkAQAAZHJzL2Uyb0RvYy54bWxQSwUGAAAAAAYABgBZAQAArgUAAAAA&#10;">
                        <v:fill on="t" focussize="0,0"/>
                        <v:stroke color="#000000" joinstyle="miter"/>
                        <v:imagedata o:title=""/>
                        <o:lock v:ext="edit" aspectratio="f"/>
                        <v:textbox>
                          <w:txbxContent>
                            <w:p w14:paraId="1178F3E4">
                              <w:pPr>
                                <w:jc w:val="center"/>
                                <w:rPr>
                                  <w:rFonts w:hint="eastAsia"/>
                                </w:rPr>
                              </w:pPr>
                              <w:r>
                                <w:rPr>
                                  <w:rFonts w:hint="eastAsia"/>
                                </w:rPr>
                                <w:t>浇注</w:t>
                              </w:r>
                            </w:p>
                          </w:txbxContent>
                        </v:textbox>
                      </v:shape>
                      <v:shape id="文本框 1401" o:spid="_x0000_s1026" o:spt="202" type="#_x0000_t202" style="position:absolute;left:1906270;top:4644390;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cSFE9UAAAAFAQAADwAA&#10;AAAAAAABACAAAAAiAAAAZHJzL2Rvd25yZXYueG1sUEsBAhQAFAAAAAgAh07iQLVbd1kZAgAARgQA&#10;AA4AAAAAAAAAAQAgAAAAJAEAAGRycy9lMm9Eb2MueG1sUEsFBgAAAAAGAAYAWQEAAK8FAAAAAA==&#10;">
                        <v:fill on="t" focussize="0,0"/>
                        <v:stroke color="#000000" joinstyle="miter"/>
                        <v:imagedata o:title=""/>
                        <o:lock v:ext="edit" aspectratio="f"/>
                        <v:textbox>
                          <w:txbxContent>
                            <w:p w14:paraId="42ACF439">
                              <w:pPr>
                                <w:jc w:val="center"/>
                                <w:rPr>
                                  <w:rFonts w:hint="eastAsia"/>
                                </w:rPr>
                              </w:pPr>
                              <w:r>
                                <w:rPr>
                                  <w:rFonts w:hint="eastAsia"/>
                                </w:rPr>
                                <w:t>去壳</w:t>
                              </w:r>
                            </w:p>
                          </w:txbxContent>
                        </v:textbox>
                      </v:shape>
                      <v:shape id="文本框 1402" o:spid="_x0000_s1026" o:spt="202" type="#_x0000_t202" style="position:absolute;left:1887220;top:5248275;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XEhRPVAAAABQEAAA8A&#10;AAAAAAAAAQAgAAAAIgAAAGRycy9kb3ducmV2LnhtbFBLAQIUABQAAAAIAIdO4kAFFrSyGgIAAEYE&#10;AAAOAAAAAAAAAAEAIAAAACQBAABkcnMvZTJvRG9jLnhtbFBLBQYAAAAABgAGAFkBAACwBQAAAAA=&#10;">
                        <v:fill on="t" focussize="0,0"/>
                        <v:stroke color="#000000" joinstyle="miter"/>
                        <v:imagedata o:title=""/>
                        <o:lock v:ext="edit" aspectratio="f"/>
                        <v:textbox>
                          <w:txbxContent>
                            <w:p w14:paraId="1819A3A9">
                              <w:pPr>
                                <w:jc w:val="center"/>
                                <w:rPr>
                                  <w:rFonts w:hint="eastAsia"/>
                                </w:rPr>
                              </w:pPr>
                              <w:r>
                                <w:rPr>
                                  <w:rFonts w:hint="eastAsia"/>
                                </w:rPr>
                                <w:t>抛丸</w:t>
                              </w:r>
                            </w:p>
                          </w:txbxContent>
                        </v:textbox>
                      </v:shape>
                      <v:shape id="文本框 1403" o:spid="_x0000_s1026" o:spt="202" type="#_x0000_t202" style="position:absolute;left:2959735;top:5238750;height:297180;width:804545;" fillcolor="#FFFFFF" filled="t" stroked="t" coordsize="21600,21600" o:gfxdata="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lxIUT1QAAAAUBAAAP&#10;AAAAAAAAAAEAIAAAACIAAABkcnMvZG93bnJldi54bWxQSwECFAAUAAAACACHTuJAtXN3shsCAABG&#10;BAAADgAAAAAAAAABACAAAAAkAQAAZHJzL2Uyb0RvYy54bWxQSwUGAAAAAAYABgBZAQAAsQUAAAAA&#10;">
                        <v:fill on="t" focussize="0,0"/>
                        <v:stroke color="#000000" joinstyle="miter"/>
                        <v:imagedata o:title=""/>
                        <o:lock v:ext="edit" aspectratio="f"/>
                        <v:textbox>
                          <w:txbxContent>
                            <w:p w14:paraId="0CFE0F37">
                              <w:pPr>
                                <w:jc w:val="center"/>
                                <w:rPr>
                                  <w:rFonts w:hint="eastAsia"/>
                                </w:rPr>
                              </w:pPr>
                              <w:r>
                                <w:rPr>
                                  <w:rFonts w:hint="eastAsia"/>
                                </w:rPr>
                                <w:t>打磨整理</w:t>
                              </w:r>
                            </w:p>
                          </w:txbxContent>
                        </v:textbox>
                      </v:shape>
                      <v:shape id="文本框 1404" o:spid="_x0000_s1026" o:spt="202" type="#_x0000_t202" style="position:absolute;left:3907790;top:5253990;height:297180;width:574675;" fillcolor="#FFFFFF" filled="t" stroked="f" coordsize="21600,21600" o:gfxdata="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n6t2J1QAAAAUBAAAPAAAAAAAA&#10;AAEAIAAAACIAAABkcnMvZG93bnJldi54bWxQSwECFAAUAAAACACHTuJA1DsI9dwBAACkAwAADgAA&#10;AAAAAAABACAAAAAkAQAAZHJzL2Uyb0RvYy54bWxQSwUGAAAAAAYABgBZAQAAcgUAAAAA&#10;">
                        <v:fill on="t" opacity="0f" focussize="0,0"/>
                        <v:stroke on="f"/>
                        <v:imagedata o:title=""/>
                        <o:lock v:ext="edit" aspectratio="f"/>
                        <v:textbox>
                          <w:txbxContent>
                            <w:p w14:paraId="5B63DFED">
                              <w:pPr>
                                <w:jc w:val="center"/>
                                <w:rPr>
                                  <w:rFonts w:hint="eastAsia"/>
                                </w:rPr>
                              </w:pPr>
                              <w:r>
                                <w:rPr>
                                  <w:rFonts w:hint="eastAsia"/>
                                </w:rPr>
                                <w:t>产品</w:t>
                              </w:r>
                            </w:p>
                          </w:txbxContent>
                        </v:textbox>
                      </v:shape>
                      <v:line id="直线 1405" o:spid="_x0000_s1026" o:spt="20" style="position:absolute;left:2298700;top:4356735;height:297815;width:635;"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dYPXPXAAAABQEAAA8AAAAAAAAAAQAgAAAAIgAAAGRycy9k&#10;b3ducmV2LnhtbFBLAQIUABQAAAAIAIdO4kDF+PgVAwIAAPEDAAAOAAAAAAAAAAEAIAAAACYBAABk&#10;cnMvZTJvRG9jLnhtbFBLBQYAAAAABgAGAFkBAACbBQAAAAA=&#10;">
                        <v:fill on="f" focussize="0,0"/>
                        <v:stroke color="#000000" joinstyle="round" endarrow="block"/>
                        <v:imagedata o:title=""/>
                        <o:lock v:ext="edit" aspectratio="f"/>
                      </v:line>
                      <v:line id="直线 1406" o:spid="_x0000_s1026" o:spt="20" style="position:absolute;left:2298700;top:4932045;height:297815;width:635;"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dYPXPXAAAABQEAAA8AAAAAAAAAAQAgAAAAIgAAAGRycy9k&#10;b3ducmV2LnhtbFBLAQIUABQAAAAIAIdO4kAdQzmrAwIAAPEDAAAOAAAAAAAAAAEAIAAAACYBAABk&#10;cnMvZTJvRG9jLnhtbFBLBQYAAAAABgAGAFkBAACbBQAAAAA=&#10;">
                        <v:fill on="f" focussize="0,0"/>
                        <v:stroke color="#000000" joinstyle="round" endarrow="block"/>
                        <v:imagedata o:title=""/>
                        <o:lock v:ext="edit" aspectratio="f"/>
                      </v:line>
                      <v:line id="直线 1407" o:spid="_x0000_s1026" o:spt="20" style="position:absolute;left:2701290;top:5385435;height:635;width:229870;"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1g9c9cAAAAFAQAADwAAAAAAAAABACAAAAAiAAAAZHJzL2Rv&#10;d25yZXYueG1sUEsBAhQAFAAAAAgAh07iQCX1DkkCAgAA8QMAAA4AAAAAAAAAAQAgAAAAJgEAAGRy&#10;cy9lMm9Eb2MueG1sUEsFBgAAAAAGAAYAWQEAAJoFAAAAAA==&#10;">
                        <v:fill on="f" focussize="0,0"/>
                        <v:stroke color="#000000" joinstyle="round" endarrow="block"/>
                        <v:imagedata o:title=""/>
                        <o:lock v:ext="edit" aspectratio="f"/>
                      </v:line>
                      <v:line id="直线 1408" o:spid="_x0000_s1026" o:spt="20" style="position:absolute;left:3792855;top:5394960;height:635;width:229870;" filled="f" stroked="t" coordsize="21600,21600" o:gfxdata="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WD1z1wAAAAUBAAAPAAAAAAAAAAEAIAAAACIAAABkcnMvZG93&#10;bnJldi54bWxQSwECFAAUAAAACACHTuJA6TfgLAECAADxAwAADgAAAAAAAAABACAAAAAmAQAAZHJz&#10;L2Uyb0RvYy54bWxQSwUGAAAAAAYABgBZAQAAmQUAAAAA&#10;">
                        <v:fill on="f" focussize="0,0"/>
                        <v:stroke color="#000000" joinstyle="round" endarrow="block"/>
                        <v:imagedata o:title=""/>
                        <o:lock v:ext="edit" aspectratio="f"/>
                      </v:line>
                      <w10:wrap type="none"/>
                      <w10:anchorlock/>
                    </v:group>
                  </w:pict>
                </mc:Fallback>
              </mc:AlternateContent>
            </w:r>
          </w:p>
          <w:p w14:paraId="773579BE">
            <w:pPr>
              <w:adjustRightInd w:val="0"/>
              <w:snapToGrid w:val="0"/>
              <w:spacing w:line="360" w:lineRule="auto"/>
              <w:ind w:firstLine="482" w:firstLineChars="200"/>
              <w:jc w:val="center"/>
              <w:rPr>
                <w:rFonts w:hint="default" w:ascii="Times New Roman" w:hAnsi="Times New Roman" w:cs="Times New Roman"/>
                <w:b/>
                <w:bCs w:val="0"/>
                <w:color w:val="auto"/>
                <w:sz w:val="24"/>
              </w:rPr>
            </w:pPr>
            <w:r>
              <w:rPr>
                <w:rFonts w:hint="default" w:ascii="Times New Roman" w:hAnsi="Times New Roman" w:cs="Times New Roman"/>
                <w:b/>
                <w:bCs w:val="0"/>
                <w:color w:val="auto"/>
                <w:sz w:val="24"/>
              </w:rPr>
              <w:t>图</w:t>
            </w:r>
            <w:r>
              <w:rPr>
                <w:rFonts w:hint="default" w:ascii="Times New Roman" w:hAnsi="Times New Roman" w:cs="Times New Roman"/>
                <w:b/>
                <w:bCs w:val="0"/>
                <w:color w:val="auto"/>
                <w:sz w:val="24"/>
                <w:lang w:val="en-US" w:eastAsia="zh-CN"/>
              </w:rPr>
              <w:t>2-9消失模</w:t>
            </w:r>
            <w:r>
              <w:rPr>
                <w:rFonts w:hint="default" w:ascii="Times New Roman" w:hAnsi="Times New Roman" w:cs="Times New Roman"/>
                <w:b/>
                <w:bCs w:val="0"/>
                <w:color w:val="auto"/>
                <w:sz w:val="24"/>
                <w:lang w:eastAsia="zh-CN"/>
              </w:rPr>
              <w:t>（</w:t>
            </w:r>
            <w:r>
              <w:rPr>
                <w:rFonts w:hint="default" w:ascii="Times New Roman" w:hAnsi="Times New Roman" w:cs="Times New Roman"/>
                <w:b/>
                <w:bCs w:val="0"/>
                <w:color w:val="auto"/>
                <w:sz w:val="24"/>
                <w:lang w:val="en-US" w:eastAsia="zh-CN"/>
              </w:rPr>
              <w:t>失蜡法）铸造</w:t>
            </w:r>
            <w:r>
              <w:rPr>
                <w:rFonts w:hint="default" w:ascii="Times New Roman" w:hAnsi="Times New Roman" w:cs="Times New Roman"/>
                <w:b/>
                <w:bCs w:val="0"/>
                <w:color w:val="auto"/>
                <w:sz w:val="24"/>
              </w:rPr>
              <w:t>工艺流程</w:t>
            </w:r>
          </w:p>
          <w:p w14:paraId="6190B0F6">
            <w:pPr>
              <w:snapToGrid w:val="0"/>
              <w:spacing w:line="360" w:lineRule="auto"/>
              <w:ind w:firstLine="480" w:firstLineChars="200"/>
              <w:rPr>
                <w:rFonts w:hint="default" w:ascii="Times New Roman" w:hAnsi="Times New Roman" w:eastAsia="宋体" w:cs="Times New Roman"/>
                <w:b w:val="0"/>
                <w:bCs/>
                <w:color w:val="auto"/>
                <w:sz w:val="24"/>
                <w:lang w:eastAsia="zh-CN"/>
              </w:rPr>
            </w:pPr>
            <w:r>
              <w:rPr>
                <w:rFonts w:hint="default" w:ascii="Times New Roman" w:hAnsi="Times New Roman" w:cs="Times New Roman" w:eastAsiaTheme="minorEastAsia"/>
                <w:b w:val="0"/>
                <w:bCs/>
                <w:color w:val="auto"/>
                <w:sz w:val="24"/>
                <w:szCs w:val="24"/>
                <w:lang w:val="en-US" w:eastAsia="zh-CN"/>
              </w:rPr>
              <w:t>消失模铸造工艺（失蜡法）</w:t>
            </w:r>
            <w:r>
              <w:rPr>
                <w:rFonts w:hint="default" w:ascii="Times New Roman" w:hAnsi="Times New Roman" w:cs="Times New Roman"/>
                <w:b w:val="0"/>
                <w:bCs/>
                <w:color w:val="auto"/>
                <w:sz w:val="24"/>
              </w:rPr>
              <w:t>工艺流程简述</w:t>
            </w:r>
            <w:r>
              <w:rPr>
                <w:rFonts w:hint="default" w:ascii="Times New Roman" w:hAnsi="Times New Roman" w:cs="Times New Roman"/>
                <w:b w:val="0"/>
                <w:bCs/>
                <w:color w:val="auto"/>
                <w:sz w:val="24"/>
                <w:lang w:eastAsia="zh-CN"/>
              </w:rPr>
              <w:t>：</w:t>
            </w:r>
          </w:p>
          <w:p w14:paraId="42261C1A">
            <w:pPr>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熔模铸造又称"失蜡铸造"，通常是指在易熔材料制成模样，在模样表面包覆若干层耐火材料制成型壳，再将模样熔化排出型壳，从而获得无分型面的铸型，经高温焙烧后即可浇注的铸造方案。由于模样广泛采用蜡质材料来制造，故常将熔模铸造称为“失蜡铸造”。可用熔模铸造法生产的合金种类有碳素钢、合金钢、耐热合金、不锈钢、精密合金、永磁合金、轴承合金、铜合金、铝合金、钛合金和球墨铸铁等。熔模铸件的形状一般都比较复杂，铸件上可铸出孔的最小直径可达0.5mm，铸件的最小壁厚为0.3mm。在生产中可将一些原来由几个零件组合而成的部件，通过改变零件的结构，设计成为整体零件而直接由熔模铸造铸出，以节省加工工时和金属材料的消耗，使零件结构更为合理。熔模铸造工艺过程较复杂，且不易控制，使用和消耗的材料较贵，故它适用于生产形状复杂、精度要求高、或很难进行其它加工的小型零件。</w:t>
            </w:r>
          </w:p>
          <w:p w14:paraId="54701FD7">
            <w:pPr>
              <w:snapToGrid w:val="0"/>
              <w:spacing w:line="360" w:lineRule="auto"/>
              <w:ind w:firstLine="482" w:firstLineChars="200"/>
              <w:rPr>
                <w:rFonts w:hint="default" w:ascii="Times New Roman" w:hAnsi="Times New Roman" w:cs="Times New Roman"/>
                <w:color w:val="auto"/>
                <w:sz w:val="24"/>
              </w:rPr>
            </w:pPr>
            <w:r>
              <w:rPr>
                <w:rFonts w:hint="default" w:ascii="Times New Roman" w:hAnsi="Times New Roman" w:cs="Times New Roman"/>
                <w:b/>
                <w:bCs/>
                <w:color w:val="auto"/>
                <w:sz w:val="24"/>
              </w:rPr>
              <w:t>熔模的制造：</w:t>
            </w:r>
            <w:r>
              <w:rPr>
                <w:rFonts w:hint="default" w:ascii="Times New Roman" w:hAnsi="Times New Roman" w:cs="Times New Roman"/>
                <w:color w:val="auto"/>
                <w:sz w:val="24"/>
              </w:rPr>
              <w:t>熔模铸造生产的第一个工序就是制造熔模，熔模是用来形成耐火型壳中型腔的模型，所以要获得尺寸精度和表面光洁度高的铸件，首先熔模本身就应该具有高的尺寸精度和表面光洁度。此外熔模本身的性能还应尽可能使随后的制型壳等工序简单易行。为得到上述高质量要求的熔模，除了应有好的压型（压制熔模的模具）外，还必须选择合适的制模材料（简称模料）和合理的制模工艺。制模材料的性能不单应保证方便地制得尺寸精确和表面光洁度高，强度好，重量轻的熔模，它还应为型壳的制造和获得良好铸件创造条件。模料一般用蜡料、天然树脂和塑料（合成树脂）配制。凡主要用蜡料配制的模料称为蜡基模料，本项目选用石蜡做模料。脱模后所得的模料可以回收，再用来制造新的熔模。</w:t>
            </w:r>
          </w:p>
          <w:p w14:paraId="3881B858">
            <w:pPr>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生产中采用空压机空气压力把糊状模料压入压型的方法制造熔模。压制熔</w:t>
            </w:r>
            <w:r>
              <w:rPr>
                <w:rFonts w:hint="default" w:ascii="Times New Roman" w:hAnsi="Times New Roman" w:cs="Times New Roman"/>
                <w:color w:val="auto"/>
                <w:sz w:val="24"/>
                <w:lang w:val="en-US" w:eastAsia="zh-CN"/>
              </w:rPr>
              <w:t>模</w:t>
            </w:r>
            <w:r>
              <w:rPr>
                <w:rFonts w:hint="default" w:ascii="Times New Roman" w:hAnsi="Times New Roman" w:cs="Times New Roman"/>
                <w:color w:val="auto"/>
                <w:sz w:val="24"/>
              </w:rPr>
              <w:t>之前，需先在压型表面涂薄层分型剂，以便从压型中取出熔模，分型剂为机油。分型剂层越薄越好，使熔模能更好地复制压型的表面，提高熔模的表面光洁度。</w:t>
            </w:r>
          </w:p>
          <w:p w14:paraId="5684C2DA">
            <w:pPr>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熔模的组装是把形成铸件的熔模和形成浇冒口系统的熔模组合在一起，本项目采用的组装方式为焊接法，用薄片状的烙铁，将熔模的连接部位熔化，使熔模焊在一起。</w:t>
            </w:r>
          </w:p>
          <w:p w14:paraId="03CE0B83">
            <w:pPr>
              <w:snapToGrid w:val="0"/>
              <w:spacing w:line="360" w:lineRule="auto"/>
              <w:ind w:firstLine="482" w:firstLineChars="200"/>
              <w:rPr>
                <w:rFonts w:hint="default" w:ascii="Times New Roman" w:hAnsi="Times New Roman" w:cs="Times New Roman"/>
                <w:color w:val="auto"/>
                <w:sz w:val="24"/>
              </w:rPr>
            </w:pPr>
            <w:r>
              <w:rPr>
                <w:rFonts w:hint="default" w:ascii="Times New Roman" w:hAnsi="Times New Roman" w:cs="Times New Roman"/>
                <w:b/>
                <w:bCs/>
                <w:color w:val="auto"/>
                <w:sz w:val="24"/>
              </w:rPr>
              <w:t>型壳的制造：</w:t>
            </w:r>
            <w:r>
              <w:rPr>
                <w:rFonts w:hint="default" w:ascii="Times New Roman" w:hAnsi="Times New Roman" w:cs="Times New Roman"/>
                <w:color w:val="auto"/>
                <w:sz w:val="24"/>
              </w:rPr>
              <w:t>将模组浸涂粘结剂后，撒上料状耐火材料，再经干燥、硬化，如此反复多次，使耐火涂挂层达到需要的厚度为止，这样便在模组上形成了多层型壳，通常将近其停放一段时间，使其充分硬化，然后熔失模组，便得到多层型壳，经过焙烧后就可直接进行浇注。型壳完全硬化后，需从型壳中熔去模组，因模组常用蜡基模料制成，所以也把此工序称为脱蜡。根据加热方法的不同，有很多，脱蜡方法，用得较多的是热水法和同压蒸汽法，本项目采用热水脱蜡法。</w:t>
            </w:r>
          </w:p>
          <w:p w14:paraId="5E7FE71E">
            <w:pPr>
              <w:snapToGrid w:val="0"/>
              <w:spacing w:line="360" w:lineRule="auto"/>
              <w:ind w:firstLine="482" w:firstLineChars="200"/>
              <w:rPr>
                <w:rFonts w:hint="default" w:ascii="Times New Roman" w:hAnsi="Times New Roman" w:cs="Times New Roman"/>
                <w:color w:val="auto"/>
                <w:sz w:val="24"/>
              </w:rPr>
            </w:pPr>
            <w:r>
              <w:rPr>
                <w:rFonts w:hint="default" w:ascii="Times New Roman" w:hAnsi="Times New Roman" w:cs="Times New Roman"/>
                <w:b/>
                <w:bCs/>
                <w:color w:val="auto"/>
                <w:sz w:val="24"/>
              </w:rPr>
              <w:t>将脱蜡工艺：</w:t>
            </w:r>
            <w:r>
              <w:rPr>
                <w:rFonts w:hint="default" w:ascii="Times New Roman" w:hAnsi="Times New Roman" w:cs="Times New Roman"/>
                <w:color w:val="auto"/>
                <w:sz w:val="24"/>
              </w:rPr>
              <w:t>将型壳完全浸没在脱蜡桶中，脱蜡桶中盛放热水，桶中的热水采用直接通入蒸汽的方式进行加热，型壳中的固体蜡在热水加热下熔化，因与水的密度不同（小于水的密度），而全部浮在水面上，通过水桶边缘的小孔外流至静置桶中进行沉淀除杂，除杂后的石蜡回用于工艺，得到的少量砂子等杂质沉淀在桶底，定期进行清除。脱蜡桶中的水循环使用，不外排，定时补充新鲜水。</w:t>
            </w:r>
          </w:p>
          <w:p w14:paraId="07D54B67">
            <w:pPr>
              <w:snapToGrid w:val="0"/>
              <w:spacing w:line="360" w:lineRule="auto"/>
              <w:ind w:firstLine="482" w:firstLineChars="200"/>
              <w:rPr>
                <w:rFonts w:hint="default" w:ascii="Times New Roman" w:hAnsi="Times New Roman" w:cs="Times New Roman"/>
                <w:color w:val="auto"/>
                <w:sz w:val="24"/>
              </w:rPr>
            </w:pPr>
            <w:r>
              <w:rPr>
                <w:rFonts w:hint="default" w:ascii="Times New Roman" w:hAnsi="Times New Roman" w:cs="Times New Roman"/>
                <w:b/>
                <w:bCs/>
                <w:color w:val="auto"/>
                <w:sz w:val="24"/>
              </w:rPr>
              <w:t>熔模铸件的浇注和清理：</w:t>
            </w:r>
            <w:r>
              <w:rPr>
                <w:rFonts w:hint="default" w:ascii="Times New Roman" w:hAnsi="Times New Roman" w:cs="Times New Roman"/>
                <w:color w:val="auto"/>
                <w:sz w:val="24"/>
              </w:rPr>
              <w:t>型壳从焙烧炉中取出后，在高温下进行由浇注。此时金属在型壳中冷却较慢，能在流动性较高的情况下充填铸型，故铸件能很好复制型腔的形状，提高了铸件的精度。</w:t>
            </w:r>
          </w:p>
          <w:p w14:paraId="5D29043B">
            <w:pPr>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将铸件进行抛丸、</w:t>
            </w:r>
            <w:r>
              <w:rPr>
                <w:rFonts w:hint="default" w:ascii="Times New Roman" w:hAnsi="Times New Roman" w:cs="Times New Roman"/>
                <w:color w:val="auto"/>
                <w:sz w:val="24"/>
                <w:lang w:val="en-US" w:eastAsia="zh-CN"/>
              </w:rPr>
              <w:t>机加工、</w:t>
            </w:r>
            <w:r>
              <w:rPr>
                <w:rFonts w:hint="default" w:ascii="Times New Roman" w:hAnsi="Times New Roman" w:cs="Times New Roman"/>
                <w:color w:val="auto"/>
                <w:sz w:val="24"/>
              </w:rPr>
              <w:t>人工打磨处理后即为产品。</w:t>
            </w:r>
          </w:p>
          <w:p w14:paraId="3C369A15">
            <w:pPr>
              <w:snapToGrid w:val="0"/>
              <w:spacing w:line="360" w:lineRule="auto"/>
              <w:ind w:firstLine="480" w:firstLineChars="200"/>
              <w:rPr>
                <w:rFonts w:hint="default" w:ascii="Times New Roman" w:hAnsi="Times New Roman" w:cs="Times New Roman"/>
                <w:b/>
                <w:color w:val="auto"/>
                <w:sz w:val="24"/>
                <w:highlight w:val="none"/>
              </w:rPr>
            </w:pPr>
            <w:r>
              <w:rPr>
                <w:rFonts w:hint="default" w:ascii="Times New Roman" w:hAnsi="Times New Roman" w:cs="Times New Roman"/>
                <w:color w:val="auto"/>
                <w:sz w:val="24"/>
              </w:rPr>
              <w:t>该工序型壳破碎后可作为耐火材料反复循环使用，只有极少量夹杂金属小块的不能再次利用。</w:t>
            </w:r>
          </w:p>
          <w:p w14:paraId="29F59B0C">
            <w:pPr>
              <w:numPr>
                <w:ilvl w:val="0"/>
                <w:numId w:val="8"/>
              </w:numPr>
              <w:adjustRightInd w:val="0"/>
              <w:snapToGrid w:val="0"/>
              <w:spacing w:line="360" w:lineRule="auto"/>
              <w:ind w:left="0" w:leftChars="0" w:firstLine="48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原有项目产污分析</w:t>
            </w:r>
          </w:p>
          <w:p w14:paraId="32F88B64">
            <w:pPr>
              <w:pStyle w:val="2"/>
              <w:numPr>
                <w:ilvl w:val="0"/>
                <w:numId w:val="0"/>
              </w:numPr>
              <w:spacing w:line="360" w:lineRule="auto"/>
              <w:ind w:firstLine="480" w:firstLineChars="200"/>
              <w:rPr>
                <w:rFonts w:hint="default" w:ascii="Times New Roman" w:hAnsi="Times New Roman" w:cs="Times New Roman"/>
                <w:b/>
                <w:bCs/>
                <w:color w:val="auto"/>
                <w:sz w:val="24"/>
                <w:szCs w:val="24"/>
              </w:rPr>
            </w:pPr>
            <w:r>
              <w:rPr>
                <w:rFonts w:hint="default" w:ascii="Times New Roman" w:hAnsi="Times New Roman" w:cs="Times New Roman"/>
                <w:bCs/>
                <w:color w:val="auto"/>
                <w:sz w:val="24"/>
                <w:szCs w:val="24"/>
              </w:rPr>
              <w:t>原项目污染物排放总量根据其相关环保审批文件进行核算。</w:t>
            </w:r>
            <w:r>
              <w:rPr>
                <w:rFonts w:hint="default" w:ascii="Times New Roman" w:hAnsi="Times New Roman" w:cs="Times New Roman"/>
                <w:bCs/>
                <w:color w:val="auto"/>
                <w:sz w:val="24"/>
                <w:szCs w:val="24"/>
                <w:lang w:val="en-US" w:eastAsia="zh-CN"/>
              </w:rPr>
              <w:t>原项目污染物排放情况引用企业常规监测报告。</w:t>
            </w:r>
          </w:p>
          <w:p w14:paraId="01C85E7C">
            <w:pPr>
              <w:pStyle w:val="2"/>
              <w:numPr>
                <w:ilvl w:val="0"/>
                <w:numId w:val="0"/>
              </w:numPr>
              <w:spacing w:line="360" w:lineRule="auto"/>
              <w:ind w:left="480" w:leftChars="0"/>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rPr>
              <w:t>①</w:t>
            </w:r>
            <w:r>
              <w:rPr>
                <w:rFonts w:hint="default" w:ascii="Times New Roman" w:hAnsi="Times New Roman" w:cs="Times New Roman"/>
                <w:b/>
                <w:bCs/>
                <w:color w:val="auto"/>
                <w:sz w:val="24"/>
                <w:szCs w:val="24"/>
                <w:lang w:val="en-US" w:eastAsia="zh-CN"/>
              </w:rPr>
              <w:t>废气</w:t>
            </w:r>
          </w:p>
          <w:p w14:paraId="52E2D847">
            <w:pPr>
              <w:pStyle w:val="2"/>
              <w:numPr>
                <w:ilvl w:val="0"/>
                <w:numId w:val="0"/>
              </w:numPr>
              <w:spacing w:line="360" w:lineRule="auto"/>
              <w:ind w:firstLine="480" w:firstLineChars="20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t>项目一期主要废气为铸造砂尘（混砂、造型、破模、开箱清砂等工序）、抛丸废气、中频炉化钢废气，污染因子为颗粒物。铸造砂尘产生量为0.1t/a，无组织排放，中频炉化钢废气颗粒物产生量为3.75t/a，经布袋除尘器处理后经15m排气筒DA001排放，有组织排放量为0.375t/a。抛丸废气原环评未进行核算，本报告按照现行法规进行核算，</w:t>
            </w:r>
            <w:r>
              <w:rPr>
                <w:rFonts w:hint="default" w:ascii="Times New Roman" w:hAnsi="Times New Roman" w:cs="Times New Roman"/>
                <w:bCs/>
                <w:color w:val="auto"/>
                <w:spacing w:val="-10"/>
                <w:sz w:val="24"/>
              </w:rPr>
              <w:t>据《排放源统计调查产排污核算方法和系数手册》（公告2021年第24号）中《33-37</w:t>
            </w:r>
            <w:r>
              <w:rPr>
                <w:rFonts w:hint="default" w:ascii="Times New Roman" w:hAnsi="Times New Roman" w:cs="Times New Roman"/>
                <w:bCs/>
                <w:color w:val="auto"/>
                <w:spacing w:val="-10"/>
                <w:sz w:val="24"/>
                <w:lang w:val="en-US" w:eastAsia="zh-CN"/>
              </w:rPr>
              <w:t>，</w:t>
            </w:r>
            <w:r>
              <w:rPr>
                <w:rFonts w:hint="default" w:ascii="Times New Roman" w:hAnsi="Times New Roman" w:cs="Times New Roman"/>
                <w:bCs/>
                <w:color w:val="auto"/>
                <w:spacing w:val="-10"/>
                <w:sz w:val="24"/>
              </w:rPr>
              <w:t>431-434机械行业系数手册》中的06预处理“钢材（含板材、构件等）、铝材（含板材、构件等）、铝合金（含板材、构件等）、铁材、其它金属材料—抛丸、喷砂、打磨、滚筒颗粒物的产污系数为2.19千克/吨-原料</w:t>
            </w:r>
            <w:r>
              <w:rPr>
                <w:rFonts w:hint="default" w:ascii="Times New Roman" w:hAnsi="Times New Roman" w:cs="Times New Roman"/>
                <w:bCs/>
                <w:color w:val="auto"/>
                <w:spacing w:val="-10"/>
                <w:sz w:val="24"/>
                <w:lang w:eastAsia="zh-CN"/>
              </w:rPr>
              <w:t>，</w:t>
            </w:r>
            <w:r>
              <w:rPr>
                <w:rFonts w:hint="default" w:ascii="Times New Roman" w:hAnsi="Times New Roman" w:cs="Times New Roman"/>
                <w:bCs/>
                <w:color w:val="auto"/>
                <w:sz w:val="24"/>
                <w:szCs w:val="24"/>
                <w:lang w:val="en-US" w:eastAsia="zh-CN"/>
              </w:rPr>
              <w:t>根据表2-12 钢胚用量为250t/a，则抛丸粉尘产生量为0.548t/a，抛丸废气经布袋除尘器处理后经15m排气筒DA001排放，项目一期环评布袋除尘器处理效率为90%，参照项目二期环评对抛丸废气收集效率为85%，则抛丸废气有组织排放量为0.047t/a，抛丸无组织排放的颗粒物为0.082t/a。综上，项目一期有组织排放颗粒物为0.422t/a，无组织排放颗粒物为0.182t/a。</w:t>
            </w:r>
          </w:p>
          <w:p w14:paraId="49091F63">
            <w:pPr>
              <w:pStyle w:val="2"/>
              <w:numPr>
                <w:ilvl w:val="0"/>
                <w:numId w:val="0"/>
              </w:numPr>
              <w:spacing w:line="360" w:lineRule="auto"/>
              <w:ind w:firstLine="480" w:firstLineChars="20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t>项目二期主要废气为粘土砂（湿型/芯工艺）生产线中频炉熔化工序产生的熔化颗粒物；工艺废气砂再生（磁选、破碎、筛分等）工序、落砂工序、混砂、造型和抛丸工序产生的颗粒物。熔化颗粒物产生量为4.8t/a，经布袋除尘器处理后经15m排气筒DA002排放，有组织排放量0.02t/a；工艺废气颗粒物产生量为256t/a，经双滤筒除尘器处理后经15m排气筒DA003排放，有组织排放量为1.088t/a。粘土砂（湿型/芯工艺）生产线生产中未被收集的无组织排放的颗粒物为0.391t/a。综上，项目二期有组织排放的颗粒物为1.108t/a，无组织排放颗粒物为0.391t/a。</w:t>
            </w:r>
          </w:p>
          <w:p w14:paraId="17645DD2">
            <w:pPr>
              <w:pStyle w:val="2"/>
              <w:numPr>
                <w:ilvl w:val="0"/>
                <w:numId w:val="0"/>
              </w:numPr>
              <w:spacing w:line="360" w:lineRule="auto"/>
              <w:ind w:firstLine="480" w:firstLineChars="20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t>项目三期主要废气为消失模铸造工艺（泡沫法）生产线中频炉熔化工序产生的熔化颗粒物；浇注过程气化泡沫产生的有机废气（TVOC表征）；造型及砂处理工序产生的颗粒物。熔化颗粒物产生量为4.2t/a，经布袋除尘器处理后经15m排气筒DA004排放，有组织排放量0.018t/a；根据原项目三期消失模铸造工艺（泡沫法）环评，造型及砂处理工序产生的颗粒物为原料石英砂用量的1.5%，根据表2-12 石英砂用量为200t/a，则颗粒物产生量为3t，经滤筒除尘器处理后经15m排气筒DA004排放，有组织排放量0.013t/a；浇注废气产生的TVOC量为1.007t/a，经</w:t>
            </w:r>
            <w:r>
              <w:rPr>
                <w:rFonts w:hint="default" w:ascii="Times New Roman" w:hAnsi="Times New Roman" w:cs="Times New Roman"/>
                <w:color w:val="auto"/>
                <w:sz w:val="24"/>
                <w:szCs w:val="24"/>
                <w:highlight w:val="none"/>
              </w:rPr>
              <w:t>UV光解+活性炭吸附塔</w:t>
            </w:r>
            <w:r>
              <w:rPr>
                <w:rFonts w:hint="default" w:ascii="Times New Roman" w:hAnsi="Times New Roman" w:cs="Times New Roman"/>
                <w:color w:val="auto"/>
                <w:sz w:val="24"/>
                <w:szCs w:val="24"/>
                <w:highlight w:val="none"/>
                <w:lang w:val="en-US" w:eastAsia="zh-CN"/>
              </w:rPr>
              <w:t>处理后接</w:t>
            </w:r>
            <w:r>
              <w:rPr>
                <w:rFonts w:hint="default" w:ascii="Times New Roman" w:hAnsi="Times New Roman" w:cs="Times New Roman"/>
                <w:bCs/>
                <w:color w:val="auto"/>
                <w:sz w:val="24"/>
                <w:szCs w:val="24"/>
                <w:lang w:val="en-US" w:eastAsia="zh-CN"/>
              </w:rPr>
              <w:t>排气筒DA004排放，</w:t>
            </w:r>
            <w:r>
              <w:rPr>
                <w:rFonts w:hint="default" w:ascii="Times New Roman" w:hAnsi="Times New Roman" w:cs="Times New Roman"/>
                <w:color w:val="auto"/>
                <w:sz w:val="24"/>
                <w:szCs w:val="24"/>
                <w:highlight w:val="none"/>
              </w:rPr>
              <w:t>UV光解+活性炭吸附塔</w:t>
            </w:r>
            <w:r>
              <w:rPr>
                <w:rFonts w:hint="default" w:ascii="Times New Roman" w:hAnsi="Times New Roman" w:cs="Times New Roman"/>
                <w:color w:val="auto"/>
                <w:sz w:val="24"/>
                <w:szCs w:val="24"/>
                <w:highlight w:val="none"/>
                <w:lang w:val="en-US" w:eastAsia="zh-CN"/>
              </w:rPr>
              <w:t>收集、处理效率按照现行法规核算，</w:t>
            </w:r>
            <w:r>
              <w:rPr>
                <w:rFonts w:hint="default" w:ascii="Times New Roman" w:hAnsi="Times New Roman" w:cs="Times New Roman"/>
                <w:color w:val="auto"/>
                <w:kern w:val="2"/>
                <w:sz w:val="24"/>
                <w:szCs w:val="24"/>
                <w:highlight w:val="none"/>
                <w:lang w:val="en-US" w:eastAsia="zh-CN" w:bidi="ar-SA"/>
              </w:rPr>
              <w:t>根据</w:t>
            </w:r>
            <w:r>
              <w:rPr>
                <w:rFonts w:hint="default" w:ascii="Times New Roman" w:hAnsi="Times New Roman" w:cs="Times New Roman"/>
                <w:bCs/>
                <w:color w:val="auto"/>
                <w:spacing w:val="-10"/>
                <w:sz w:val="24"/>
                <w:szCs w:val="24"/>
                <w:highlight w:val="none"/>
              </w:rPr>
              <w:t>《广东省生态环境厅关于印发工业源挥发性有机物和氮氧化物减排量核算方法的通知》（粤环函[2023]538号）中《广东省工业源挥发性有机物减排量核算方法（2023年修订版）》中“表3.3-2废气收集集气效率参考值，</w:t>
            </w:r>
            <w:r>
              <w:rPr>
                <w:rFonts w:hint="default" w:ascii="Times New Roman" w:hAnsi="Times New Roman" w:cs="Times New Roman"/>
                <w:bCs/>
                <w:color w:val="auto"/>
                <w:spacing w:val="-10"/>
                <w:sz w:val="24"/>
                <w:szCs w:val="24"/>
                <w:highlight w:val="none"/>
                <w:lang w:val="en-US" w:eastAsia="zh-CN"/>
              </w:rPr>
              <w:t>采用外部集气罩，相应工位所有VOCs逸散点控制风速不小于0.3m/s时废气收集效率为30%，</w:t>
            </w:r>
            <w:r>
              <w:rPr>
                <w:rFonts w:hint="default" w:ascii="Times New Roman" w:hAnsi="Times New Roman" w:cs="Times New Roman"/>
                <w:color w:val="auto"/>
                <w:sz w:val="24"/>
                <w:szCs w:val="24"/>
                <w:highlight w:val="none"/>
              </w:rPr>
              <w:t>参考《广东省家具制造行业挥发性有机废气治理技术指南》（2015 年1 月1日实施）中吸附法对有机废气处理率为50%~80%，</w:t>
            </w:r>
            <w:r>
              <w:rPr>
                <w:rFonts w:hint="default" w:ascii="Times New Roman" w:hAnsi="Times New Roman" w:cs="Times New Roman"/>
                <w:color w:val="auto"/>
                <w:sz w:val="24"/>
                <w:szCs w:val="24"/>
                <w:highlight w:val="none"/>
                <w:lang w:val="en-US" w:eastAsia="zh-CN"/>
              </w:rPr>
              <w:t>原</w:t>
            </w:r>
            <w:r>
              <w:rPr>
                <w:rFonts w:hint="default" w:ascii="Times New Roman" w:hAnsi="Times New Roman" w:cs="Times New Roman"/>
                <w:color w:val="auto"/>
                <w:sz w:val="24"/>
                <w:szCs w:val="24"/>
                <w:highlight w:val="none"/>
              </w:rPr>
              <w:t>项目</w:t>
            </w:r>
            <w:r>
              <w:rPr>
                <w:rFonts w:hint="default" w:ascii="Times New Roman" w:hAnsi="Times New Roman" w:cs="Times New Roman"/>
                <w:color w:val="auto"/>
                <w:sz w:val="24"/>
                <w:szCs w:val="24"/>
                <w:highlight w:val="none"/>
                <w:lang w:val="en-US" w:eastAsia="zh-CN"/>
              </w:rPr>
              <w:t>三期浇注工序</w:t>
            </w:r>
            <w:r>
              <w:rPr>
                <w:rFonts w:hint="default" w:ascii="Times New Roman" w:hAnsi="Times New Roman" w:cs="Times New Roman"/>
                <w:color w:val="auto"/>
                <w:sz w:val="24"/>
                <w:szCs w:val="24"/>
                <w:highlight w:val="none"/>
              </w:rPr>
              <w:t>采用</w:t>
            </w:r>
            <w:r>
              <w:rPr>
                <w:rFonts w:hint="default" w:ascii="Times New Roman" w:hAnsi="Times New Roman" w:cs="Times New Roman"/>
                <w:color w:val="auto"/>
                <w:sz w:val="24"/>
                <w:szCs w:val="24"/>
                <w:highlight w:val="none"/>
                <w:lang w:val="en-US" w:eastAsia="zh-CN"/>
              </w:rPr>
              <w:t>一</w:t>
            </w:r>
            <w:r>
              <w:rPr>
                <w:rFonts w:hint="default" w:ascii="Times New Roman" w:hAnsi="Times New Roman" w:cs="Times New Roman"/>
                <w:color w:val="auto"/>
                <w:sz w:val="24"/>
                <w:szCs w:val="24"/>
                <w:highlight w:val="none"/>
              </w:rPr>
              <w:t>级活性炭对有机废气进行吸附处理，处理效率取值上按保守中位数取值，单级活性炭对有机废气处理效率折中取65%，参照《排放源统计调查产排污核算方法和系数手册》（2021年6月9日发布）中</w:t>
            </w:r>
            <w:r>
              <w:rPr>
                <w:rFonts w:hint="default" w:ascii="Times New Roman" w:hAnsi="Times New Roman" w:cs="Times New Roman"/>
                <w:color w:val="auto"/>
                <w:sz w:val="24"/>
                <w:szCs w:val="24"/>
                <w:highlight w:val="none"/>
                <w:lang w:eastAsia="zh-CN"/>
              </w:rPr>
              <w:t>《33金属制品业、34通用设备制造业、35专用设备制造业、36汽车制造业、37铁路、船舶、航空航天和其他运输设备制造业、431金属制品修理、432通用设备修理、433专用设备修理、434铁路、船舶、航空航天等运输设备修理(不包括电镀工艺)行业系数表》</w:t>
            </w:r>
            <w:r>
              <w:rPr>
                <w:rFonts w:hint="default" w:ascii="Times New Roman" w:hAnsi="Times New Roman" w:cs="Times New Roman"/>
                <w:color w:val="auto"/>
                <w:sz w:val="24"/>
                <w:szCs w:val="24"/>
                <w:highlight w:val="none"/>
                <w:lang w:val="en-US" w:eastAsia="zh-CN"/>
              </w:rPr>
              <w:t>中表01 铸造，造型/浇注（消失模/实型），挥发性有机物采取光解末端治理技术的处理效率为9%，则原项目三期消失模浇注工序产生的有机废气经“</w:t>
            </w:r>
            <w:r>
              <w:rPr>
                <w:rFonts w:hint="default" w:ascii="Times New Roman" w:hAnsi="Times New Roman" w:cs="Times New Roman"/>
                <w:color w:val="auto"/>
                <w:sz w:val="24"/>
                <w:szCs w:val="24"/>
                <w:highlight w:val="none"/>
              </w:rPr>
              <w:t>UV光解+活性炭吸附塔</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处理后有组织排放量为0.096t/a、无组织排放量为0.705t/a，合计排放挥发性有机物0.801t/a。</w:t>
            </w:r>
            <w:r>
              <w:rPr>
                <w:rFonts w:hint="default" w:ascii="Times New Roman" w:hAnsi="Times New Roman" w:cs="Times New Roman"/>
                <w:bCs/>
                <w:color w:val="auto"/>
                <w:sz w:val="24"/>
                <w:szCs w:val="24"/>
                <w:lang w:val="en-US" w:eastAsia="zh-CN"/>
              </w:rPr>
              <w:t>消失模铸造工艺（泡沫法）生产线生产中未被收集的颗粒物约为产生量的15%，约99%在厂房内降落，无组织排放的颗粒物为0.011t/a。综上，项目三期有组织排放的颗粒物为0.031t/a，无组织排放颗粒物为0.011t/a，有组织排放的TVOC为0.096t/a，无组织排放TVOC为0.705t/a。</w:t>
            </w:r>
          </w:p>
          <w:p w14:paraId="6802072C">
            <w:pPr>
              <w:pStyle w:val="2"/>
              <w:numPr>
                <w:ilvl w:val="0"/>
                <w:numId w:val="0"/>
              </w:numPr>
              <w:spacing w:line="360" w:lineRule="auto"/>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cs="Times New Roman"/>
                <w:bCs/>
                <w:color w:val="auto"/>
                <w:sz w:val="24"/>
                <w:szCs w:val="24"/>
                <w:lang w:val="en-US" w:eastAsia="zh-CN"/>
              </w:rPr>
              <w:t>项目四期主要废气为熔化颗粒物；树脂砂生产线浇铸废气（TVOC、甲醛和非甲烷总烃表征）；粉尘颗粒物（落砂、抛丸、混砂、砂处理颗粒物）；消失模（泡沫法）生产线浇注过程中产生的有机废气（TVOC表征）等。熔化颗粒物产生量为6t/a，经布袋除尘器处理后经15m高排气筒（DA006）排放，有组织排放量为0.026t/a；粉尘颗粒物（落砂、抛丸、混砂、砂处理颗粒物）产生量为192.3t/a，经布袋除尘器处理后经15m高排气筒（DA007）排放，有组织排放量为0.817t/a；消失模（泡沫法）生产线浇注过程TVOC产生量为1.007t/a，经</w:t>
            </w:r>
            <w:r>
              <w:rPr>
                <w:rFonts w:hint="default" w:ascii="Times New Roman" w:hAnsi="Times New Roman" w:cs="Times New Roman"/>
                <w:color w:val="auto"/>
                <w:sz w:val="24"/>
                <w:szCs w:val="24"/>
                <w:highlight w:val="none"/>
                <w:lang w:val="en-US" w:eastAsia="zh-CN"/>
              </w:rPr>
              <w:t>水喷淋</w:t>
            </w:r>
            <w:r>
              <w:rPr>
                <w:rFonts w:hint="default" w:ascii="Times New Roman" w:hAnsi="Times New Roman" w:cs="Times New Roman"/>
                <w:color w:val="auto"/>
                <w:sz w:val="24"/>
                <w:szCs w:val="24"/>
                <w:highlight w:val="none"/>
              </w:rPr>
              <w:t>+活性炭吸附塔</w:t>
            </w:r>
            <w:r>
              <w:rPr>
                <w:rFonts w:hint="default" w:ascii="Times New Roman" w:hAnsi="Times New Roman" w:cs="Times New Roman"/>
                <w:color w:val="auto"/>
                <w:sz w:val="24"/>
                <w:szCs w:val="24"/>
                <w:highlight w:val="none"/>
                <w:lang w:val="en-US" w:eastAsia="zh-CN"/>
              </w:rPr>
              <w:t>处理后接</w:t>
            </w:r>
            <w:r>
              <w:rPr>
                <w:rFonts w:hint="default" w:ascii="Times New Roman" w:hAnsi="Times New Roman" w:cs="Times New Roman"/>
                <w:bCs/>
                <w:color w:val="auto"/>
                <w:sz w:val="24"/>
                <w:szCs w:val="24"/>
                <w:lang w:val="en-US" w:eastAsia="zh-CN"/>
              </w:rPr>
              <w:t>排气筒DA008排放，有组织排放量为0.101t/a；树脂砂生产线浇铸非甲烷总烃产生量为0.35t/a（其中甲醛产生量为0.02t/a），TVOC产生量为0.0575t/a，无组织排放；项目三期未被收集的颗粒物无组织排放量为0.397t/a。综上，项目四期有组织排放的颗粒物为0.843t/a，无组织排放颗粒物为0.397t/a，有组织排放的TVOC为0.101t/a，无组织排放TVOC为0.0575t/a，无组织排放非甲烷总烃为0.35t/a（其中甲醛产生量为0.02t/a）。</w:t>
            </w:r>
          </w:p>
          <w:p w14:paraId="153DF6D0">
            <w:pPr>
              <w:pStyle w:val="2"/>
              <w:numPr>
                <w:ilvl w:val="0"/>
                <w:numId w:val="0"/>
              </w:numPr>
              <w:spacing w:line="360" w:lineRule="auto"/>
              <w:ind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cs="Times New Roman"/>
                <w:color w:val="auto"/>
                <w:sz w:val="24"/>
                <w:szCs w:val="24"/>
                <w:lang w:val="en-US" w:eastAsia="zh-CN"/>
              </w:rPr>
              <w:t>项目五期主要废气为熔化颗粒物；</w:t>
            </w:r>
            <w:r>
              <w:rPr>
                <w:rFonts w:hint="default" w:ascii="Times New Roman" w:hAnsi="Times New Roman" w:cs="Times New Roman"/>
                <w:bCs/>
                <w:color w:val="auto"/>
                <w:sz w:val="24"/>
                <w:szCs w:val="24"/>
                <w:lang w:val="en-US" w:eastAsia="zh-CN"/>
              </w:rPr>
              <w:t>树脂砂生产线浇铸有机废气（TVOC、甲醛和非甲烷总烃表征）</w:t>
            </w:r>
            <w:r>
              <w:rPr>
                <w:rFonts w:hint="default" w:ascii="Times New Roman" w:hAnsi="Times New Roman" w:cs="Times New Roman"/>
                <w:color w:val="auto"/>
                <w:sz w:val="24"/>
                <w:szCs w:val="24"/>
                <w:lang w:val="en-US" w:eastAsia="zh-CN"/>
              </w:rPr>
              <w:t>；</w:t>
            </w:r>
            <w:r>
              <w:rPr>
                <w:rFonts w:hint="default" w:ascii="Times New Roman" w:hAnsi="Times New Roman" w:cs="Times New Roman"/>
                <w:bCs/>
                <w:color w:val="auto"/>
                <w:sz w:val="24"/>
                <w:szCs w:val="24"/>
                <w:lang w:val="en-US" w:eastAsia="zh-CN"/>
              </w:rPr>
              <w:t>粉尘颗粒物（落砂、抛丸、混砂、砂处理颗粒物）、焙烧炉烟气、消失模（泡沫法）生产线浇注过程中产生的有机废气（TVOC表征）。熔化颗粒物产生量为6t/a，经布袋除尘器处理后经15m高排气筒（DA009）排放，有组织排放量为0.026t/a；粉尘颗粒物（落砂、抛丸、混砂、砂处理颗粒物）产生量为192.3t/a，经布袋除尘器处理后经15m高排气筒（DA009）排放，有组织排放量为0.817t/a；消失模（泡沫法）生产线浇注过程TVOC产生量为0.507t/a，经</w:t>
            </w:r>
            <w:r>
              <w:rPr>
                <w:rFonts w:hint="default" w:ascii="Times New Roman" w:hAnsi="Times New Roman" w:cs="Times New Roman"/>
                <w:color w:val="auto"/>
                <w:sz w:val="24"/>
                <w:szCs w:val="24"/>
                <w:highlight w:val="none"/>
                <w:lang w:val="en-US" w:eastAsia="zh-CN"/>
              </w:rPr>
              <w:t>水喷淋</w:t>
            </w:r>
            <w:r>
              <w:rPr>
                <w:rFonts w:hint="default" w:ascii="Times New Roman" w:hAnsi="Times New Roman" w:cs="Times New Roman"/>
                <w:color w:val="auto"/>
                <w:sz w:val="24"/>
                <w:szCs w:val="24"/>
                <w:highlight w:val="none"/>
              </w:rPr>
              <w:t>+活性炭吸附塔</w:t>
            </w:r>
            <w:r>
              <w:rPr>
                <w:rFonts w:hint="default" w:ascii="Times New Roman" w:hAnsi="Times New Roman" w:cs="Times New Roman"/>
                <w:color w:val="auto"/>
                <w:sz w:val="24"/>
                <w:szCs w:val="24"/>
                <w:highlight w:val="none"/>
                <w:lang w:val="en-US" w:eastAsia="zh-CN"/>
              </w:rPr>
              <w:t>处理后接</w:t>
            </w:r>
            <w:r>
              <w:rPr>
                <w:rFonts w:hint="default" w:ascii="Times New Roman" w:hAnsi="Times New Roman" w:cs="Times New Roman"/>
                <w:bCs/>
                <w:color w:val="auto"/>
                <w:sz w:val="24"/>
                <w:szCs w:val="24"/>
                <w:lang w:val="en-US" w:eastAsia="zh-CN"/>
              </w:rPr>
              <w:t>排气筒DA0010排放，有组织排放量为0.051t/a；</w:t>
            </w:r>
            <w:r>
              <w:rPr>
                <w:rFonts w:hint="default" w:ascii="Times New Roman" w:hAnsi="Times New Roman" w:cs="Times New Roman"/>
                <w:color w:val="auto"/>
                <w:sz w:val="24"/>
                <w:szCs w:val="24"/>
                <w:highlight w:val="none"/>
                <w:lang w:val="en-US" w:eastAsia="zh-CN"/>
              </w:rPr>
              <w:t>焙烧炉烟气中颗粒物有组织排放量为0.24t/a、二氧化硫排放量为0.001t/a、氮氧化物排放量为0.063t/a，经15m排气筒DA011排放；</w:t>
            </w:r>
            <w:r>
              <w:rPr>
                <w:rFonts w:hint="default" w:ascii="Times New Roman" w:hAnsi="Times New Roman" w:cs="Times New Roman"/>
                <w:bCs/>
                <w:color w:val="auto"/>
                <w:sz w:val="24"/>
                <w:szCs w:val="24"/>
                <w:lang w:val="en-US" w:eastAsia="zh-CN"/>
              </w:rPr>
              <w:t>树脂砂生产线浇铸非甲烷总烃产生量为0.35t/a（其中甲醛产生量为0.02t/a），TVOC产生量为0.0575t/a，无组织排放；项目五期未被收集的颗粒物无组织排放量为0.397t/a。综上，项目五期有组织排放的颗粒物为1.083t/a，无组织排放颗粒物为0.397t/a，有组织排放的TVOC为0.051t/a，无组织排放TVOC为0.0575t/a，无组织排放非甲烷总烃为0.35t/a（其中甲醛产生量为0.02t/a），有组织排放二氧化硫为</w:t>
            </w:r>
            <w:r>
              <w:rPr>
                <w:rFonts w:hint="default" w:ascii="Times New Roman" w:hAnsi="Times New Roman" w:cs="Times New Roman"/>
                <w:color w:val="auto"/>
                <w:sz w:val="24"/>
                <w:szCs w:val="24"/>
                <w:highlight w:val="none"/>
                <w:lang w:val="en-US" w:eastAsia="zh-CN"/>
              </w:rPr>
              <w:t>0.001t/a</w:t>
            </w:r>
            <w:r>
              <w:rPr>
                <w:rFonts w:hint="default" w:ascii="Times New Roman" w:hAnsi="Times New Roman" w:cs="Times New Roman"/>
                <w:bCs/>
                <w:color w:val="auto"/>
                <w:sz w:val="24"/>
                <w:szCs w:val="24"/>
                <w:lang w:val="en-US" w:eastAsia="zh-CN"/>
              </w:rPr>
              <w:t>，有组织排放氮氧化物为</w:t>
            </w:r>
            <w:r>
              <w:rPr>
                <w:rFonts w:hint="default" w:ascii="Times New Roman" w:hAnsi="Times New Roman" w:cs="Times New Roman"/>
                <w:color w:val="auto"/>
                <w:sz w:val="24"/>
                <w:szCs w:val="24"/>
                <w:highlight w:val="none"/>
                <w:lang w:val="en-US" w:eastAsia="zh-CN"/>
              </w:rPr>
              <w:t>0.063t/a</w:t>
            </w:r>
            <w:r>
              <w:rPr>
                <w:rFonts w:hint="default" w:ascii="Times New Roman" w:hAnsi="Times New Roman" w:cs="Times New Roman"/>
                <w:bCs/>
                <w:color w:val="auto"/>
                <w:sz w:val="24"/>
                <w:szCs w:val="24"/>
                <w:lang w:val="en-US" w:eastAsia="zh-CN"/>
              </w:rPr>
              <w:t>。</w:t>
            </w:r>
          </w:p>
          <w:p w14:paraId="5A067BD6">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原项目</w:t>
            </w:r>
            <w:r>
              <w:rPr>
                <w:rFonts w:hint="default" w:ascii="Times New Roman" w:hAnsi="Times New Roman" w:cs="Times New Roman"/>
                <w:color w:val="auto"/>
                <w:sz w:val="24"/>
                <w:szCs w:val="24"/>
              </w:rPr>
              <w:t>废气污染物具体产排情况如下：</w:t>
            </w:r>
          </w:p>
          <w:p w14:paraId="7FA49B6D">
            <w:pPr>
              <w:pStyle w:val="126"/>
              <w:snapToGrid w:val="0"/>
              <w:spacing w:before="0" w:beforeLines="0"/>
              <w:ind w:firstLine="0" w:firstLineChars="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kern w:val="0"/>
                <w:sz w:val="24"/>
                <w:szCs w:val="24"/>
              </w:rPr>
              <w:t>表</w:t>
            </w:r>
            <w:r>
              <w:rPr>
                <w:rFonts w:hint="default" w:ascii="Times New Roman" w:hAnsi="Times New Roman" w:cs="Times New Roman"/>
                <w:b/>
                <w:bCs/>
                <w:color w:val="auto"/>
                <w:kern w:val="0"/>
                <w:sz w:val="24"/>
                <w:szCs w:val="24"/>
                <w:lang w:val="en-US" w:eastAsia="zh-CN"/>
              </w:rPr>
              <w:t>2-</w:t>
            </w:r>
            <w:r>
              <w:rPr>
                <w:rFonts w:hint="default" w:ascii="Times New Roman" w:hAnsi="Times New Roman" w:cs="Times New Roman"/>
                <w:b/>
                <w:bCs/>
                <w:color w:val="auto"/>
                <w:kern w:val="0"/>
                <w:sz w:val="24"/>
                <w:szCs w:val="24"/>
              </w:rPr>
              <w:fldChar w:fldCharType="begin"/>
            </w:r>
            <w:r>
              <w:rPr>
                <w:rFonts w:hint="default" w:ascii="Times New Roman" w:hAnsi="Times New Roman" w:cs="Times New Roman"/>
                <w:b/>
                <w:bCs/>
                <w:color w:val="auto"/>
                <w:kern w:val="0"/>
                <w:sz w:val="24"/>
                <w:szCs w:val="24"/>
              </w:rPr>
              <w:instrText xml:space="preserve"> SEQ 表 \* ARABIC </w:instrText>
            </w:r>
            <w:r>
              <w:rPr>
                <w:rFonts w:hint="default" w:ascii="Times New Roman" w:hAnsi="Times New Roman" w:cs="Times New Roman"/>
                <w:b/>
                <w:bCs/>
                <w:color w:val="auto"/>
                <w:kern w:val="0"/>
                <w:sz w:val="24"/>
                <w:szCs w:val="24"/>
              </w:rPr>
              <w:fldChar w:fldCharType="separate"/>
            </w:r>
            <w:r>
              <w:rPr>
                <w:rFonts w:hint="default" w:ascii="Times New Roman" w:hAnsi="Times New Roman" w:cs="Times New Roman"/>
                <w:b/>
                <w:bCs/>
                <w:color w:val="auto"/>
                <w:kern w:val="0"/>
                <w:sz w:val="24"/>
                <w:szCs w:val="24"/>
              </w:rPr>
              <w:t>1</w:t>
            </w:r>
            <w:r>
              <w:rPr>
                <w:rFonts w:hint="default" w:ascii="Times New Roman" w:hAnsi="Times New Roman" w:cs="Times New Roman"/>
                <w:b/>
                <w:bCs/>
                <w:color w:val="auto"/>
                <w:kern w:val="0"/>
                <w:sz w:val="24"/>
                <w:szCs w:val="24"/>
              </w:rPr>
              <w:fldChar w:fldCharType="end"/>
            </w:r>
            <w:r>
              <w:rPr>
                <w:rFonts w:hint="default" w:ascii="Times New Roman" w:hAnsi="Times New Roman" w:cs="Times New Roman"/>
                <w:b/>
                <w:bCs/>
                <w:color w:val="auto"/>
                <w:sz w:val="24"/>
                <w:szCs w:val="24"/>
                <w:lang w:bidi="ar"/>
              </w:rPr>
              <w:t xml:space="preserve"> </w:t>
            </w:r>
            <w:r>
              <w:rPr>
                <w:rFonts w:hint="default" w:ascii="Times New Roman" w:hAnsi="Times New Roman" w:cs="Times New Roman"/>
                <w:b/>
                <w:bCs/>
                <w:color w:val="auto"/>
                <w:sz w:val="24"/>
                <w:szCs w:val="24"/>
              </w:rPr>
              <w:t>原有项目废气产排情况表</w:t>
            </w:r>
          </w:p>
          <w:tbl>
            <w:tblPr>
              <w:tblStyle w:val="27"/>
              <w:tblW w:w="50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470"/>
              <w:gridCol w:w="2115"/>
              <w:gridCol w:w="2145"/>
              <w:gridCol w:w="2072"/>
            </w:tblGrid>
            <w:tr w14:paraId="789A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23" w:type="pct"/>
                  <w:vAlign w:val="center"/>
                </w:tcPr>
                <w:p w14:paraId="67B14F58">
                  <w:pPr>
                    <w:pStyle w:val="126"/>
                    <w:spacing w:before="0" w:beforeLines="0" w:line="240" w:lineRule="auto"/>
                    <w:ind w:firstLine="0" w:firstLineChars="0"/>
                    <w:jc w:val="center"/>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val="en-US" w:eastAsia="zh-CN"/>
                    </w:rPr>
                    <w:t>期数</w:t>
                  </w:r>
                </w:p>
              </w:tc>
              <w:tc>
                <w:tcPr>
                  <w:tcW w:w="824" w:type="pct"/>
                  <w:vAlign w:val="center"/>
                </w:tcPr>
                <w:p w14:paraId="13B4363F">
                  <w:pPr>
                    <w:pStyle w:val="126"/>
                    <w:spacing w:before="0" w:beforeLines="0" w:line="240" w:lineRule="auto"/>
                    <w:ind w:firstLine="0" w:firstLineChars="0"/>
                    <w:jc w:val="center"/>
                    <w:rPr>
                      <w:rFonts w:hint="default" w:ascii="Times New Roman" w:hAnsi="Times New Roman" w:cs="Times New Roman"/>
                      <w:b/>
                      <w:bCs/>
                      <w:color w:val="auto"/>
                    </w:rPr>
                  </w:pPr>
                  <w:r>
                    <w:rPr>
                      <w:rFonts w:hint="default" w:ascii="Times New Roman" w:hAnsi="Times New Roman" w:cs="Times New Roman"/>
                      <w:b/>
                      <w:bCs/>
                      <w:color w:val="auto"/>
                    </w:rPr>
                    <w:t>污染物</w:t>
                  </w:r>
                </w:p>
              </w:tc>
              <w:tc>
                <w:tcPr>
                  <w:tcW w:w="1186" w:type="pct"/>
                  <w:vAlign w:val="center"/>
                </w:tcPr>
                <w:p w14:paraId="206C1F3D">
                  <w:pPr>
                    <w:jc w:val="center"/>
                    <w:rPr>
                      <w:rFonts w:hint="default" w:ascii="Times New Roman" w:hAnsi="Times New Roman" w:cs="Times New Roman"/>
                      <w:b/>
                      <w:bCs/>
                      <w:color w:val="auto"/>
                    </w:rPr>
                  </w:pPr>
                  <w:r>
                    <w:rPr>
                      <w:rFonts w:hint="default" w:ascii="Times New Roman" w:hAnsi="Times New Roman" w:cs="Times New Roman"/>
                      <w:b/>
                      <w:bCs/>
                      <w:color w:val="auto"/>
                    </w:rPr>
                    <w:t>有组织排放量（t/a）</w:t>
                  </w:r>
                </w:p>
              </w:tc>
              <w:tc>
                <w:tcPr>
                  <w:tcW w:w="1203" w:type="pct"/>
                  <w:vAlign w:val="center"/>
                </w:tcPr>
                <w:p w14:paraId="23FFA6F1">
                  <w:pPr>
                    <w:jc w:val="center"/>
                    <w:rPr>
                      <w:rFonts w:hint="default" w:ascii="Times New Roman" w:hAnsi="Times New Roman" w:cs="Times New Roman"/>
                      <w:b/>
                      <w:bCs/>
                      <w:color w:val="auto"/>
                    </w:rPr>
                  </w:pPr>
                  <w:r>
                    <w:rPr>
                      <w:rFonts w:hint="default" w:ascii="Times New Roman" w:hAnsi="Times New Roman" w:cs="Times New Roman"/>
                      <w:b/>
                      <w:bCs/>
                      <w:color w:val="auto"/>
                    </w:rPr>
                    <w:t>无组织排放量（t/a）</w:t>
                  </w:r>
                </w:p>
              </w:tc>
              <w:tc>
                <w:tcPr>
                  <w:tcW w:w="1162" w:type="pct"/>
                  <w:vAlign w:val="center"/>
                </w:tcPr>
                <w:p w14:paraId="7E350DDF">
                  <w:pPr>
                    <w:jc w:val="center"/>
                    <w:rPr>
                      <w:rFonts w:hint="default" w:ascii="Times New Roman" w:hAnsi="Times New Roman" w:cs="Times New Roman"/>
                      <w:b/>
                      <w:bCs/>
                      <w:color w:val="auto"/>
                    </w:rPr>
                  </w:pPr>
                  <w:r>
                    <w:rPr>
                      <w:rFonts w:hint="default" w:ascii="Times New Roman" w:hAnsi="Times New Roman" w:cs="Times New Roman"/>
                      <w:b/>
                      <w:bCs/>
                      <w:color w:val="auto"/>
                    </w:rPr>
                    <w:t>总排放量（t/a）</w:t>
                  </w:r>
                </w:p>
              </w:tc>
            </w:tr>
            <w:tr w14:paraId="04FC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623" w:type="pct"/>
                  <w:vAlign w:val="center"/>
                </w:tcPr>
                <w:p w14:paraId="3A12863C">
                  <w:pPr>
                    <w:pStyle w:val="126"/>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一期</w:t>
                  </w:r>
                </w:p>
              </w:tc>
              <w:tc>
                <w:tcPr>
                  <w:tcW w:w="824" w:type="pct"/>
                  <w:vAlign w:val="center"/>
                </w:tcPr>
                <w:p w14:paraId="0314D90B">
                  <w:pPr>
                    <w:pStyle w:val="126"/>
                    <w:spacing w:before="0" w:beforeLines="0"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颗粒物</w:t>
                  </w:r>
                </w:p>
              </w:tc>
              <w:tc>
                <w:tcPr>
                  <w:tcW w:w="1186" w:type="pct"/>
                  <w:vAlign w:val="center"/>
                </w:tcPr>
                <w:p w14:paraId="4D1BAE78">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0.422</w:t>
                  </w:r>
                </w:p>
              </w:tc>
              <w:tc>
                <w:tcPr>
                  <w:tcW w:w="1203" w:type="pct"/>
                  <w:vAlign w:val="center"/>
                </w:tcPr>
                <w:p w14:paraId="765FBE9B">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0.182</w:t>
                  </w:r>
                </w:p>
              </w:tc>
              <w:tc>
                <w:tcPr>
                  <w:tcW w:w="1162" w:type="pct"/>
                  <w:vAlign w:val="center"/>
                </w:tcPr>
                <w:p w14:paraId="338B87B2">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0.604</w:t>
                  </w:r>
                </w:p>
              </w:tc>
            </w:tr>
            <w:tr w14:paraId="189D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Align w:val="center"/>
                </w:tcPr>
                <w:p w14:paraId="351BDC22">
                  <w:pPr>
                    <w:pStyle w:val="126"/>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二期</w:t>
                  </w:r>
                </w:p>
              </w:tc>
              <w:tc>
                <w:tcPr>
                  <w:tcW w:w="824" w:type="pct"/>
                  <w:vAlign w:val="center"/>
                </w:tcPr>
                <w:p w14:paraId="58D7DF23">
                  <w:pPr>
                    <w:pStyle w:val="126"/>
                    <w:spacing w:before="0" w:beforeLines="0" w:line="240" w:lineRule="auto"/>
                    <w:ind w:firstLine="0" w:firstLineChars="0"/>
                    <w:jc w:val="center"/>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颗粒物</w:t>
                  </w:r>
                </w:p>
              </w:tc>
              <w:tc>
                <w:tcPr>
                  <w:tcW w:w="1186" w:type="pct"/>
                  <w:vAlign w:val="center"/>
                </w:tcPr>
                <w:p w14:paraId="0C1BD7CA">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1.108</w:t>
                  </w:r>
                </w:p>
              </w:tc>
              <w:tc>
                <w:tcPr>
                  <w:tcW w:w="1203" w:type="pct"/>
                  <w:vAlign w:val="center"/>
                </w:tcPr>
                <w:p w14:paraId="30EB227E">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0.391</w:t>
                  </w:r>
                </w:p>
              </w:tc>
              <w:tc>
                <w:tcPr>
                  <w:tcW w:w="1162" w:type="pct"/>
                  <w:vAlign w:val="center"/>
                </w:tcPr>
                <w:p w14:paraId="7284BB4D">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1.499</w:t>
                  </w:r>
                </w:p>
              </w:tc>
            </w:tr>
            <w:tr w14:paraId="7174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restart"/>
                  <w:vAlign w:val="center"/>
                </w:tcPr>
                <w:p w14:paraId="56DB7770">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三期</w:t>
                  </w:r>
                </w:p>
              </w:tc>
              <w:tc>
                <w:tcPr>
                  <w:tcW w:w="824" w:type="pct"/>
                  <w:vAlign w:val="center"/>
                </w:tcPr>
                <w:p w14:paraId="212AF9CB">
                  <w:pPr>
                    <w:pStyle w:val="126"/>
                    <w:spacing w:before="0" w:beforeLines="0"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lang w:val="en-US" w:eastAsia="zh-CN"/>
                    </w:rPr>
                    <w:t>颗粒物</w:t>
                  </w:r>
                </w:p>
              </w:tc>
              <w:tc>
                <w:tcPr>
                  <w:tcW w:w="1186" w:type="pct"/>
                  <w:vAlign w:val="center"/>
                </w:tcPr>
                <w:p w14:paraId="262C0D58">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0.031</w:t>
                  </w:r>
                </w:p>
              </w:tc>
              <w:tc>
                <w:tcPr>
                  <w:tcW w:w="1203" w:type="pct"/>
                  <w:vAlign w:val="center"/>
                </w:tcPr>
                <w:p w14:paraId="2DEA8F13">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0.011</w:t>
                  </w:r>
                </w:p>
              </w:tc>
              <w:tc>
                <w:tcPr>
                  <w:tcW w:w="1162" w:type="pct"/>
                  <w:vAlign w:val="center"/>
                </w:tcPr>
                <w:p w14:paraId="652E634F">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0.042</w:t>
                  </w:r>
                </w:p>
              </w:tc>
            </w:tr>
            <w:tr w14:paraId="59AD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continue"/>
                  <w:vAlign w:val="center"/>
                </w:tcPr>
                <w:p w14:paraId="21C73171">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824" w:type="pct"/>
                  <w:vAlign w:val="center"/>
                </w:tcPr>
                <w:p w14:paraId="06F97B0A">
                  <w:pPr>
                    <w:pStyle w:val="126"/>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TVOC</w:t>
                  </w:r>
                </w:p>
              </w:tc>
              <w:tc>
                <w:tcPr>
                  <w:tcW w:w="1186" w:type="pct"/>
                  <w:vAlign w:val="center"/>
                </w:tcPr>
                <w:p w14:paraId="619A7811">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0.096</w:t>
                  </w:r>
                </w:p>
              </w:tc>
              <w:tc>
                <w:tcPr>
                  <w:tcW w:w="1203" w:type="pct"/>
                  <w:vAlign w:val="center"/>
                </w:tcPr>
                <w:p w14:paraId="2413DC4B">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0.705</w:t>
                  </w:r>
                </w:p>
              </w:tc>
              <w:tc>
                <w:tcPr>
                  <w:tcW w:w="1162" w:type="pct"/>
                  <w:vAlign w:val="center"/>
                </w:tcPr>
                <w:p w14:paraId="07E2EF4A">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0.801</w:t>
                  </w:r>
                </w:p>
              </w:tc>
            </w:tr>
            <w:tr w14:paraId="75C6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restart"/>
                  <w:vAlign w:val="center"/>
                </w:tcPr>
                <w:p w14:paraId="2EC9099B">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四期</w:t>
                  </w:r>
                </w:p>
              </w:tc>
              <w:tc>
                <w:tcPr>
                  <w:tcW w:w="824" w:type="pct"/>
                  <w:vAlign w:val="center"/>
                </w:tcPr>
                <w:p w14:paraId="3097171A">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颗粒物</w:t>
                  </w:r>
                </w:p>
              </w:tc>
              <w:tc>
                <w:tcPr>
                  <w:tcW w:w="1186" w:type="pct"/>
                  <w:vAlign w:val="center"/>
                </w:tcPr>
                <w:p w14:paraId="3888057D">
                  <w:pPr>
                    <w:snapToGrid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0.843</w:t>
                  </w:r>
                </w:p>
              </w:tc>
              <w:tc>
                <w:tcPr>
                  <w:tcW w:w="1203" w:type="pct"/>
                  <w:vAlign w:val="center"/>
                </w:tcPr>
                <w:p w14:paraId="24AA2481">
                  <w:pPr>
                    <w:pStyle w:val="126"/>
                    <w:snapToGrid w:val="0"/>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0.397</w:t>
                  </w:r>
                </w:p>
              </w:tc>
              <w:tc>
                <w:tcPr>
                  <w:tcW w:w="1162" w:type="pct"/>
                  <w:vAlign w:val="center"/>
                </w:tcPr>
                <w:p w14:paraId="7F733CC0">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1.24</w:t>
                  </w:r>
                </w:p>
              </w:tc>
            </w:tr>
            <w:tr w14:paraId="6320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continue"/>
                  <w:vAlign w:val="center"/>
                </w:tcPr>
                <w:p w14:paraId="167A9492">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824" w:type="pct"/>
                  <w:vAlign w:val="center"/>
                </w:tcPr>
                <w:p w14:paraId="7C655814">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TVOC</w:t>
                  </w:r>
                </w:p>
              </w:tc>
              <w:tc>
                <w:tcPr>
                  <w:tcW w:w="1186" w:type="pct"/>
                  <w:vAlign w:val="center"/>
                </w:tcPr>
                <w:p w14:paraId="2915303E">
                  <w:pPr>
                    <w:snapToGrid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0.101</w:t>
                  </w:r>
                </w:p>
              </w:tc>
              <w:tc>
                <w:tcPr>
                  <w:tcW w:w="1203" w:type="pct"/>
                  <w:vAlign w:val="center"/>
                </w:tcPr>
                <w:p w14:paraId="4EAAAE56">
                  <w:pPr>
                    <w:pStyle w:val="126"/>
                    <w:snapToGrid w:val="0"/>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0.0575</w:t>
                  </w:r>
                </w:p>
              </w:tc>
              <w:tc>
                <w:tcPr>
                  <w:tcW w:w="1162" w:type="pct"/>
                  <w:vAlign w:val="center"/>
                </w:tcPr>
                <w:p w14:paraId="031F241D">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0.1585</w:t>
                  </w:r>
                </w:p>
              </w:tc>
            </w:tr>
            <w:tr w14:paraId="00A5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continue"/>
                  <w:vAlign w:val="center"/>
                </w:tcPr>
                <w:p w14:paraId="16375E04">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824" w:type="pct"/>
                  <w:vAlign w:val="center"/>
                </w:tcPr>
                <w:p w14:paraId="3EC5B469">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非甲烷总烃</w:t>
                  </w:r>
                </w:p>
              </w:tc>
              <w:tc>
                <w:tcPr>
                  <w:tcW w:w="1186" w:type="pct"/>
                  <w:vAlign w:val="center"/>
                </w:tcPr>
                <w:p w14:paraId="71D9F3CF">
                  <w:pPr>
                    <w:snapToGrid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203" w:type="pct"/>
                  <w:vAlign w:val="center"/>
                </w:tcPr>
                <w:p w14:paraId="24FCA350">
                  <w:pPr>
                    <w:pStyle w:val="126"/>
                    <w:snapToGrid w:val="0"/>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0.35</w:t>
                  </w:r>
                </w:p>
              </w:tc>
              <w:tc>
                <w:tcPr>
                  <w:tcW w:w="1162" w:type="pct"/>
                  <w:vAlign w:val="center"/>
                </w:tcPr>
                <w:p w14:paraId="61F85FBA">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0.35</w:t>
                  </w:r>
                </w:p>
              </w:tc>
            </w:tr>
            <w:tr w14:paraId="1025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restart"/>
                  <w:vAlign w:val="center"/>
                </w:tcPr>
                <w:p w14:paraId="6A9AC515">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五期</w:t>
                  </w:r>
                </w:p>
              </w:tc>
              <w:tc>
                <w:tcPr>
                  <w:tcW w:w="824" w:type="pct"/>
                  <w:vAlign w:val="center"/>
                </w:tcPr>
                <w:p w14:paraId="1C4C30B0">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颗粒物</w:t>
                  </w:r>
                </w:p>
              </w:tc>
              <w:tc>
                <w:tcPr>
                  <w:tcW w:w="1186" w:type="pct"/>
                  <w:vAlign w:val="center"/>
                </w:tcPr>
                <w:p w14:paraId="0EEDDCE3">
                  <w:pPr>
                    <w:snapToGrid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1.083</w:t>
                  </w:r>
                </w:p>
              </w:tc>
              <w:tc>
                <w:tcPr>
                  <w:tcW w:w="1203" w:type="pct"/>
                  <w:vAlign w:val="center"/>
                </w:tcPr>
                <w:p w14:paraId="1DEDFC92">
                  <w:pPr>
                    <w:pStyle w:val="126"/>
                    <w:snapToGrid w:val="0"/>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0.397</w:t>
                  </w:r>
                </w:p>
              </w:tc>
              <w:tc>
                <w:tcPr>
                  <w:tcW w:w="1162" w:type="pct"/>
                  <w:vAlign w:val="center"/>
                </w:tcPr>
                <w:p w14:paraId="26EF475A">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1.48</w:t>
                  </w:r>
                </w:p>
              </w:tc>
            </w:tr>
            <w:tr w14:paraId="01F5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623" w:type="pct"/>
                  <w:vMerge w:val="continue"/>
                  <w:vAlign w:val="center"/>
                </w:tcPr>
                <w:p w14:paraId="0EDBE48D">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824" w:type="pct"/>
                  <w:vAlign w:val="center"/>
                </w:tcPr>
                <w:p w14:paraId="011666C9">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TVOC</w:t>
                  </w:r>
                </w:p>
              </w:tc>
              <w:tc>
                <w:tcPr>
                  <w:tcW w:w="1186" w:type="pct"/>
                  <w:vAlign w:val="center"/>
                </w:tcPr>
                <w:p w14:paraId="33DC09E6">
                  <w:pPr>
                    <w:snapToGrid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0.051</w:t>
                  </w:r>
                </w:p>
              </w:tc>
              <w:tc>
                <w:tcPr>
                  <w:tcW w:w="1203" w:type="pct"/>
                  <w:vAlign w:val="center"/>
                </w:tcPr>
                <w:p w14:paraId="085A546B">
                  <w:pPr>
                    <w:pStyle w:val="126"/>
                    <w:snapToGrid w:val="0"/>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0.0575</w:t>
                  </w:r>
                </w:p>
              </w:tc>
              <w:tc>
                <w:tcPr>
                  <w:tcW w:w="1162" w:type="pct"/>
                  <w:vAlign w:val="center"/>
                </w:tcPr>
                <w:p w14:paraId="223C8AD8">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0.1085</w:t>
                  </w:r>
                </w:p>
              </w:tc>
            </w:tr>
            <w:tr w14:paraId="7027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continue"/>
                  <w:vAlign w:val="center"/>
                </w:tcPr>
                <w:p w14:paraId="376BAFE7">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824" w:type="pct"/>
                  <w:vAlign w:val="center"/>
                </w:tcPr>
                <w:p w14:paraId="3EEA75EB">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非甲烷总烃</w:t>
                  </w:r>
                </w:p>
              </w:tc>
              <w:tc>
                <w:tcPr>
                  <w:tcW w:w="1186" w:type="pct"/>
                  <w:vAlign w:val="center"/>
                </w:tcPr>
                <w:p w14:paraId="6510853A">
                  <w:pPr>
                    <w:snapToGrid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203" w:type="pct"/>
                  <w:vAlign w:val="center"/>
                </w:tcPr>
                <w:p w14:paraId="4D35ECD7">
                  <w:pPr>
                    <w:pStyle w:val="126"/>
                    <w:snapToGrid w:val="0"/>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0.35</w:t>
                  </w:r>
                </w:p>
              </w:tc>
              <w:tc>
                <w:tcPr>
                  <w:tcW w:w="1162" w:type="pct"/>
                  <w:vAlign w:val="center"/>
                </w:tcPr>
                <w:p w14:paraId="439C187D">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0.35</w:t>
                  </w:r>
                </w:p>
              </w:tc>
            </w:tr>
            <w:tr w14:paraId="6100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continue"/>
                  <w:vAlign w:val="center"/>
                </w:tcPr>
                <w:p w14:paraId="79EA7D84">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824" w:type="pct"/>
                  <w:vAlign w:val="center"/>
                </w:tcPr>
                <w:p w14:paraId="5A7B6C0A">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SO</w:t>
                  </w:r>
                  <w:r>
                    <w:rPr>
                      <w:rFonts w:hint="default" w:ascii="Times New Roman" w:hAnsi="Times New Roman" w:cs="Times New Roman"/>
                      <w:color w:val="auto"/>
                      <w:vertAlign w:val="subscript"/>
                      <w:lang w:val="en-US" w:eastAsia="zh-CN"/>
                    </w:rPr>
                    <w:t>2</w:t>
                  </w:r>
                </w:p>
              </w:tc>
              <w:tc>
                <w:tcPr>
                  <w:tcW w:w="1186" w:type="pct"/>
                  <w:vAlign w:val="center"/>
                </w:tcPr>
                <w:p w14:paraId="4F889A9B">
                  <w:pPr>
                    <w:snapToGrid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0.001</w:t>
                  </w:r>
                </w:p>
              </w:tc>
              <w:tc>
                <w:tcPr>
                  <w:tcW w:w="1203" w:type="pct"/>
                  <w:vAlign w:val="center"/>
                </w:tcPr>
                <w:p w14:paraId="7F1ACC92">
                  <w:pPr>
                    <w:pStyle w:val="126"/>
                    <w:snapToGrid w:val="0"/>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162" w:type="pct"/>
                  <w:vAlign w:val="center"/>
                </w:tcPr>
                <w:p w14:paraId="7512AF43">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0.001</w:t>
                  </w:r>
                </w:p>
              </w:tc>
            </w:tr>
            <w:tr w14:paraId="3C33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continue"/>
                  <w:vAlign w:val="center"/>
                </w:tcPr>
                <w:p w14:paraId="48742667">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824" w:type="pct"/>
                  <w:vAlign w:val="center"/>
                </w:tcPr>
                <w:p w14:paraId="1CB64360">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NO</w:t>
                  </w:r>
                  <w:r>
                    <w:rPr>
                      <w:rFonts w:hint="default" w:ascii="Times New Roman" w:hAnsi="Times New Roman" w:cs="Times New Roman"/>
                      <w:color w:val="auto"/>
                      <w:vertAlign w:val="subscript"/>
                      <w:lang w:val="en-US" w:eastAsia="zh-CN"/>
                    </w:rPr>
                    <w:t>X</w:t>
                  </w:r>
                </w:p>
              </w:tc>
              <w:tc>
                <w:tcPr>
                  <w:tcW w:w="1186" w:type="pct"/>
                  <w:vAlign w:val="center"/>
                </w:tcPr>
                <w:p w14:paraId="4209D752">
                  <w:pPr>
                    <w:snapToGrid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0.063</w:t>
                  </w:r>
                </w:p>
              </w:tc>
              <w:tc>
                <w:tcPr>
                  <w:tcW w:w="1203" w:type="pct"/>
                  <w:vAlign w:val="center"/>
                </w:tcPr>
                <w:p w14:paraId="2DA4B6EE">
                  <w:pPr>
                    <w:pStyle w:val="126"/>
                    <w:snapToGrid w:val="0"/>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162" w:type="pct"/>
                  <w:vAlign w:val="center"/>
                </w:tcPr>
                <w:p w14:paraId="67339CA7">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0.063</w:t>
                  </w:r>
                </w:p>
              </w:tc>
            </w:tr>
            <w:tr w14:paraId="2C5A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restart"/>
                  <w:vAlign w:val="center"/>
                </w:tcPr>
                <w:p w14:paraId="4CDF41BC">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合计</w:t>
                  </w:r>
                </w:p>
              </w:tc>
              <w:tc>
                <w:tcPr>
                  <w:tcW w:w="824" w:type="pct"/>
                  <w:vAlign w:val="center"/>
                </w:tcPr>
                <w:p w14:paraId="129CC840">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颗粒物</w:t>
                  </w:r>
                </w:p>
              </w:tc>
              <w:tc>
                <w:tcPr>
                  <w:tcW w:w="1186" w:type="pct"/>
                  <w:vAlign w:val="center"/>
                </w:tcPr>
                <w:p w14:paraId="5796B2AA">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2"/>
                      <w:szCs w:val="22"/>
                      <w:u w:val="none"/>
                      <w:lang w:val="en-US" w:eastAsia="zh-CN" w:bidi="ar"/>
                    </w:rPr>
                    <w:t>3.487</w:t>
                  </w:r>
                </w:p>
              </w:tc>
              <w:tc>
                <w:tcPr>
                  <w:tcW w:w="1203" w:type="pct"/>
                  <w:vAlign w:val="center"/>
                </w:tcPr>
                <w:p w14:paraId="3FA450C9">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2"/>
                      <w:szCs w:val="22"/>
                      <w:u w:val="none"/>
                      <w:lang w:val="en-US" w:eastAsia="zh-CN" w:bidi="ar"/>
                    </w:rPr>
                    <w:t>1.378</w:t>
                  </w:r>
                </w:p>
              </w:tc>
              <w:tc>
                <w:tcPr>
                  <w:tcW w:w="1162" w:type="pct"/>
                  <w:vAlign w:val="center"/>
                </w:tcPr>
                <w:p w14:paraId="375F00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4.865</w:t>
                  </w:r>
                </w:p>
              </w:tc>
            </w:tr>
            <w:tr w14:paraId="019F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continue"/>
                  <w:vAlign w:val="center"/>
                </w:tcPr>
                <w:p w14:paraId="546A0050">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824" w:type="pct"/>
                  <w:vAlign w:val="center"/>
                </w:tcPr>
                <w:p w14:paraId="451C7141">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挥发性有机物*</w:t>
                  </w:r>
                </w:p>
              </w:tc>
              <w:tc>
                <w:tcPr>
                  <w:tcW w:w="1186" w:type="pct"/>
                  <w:vAlign w:val="center"/>
                </w:tcPr>
                <w:p w14:paraId="736A54F5">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2"/>
                      <w:szCs w:val="22"/>
                      <w:u w:val="none"/>
                      <w:lang w:val="en-US" w:eastAsia="zh-CN" w:bidi="ar"/>
                    </w:rPr>
                    <w:t>0.248</w:t>
                  </w:r>
                </w:p>
              </w:tc>
              <w:tc>
                <w:tcPr>
                  <w:tcW w:w="1203" w:type="pct"/>
                  <w:vAlign w:val="center"/>
                </w:tcPr>
                <w:p w14:paraId="6644AF9D">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2"/>
                      <w:szCs w:val="22"/>
                      <w:u w:val="none"/>
                      <w:lang w:val="en-US" w:eastAsia="zh-CN" w:bidi="ar"/>
                    </w:rPr>
                    <w:t>1.52</w:t>
                  </w:r>
                </w:p>
              </w:tc>
              <w:tc>
                <w:tcPr>
                  <w:tcW w:w="1162" w:type="pct"/>
                  <w:vAlign w:val="center"/>
                </w:tcPr>
                <w:p w14:paraId="4B9A77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w:t>
                  </w:r>
                  <w:r>
                    <w:rPr>
                      <w:rFonts w:hint="default" w:ascii="Times New Roman" w:hAnsi="Times New Roman" w:cs="Times New Roman"/>
                      <w:i w:val="0"/>
                      <w:iCs w:val="0"/>
                      <w:color w:val="auto"/>
                      <w:kern w:val="0"/>
                      <w:sz w:val="22"/>
                      <w:szCs w:val="22"/>
                      <w:u w:val="none"/>
                      <w:lang w:val="en-US" w:eastAsia="zh-CN" w:bidi="ar"/>
                    </w:rPr>
                    <w:t>7</w:t>
                  </w:r>
                  <w:r>
                    <w:rPr>
                      <w:rFonts w:hint="default" w:ascii="Times New Roman" w:hAnsi="Times New Roman" w:eastAsia="宋体" w:cs="Times New Roman"/>
                      <w:i w:val="0"/>
                      <w:iCs w:val="0"/>
                      <w:color w:val="auto"/>
                      <w:kern w:val="0"/>
                      <w:sz w:val="22"/>
                      <w:szCs w:val="22"/>
                      <w:u w:val="none"/>
                      <w:lang w:val="en-US" w:eastAsia="zh-CN" w:bidi="ar"/>
                    </w:rPr>
                    <w:t>68</w:t>
                  </w:r>
                </w:p>
              </w:tc>
            </w:tr>
            <w:tr w14:paraId="09A4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continue"/>
                  <w:vAlign w:val="center"/>
                </w:tcPr>
                <w:p w14:paraId="2979490C">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824" w:type="pct"/>
                  <w:vAlign w:val="center"/>
                </w:tcPr>
                <w:p w14:paraId="7C9F28BA">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SO</w:t>
                  </w:r>
                  <w:r>
                    <w:rPr>
                      <w:rFonts w:hint="default" w:ascii="Times New Roman" w:hAnsi="Times New Roman" w:cs="Times New Roman"/>
                      <w:color w:val="auto"/>
                      <w:vertAlign w:val="subscript"/>
                      <w:lang w:val="en-US" w:eastAsia="zh-CN"/>
                    </w:rPr>
                    <w:t>2</w:t>
                  </w:r>
                </w:p>
              </w:tc>
              <w:tc>
                <w:tcPr>
                  <w:tcW w:w="1186" w:type="pct"/>
                  <w:vAlign w:val="center"/>
                </w:tcPr>
                <w:p w14:paraId="45D90632">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2"/>
                      <w:szCs w:val="22"/>
                      <w:u w:val="none"/>
                      <w:lang w:val="en-US" w:eastAsia="zh-CN" w:bidi="ar"/>
                    </w:rPr>
                    <w:t>0.001</w:t>
                  </w:r>
                </w:p>
              </w:tc>
              <w:tc>
                <w:tcPr>
                  <w:tcW w:w="1203" w:type="pct"/>
                  <w:vAlign w:val="center"/>
                </w:tcPr>
                <w:p w14:paraId="63444A6C">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1162" w:type="pct"/>
                  <w:vAlign w:val="center"/>
                </w:tcPr>
                <w:p w14:paraId="64F77D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0.001</w:t>
                  </w:r>
                </w:p>
              </w:tc>
            </w:tr>
            <w:tr w14:paraId="31E4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23" w:type="pct"/>
                  <w:vMerge w:val="continue"/>
                  <w:vAlign w:val="center"/>
                </w:tcPr>
                <w:p w14:paraId="08C72A5E">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824" w:type="pct"/>
                  <w:vAlign w:val="center"/>
                </w:tcPr>
                <w:p w14:paraId="42F46DFA">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NO</w:t>
                  </w:r>
                  <w:r>
                    <w:rPr>
                      <w:rFonts w:hint="default" w:ascii="Times New Roman" w:hAnsi="Times New Roman" w:cs="Times New Roman"/>
                      <w:color w:val="auto"/>
                      <w:vertAlign w:val="subscript"/>
                      <w:lang w:val="en-US" w:eastAsia="zh-CN"/>
                    </w:rPr>
                    <w:t>X</w:t>
                  </w:r>
                </w:p>
              </w:tc>
              <w:tc>
                <w:tcPr>
                  <w:tcW w:w="1186" w:type="pct"/>
                  <w:vAlign w:val="center"/>
                </w:tcPr>
                <w:p w14:paraId="183DF022">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2"/>
                      <w:szCs w:val="22"/>
                      <w:u w:val="none"/>
                      <w:lang w:val="en-US" w:eastAsia="zh-CN" w:bidi="ar"/>
                    </w:rPr>
                    <w:t>0.063</w:t>
                  </w:r>
                </w:p>
              </w:tc>
              <w:tc>
                <w:tcPr>
                  <w:tcW w:w="1203" w:type="pct"/>
                  <w:vAlign w:val="center"/>
                </w:tcPr>
                <w:p w14:paraId="6D164B64">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1162" w:type="pct"/>
                  <w:vAlign w:val="center"/>
                </w:tcPr>
                <w:p w14:paraId="7C505F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0.063</w:t>
                  </w:r>
                </w:p>
              </w:tc>
            </w:tr>
            <w:tr w14:paraId="05E8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00" w:type="pct"/>
                  <w:gridSpan w:val="5"/>
                  <w:vAlign w:val="center"/>
                </w:tcPr>
                <w:p w14:paraId="37FE8AB8">
                  <w:pPr>
                    <w:keepNext w:val="0"/>
                    <w:keepLines w:val="0"/>
                    <w:widowControl/>
                    <w:suppressLineNumbers w:val="0"/>
                    <w:jc w:val="left"/>
                    <w:textAlignment w:val="center"/>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i w:val="0"/>
                      <w:iCs w:val="0"/>
                      <w:color w:val="auto"/>
                      <w:kern w:val="0"/>
                      <w:sz w:val="21"/>
                      <w:szCs w:val="21"/>
                      <w:u w:val="none"/>
                      <w:lang w:val="en-US" w:eastAsia="zh-CN" w:bidi="ar"/>
                    </w:rPr>
                    <w:t>备注：由于后文需对取消原计划五期工程中的</w:t>
                  </w:r>
                  <w:r>
                    <w:rPr>
                      <w:rFonts w:hint="default" w:ascii="Times New Roman" w:hAnsi="Times New Roman" w:cs="Times New Roman"/>
                      <w:b w:val="0"/>
                      <w:bCs w:val="0"/>
                      <w:color w:val="auto"/>
                      <w:sz w:val="21"/>
                      <w:szCs w:val="21"/>
                      <w:lang w:val="en-US" w:eastAsia="zh-CN"/>
                    </w:rPr>
                    <w:t>树脂砂铸造生产线减少的污染情况进行计算，因此原项目产污分析将未建的四期、五期进行了计算。</w:t>
                  </w:r>
                </w:p>
                <w:p w14:paraId="0BB8249A">
                  <w:pPr>
                    <w:pStyle w:val="2"/>
                    <w:rPr>
                      <w:rFonts w:hint="default" w:ascii="Times New Roman" w:hAnsi="Times New Roman" w:cs="Times New Roman"/>
                      <w:color w:val="auto"/>
                      <w:lang w:val="en-US" w:eastAsia="zh-CN"/>
                    </w:rPr>
                  </w:pPr>
                  <w:r>
                    <w:rPr>
                      <w:rFonts w:hint="default" w:ascii="Times New Roman" w:hAnsi="Times New Roman" w:cs="Times New Roman"/>
                      <w:b w:val="0"/>
                      <w:bCs w:val="0"/>
                      <w:color w:val="auto"/>
                      <w:sz w:val="21"/>
                      <w:szCs w:val="21"/>
                      <w:lang w:val="en-US" w:eastAsia="zh-CN"/>
                    </w:rPr>
                    <w:t>合计中的挥发性有机物包含非甲烷总烃、TVOC。</w:t>
                  </w:r>
                </w:p>
              </w:tc>
            </w:tr>
          </w:tbl>
          <w:p w14:paraId="3772CD69">
            <w:pPr>
              <w:pStyle w:val="2"/>
              <w:numPr>
                <w:ilvl w:val="0"/>
                <w:numId w:val="0"/>
              </w:numPr>
              <w:ind w:firstLine="480" w:firstLineChars="200"/>
              <w:rPr>
                <w:rFonts w:hint="default" w:ascii="Times New Roman" w:hAnsi="Times New Roman" w:eastAsia="宋体" w:cs="Times New Roman"/>
                <w:color w:val="auto"/>
                <w:sz w:val="24"/>
                <w:szCs w:val="24"/>
                <w:lang w:val="en-US" w:eastAsia="zh-CN"/>
              </w:rPr>
            </w:pPr>
          </w:p>
          <w:p w14:paraId="275C9206">
            <w:pPr>
              <w:autoSpaceDE w:val="0"/>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lang w:val="en-US" w:eastAsia="zh-CN"/>
              </w:rPr>
              <w:t>引用2022年6月29日、</w:t>
            </w:r>
            <w:r>
              <w:rPr>
                <w:rFonts w:hint="default" w:ascii="Times New Roman" w:hAnsi="Times New Roman" w:cs="Times New Roman"/>
                <w:bCs/>
                <w:color w:val="auto"/>
                <w:sz w:val="24"/>
                <w:highlight w:val="none"/>
              </w:rPr>
              <w:t>2023年6月15日出具的常规检测报告（报告编号：</w:t>
            </w:r>
            <w:r>
              <w:rPr>
                <w:rFonts w:hint="default" w:ascii="Times New Roman" w:hAnsi="Times New Roman" w:cs="Times New Roman"/>
                <w:bCs/>
                <w:color w:val="auto"/>
                <w:sz w:val="24"/>
                <w:highlight w:val="none"/>
                <w:lang w:val="en-US" w:eastAsia="zh-CN"/>
              </w:rPr>
              <w:t>粤北检测22053002、</w:t>
            </w:r>
            <w:r>
              <w:rPr>
                <w:rFonts w:hint="default" w:ascii="Times New Roman" w:hAnsi="Times New Roman" w:cs="Times New Roman"/>
                <w:bCs/>
                <w:color w:val="auto"/>
                <w:sz w:val="24"/>
                <w:highlight w:val="none"/>
              </w:rPr>
              <w:t>粤北检测23061505，具体报告见附件7）</w:t>
            </w: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rPr>
              <w:t>具体见下表。</w:t>
            </w:r>
          </w:p>
          <w:p w14:paraId="695BC78E">
            <w:pPr>
              <w:pStyle w:val="126"/>
              <w:snapToGrid w:val="0"/>
              <w:spacing w:before="0" w:beforeLines="0"/>
              <w:ind w:firstLine="0" w:firstLineChars="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kern w:val="0"/>
                <w:sz w:val="24"/>
                <w:szCs w:val="24"/>
              </w:rPr>
              <w:t>表</w:t>
            </w:r>
            <w:r>
              <w:rPr>
                <w:rFonts w:hint="default" w:ascii="Times New Roman" w:hAnsi="Times New Roman" w:cs="Times New Roman"/>
                <w:b/>
                <w:bCs/>
                <w:color w:val="auto"/>
                <w:kern w:val="0"/>
                <w:sz w:val="24"/>
                <w:szCs w:val="24"/>
                <w:lang w:val="en-US" w:eastAsia="zh-CN"/>
              </w:rPr>
              <w:t>2-</w:t>
            </w:r>
            <w:r>
              <w:rPr>
                <w:rFonts w:hint="default" w:ascii="Times New Roman" w:hAnsi="Times New Roman" w:cs="Times New Roman"/>
                <w:b/>
                <w:bCs/>
                <w:color w:val="auto"/>
                <w:kern w:val="0"/>
                <w:sz w:val="24"/>
                <w:szCs w:val="24"/>
              </w:rPr>
              <w:fldChar w:fldCharType="begin"/>
            </w:r>
            <w:r>
              <w:rPr>
                <w:rFonts w:hint="default" w:ascii="Times New Roman" w:hAnsi="Times New Roman" w:cs="Times New Roman"/>
                <w:b/>
                <w:bCs/>
                <w:color w:val="auto"/>
                <w:kern w:val="0"/>
                <w:sz w:val="24"/>
                <w:szCs w:val="24"/>
              </w:rPr>
              <w:instrText xml:space="preserve"> SEQ 表 \* ARABIC </w:instrText>
            </w:r>
            <w:r>
              <w:rPr>
                <w:rFonts w:hint="default" w:ascii="Times New Roman" w:hAnsi="Times New Roman" w:cs="Times New Roman"/>
                <w:b/>
                <w:bCs/>
                <w:color w:val="auto"/>
                <w:kern w:val="0"/>
                <w:sz w:val="24"/>
                <w:szCs w:val="24"/>
              </w:rPr>
              <w:fldChar w:fldCharType="separate"/>
            </w:r>
            <w:r>
              <w:rPr>
                <w:rFonts w:hint="default" w:ascii="Times New Roman" w:hAnsi="Times New Roman" w:cs="Times New Roman"/>
                <w:b/>
                <w:bCs/>
                <w:color w:val="auto"/>
                <w:kern w:val="0"/>
                <w:sz w:val="24"/>
                <w:szCs w:val="24"/>
              </w:rPr>
              <w:t>2</w:t>
            </w:r>
            <w:r>
              <w:rPr>
                <w:rFonts w:hint="default" w:ascii="Times New Roman" w:hAnsi="Times New Roman" w:cs="Times New Roman"/>
                <w:b/>
                <w:bCs/>
                <w:color w:val="auto"/>
                <w:kern w:val="0"/>
                <w:sz w:val="24"/>
                <w:szCs w:val="24"/>
              </w:rPr>
              <w:fldChar w:fldCharType="end"/>
            </w:r>
            <w:r>
              <w:rPr>
                <w:rFonts w:hint="default" w:ascii="Times New Roman" w:hAnsi="Times New Roman" w:cs="Times New Roman"/>
                <w:b/>
                <w:bCs/>
                <w:color w:val="auto"/>
                <w:sz w:val="24"/>
                <w:szCs w:val="24"/>
                <w:lang w:bidi="ar"/>
              </w:rPr>
              <w:t xml:space="preserve"> </w:t>
            </w:r>
            <w:r>
              <w:rPr>
                <w:rFonts w:hint="default" w:ascii="Times New Roman" w:hAnsi="Times New Roman" w:cs="Times New Roman"/>
                <w:b/>
                <w:bCs/>
                <w:color w:val="auto"/>
                <w:sz w:val="24"/>
                <w:szCs w:val="24"/>
              </w:rPr>
              <w:t>原有项目废气有组织排放监测结果表</w:t>
            </w:r>
          </w:p>
          <w:tbl>
            <w:tblPr>
              <w:tblStyle w:val="26"/>
              <w:tblW w:w="8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647"/>
              <w:gridCol w:w="1077"/>
              <w:gridCol w:w="1203"/>
              <w:gridCol w:w="1095"/>
              <w:gridCol w:w="1185"/>
              <w:gridCol w:w="1095"/>
              <w:gridCol w:w="671"/>
            </w:tblGrid>
            <w:tr w14:paraId="70B5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436" w:type="pct"/>
                  <w:gridSpan w:val="2"/>
                  <w:vAlign w:val="center"/>
                </w:tcPr>
                <w:p w14:paraId="576E4B0E">
                  <w:pPr>
                    <w:jc w:val="center"/>
                    <w:rPr>
                      <w:rFonts w:hint="default" w:ascii="Times New Roman" w:hAnsi="Times New Roman" w:cs="Times New Roman"/>
                      <w:b/>
                      <w:bCs/>
                      <w:color w:val="auto"/>
                    </w:rPr>
                  </w:pPr>
                  <w:r>
                    <w:rPr>
                      <w:rFonts w:hint="default" w:ascii="Times New Roman" w:hAnsi="Times New Roman" w:cs="Times New Roman"/>
                      <w:b/>
                      <w:bCs/>
                      <w:color w:val="auto"/>
                      <w:lang w:val="en-US" w:eastAsia="zh-CN"/>
                    </w:rPr>
                    <w:t>监测点位</w:t>
                  </w:r>
                </w:p>
              </w:tc>
              <w:tc>
                <w:tcPr>
                  <w:tcW w:w="606" w:type="pct"/>
                  <w:vMerge w:val="restart"/>
                  <w:vAlign w:val="center"/>
                </w:tcPr>
                <w:p w14:paraId="2187928E">
                  <w:pPr>
                    <w:jc w:val="center"/>
                    <w:rPr>
                      <w:rFonts w:hint="default" w:ascii="Times New Roman" w:hAnsi="Times New Roman" w:cs="Times New Roman"/>
                      <w:b/>
                      <w:bCs/>
                      <w:color w:val="auto"/>
                    </w:rPr>
                  </w:pPr>
                  <w:r>
                    <w:rPr>
                      <w:rFonts w:hint="default" w:ascii="Times New Roman" w:hAnsi="Times New Roman" w:cs="Times New Roman"/>
                      <w:b/>
                      <w:bCs/>
                      <w:color w:val="auto"/>
                    </w:rPr>
                    <w:t>监测项目</w:t>
                  </w:r>
                </w:p>
              </w:tc>
              <w:tc>
                <w:tcPr>
                  <w:tcW w:w="1294" w:type="pct"/>
                  <w:gridSpan w:val="2"/>
                  <w:vAlign w:val="center"/>
                </w:tcPr>
                <w:p w14:paraId="6DED1CFF">
                  <w:pPr>
                    <w:jc w:val="center"/>
                    <w:rPr>
                      <w:rFonts w:hint="default" w:ascii="Times New Roman" w:hAnsi="Times New Roman" w:cs="Times New Roman"/>
                      <w:b/>
                      <w:bCs/>
                      <w:color w:val="auto"/>
                    </w:rPr>
                  </w:pPr>
                  <w:r>
                    <w:rPr>
                      <w:rFonts w:hint="default" w:ascii="Times New Roman" w:hAnsi="Times New Roman" w:cs="Times New Roman"/>
                      <w:b/>
                      <w:bCs/>
                      <w:color w:val="auto"/>
                    </w:rPr>
                    <w:t>检测结果</w:t>
                  </w:r>
                </w:p>
              </w:tc>
              <w:tc>
                <w:tcPr>
                  <w:tcW w:w="1284" w:type="pct"/>
                  <w:gridSpan w:val="2"/>
                  <w:vAlign w:val="center"/>
                </w:tcPr>
                <w:p w14:paraId="26D413BC">
                  <w:pPr>
                    <w:jc w:val="center"/>
                    <w:rPr>
                      <w:rFonts w:hint="default" w:ascii="Times New Roman" w:hAnsi="Times New Roman" w:cs="Times New Roman"/>
                      <w:b/>
                      <w:bCs/>
                      <w:color w:val="auto"/>
                    </w:rPr>
                  </w:pPr>
                  <w:r>
                    <w:rPr>
                      <w:rFonts w:hint="default" w:ascii="Times New Roman" w:hAnsi="Times New Roman" w:cs="Times New Roman"/>
                      <w:b/>
                      <w:bCs/>
                      <w:color w:val="auto"/>
                    </w:rPr>
                    <w:t>标准限值</w:t>
                  </w:r>
                </w:p>
              </w:tc>
              <w:tc>
                <w:tcPr>
                  <w:tcW w:w="377" w:type="pct"/>
                  <w:vMerge w:val="restart"/>
                  <w:vAlign w:val="center"/>
                </w:tcPr>
                <w:p w14:paraId="7A19357E">
                  <w:pPr>
                    <w:jc w:val="center"/>
                    <w:rPr>
                      <w:rFonts w:hint="default" w:ascii="Times New Roman" w:hAnsi="Times New Roman" w:cs="Times New Roman"/>
                      <w:b/>
                      <w:bCs/>
                      <w:color w:val="auto"/>
                    </w:rPr>
                  </w:pPr>
                  <w:r>
                    <w:rPr>
                      <w:rFonts w:hint="default" w:ascii="Times New Roman" w:hAnsi="Times New Roman" w:cs="Times New Roman"/>
                      <w:b/>
                      <w:bCs/>
                      <w:color w:val="auto"/>
                    </w:rPr>
                    <w:t>达标分析</w:t>
                  </w:r>
                </w:p>
              </w:tc>
            </w:tr>
            <w:tr w14:paraId="6AC9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508" w:type="pct"/>
                  <w:vAlign w:val="center"/>
                </w:tcPr>
                <w:p w14:paraId="295CC21D">
                  <w:pPr>
                    <w:jc w:val="center"/>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val="en-US" w:eastAsia="zh-CN"/>
                    </w:rPr>
                    <w:t>编号</w:t>
                  </w:r>
                </w:p>
              </w:tc>
              <w:tc>
                <w:tcPr>
                  <w:tcW w:w="927" w:type="pct"/>
                  <w:vAlign w:val="center"/>
                </w:tcPr>
                <w:p w14:paraId="2CFB2F66">
                  <w:pPr>
                    <w:jc w:val="center"/>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val="en-US" w:eastAsia="zh-CN"/>
                    </w:rPr>
                    <w:t>名称</w:t>
                  </w:r>
                </w:p>
              </w:tc>
              <w:tc>
                <w:tcPr>
                  <w:tcW w:w="606" w:type="pct"/>
                  <w:vMerge w:val="continue"/>
                  <w:vAlign w:val="center"/>
                </w:tcPr>
                <w:p w14:paraId="2DB87EA8">
                  <w:pPr>
                    <w:jc w:val="center"/>
                    <w:rPr>
                      <w:rFonts w:hint="default" w:ascii="Times New Roman" w:hAnsi="Times New Roman" w:cs="Times New Roman"/>
                      <w:b/>
                      <w:bCs/>
                      <w:color w:val="auto"/>
                    </w:rPr>
                  </w:pPr>
                </w:p>
              </w:tc>
              <w:tc>
                <w:tcPr>
                  <w:tcW w:w="677" w:type="pct"/>
                  <w:vAlign w:val="center"/>
                </w:tcPr>
                <w:p w14:paraId="4759483B">
                  <w:pPr>
                    <w:pStyle w:val="126"/>
                    <w:spacing w:before="0" w:beforeLines="0" w:line="240" w:lineRule="auto"/>
                    <w:ind w:firstLine="0" w:firstLineChars="0"/>
                    <w:jc w:val="center"/>
                    <w:rPr>
                      <w:rFonts w:hint="default" w:ascii="Times New Roman" w:hAnsi="Times New Roman" w:cs="Times New Roman"/>
                      <w:b/>
                      <w:bCs/>
                      <w:color w:val="auto"/>
                    </w:rPr>
                  </w:pPr>
                  <w:r>
                    <w:rPr>
                      <w:rFonts w:hint="default" w:ascii="Times New Roman" w:hAnsi="Times New Roman" w:cs="Times New Roman"/>
                      <w:b/>
                      <w:bCs/>
                      <w:color w:val="auto"/>
                    </w:rPr>
                    <w:t>排放浓度（mg/m</w:t>
                  </w:r>
                  <w:r>
                    <w:rPr>
                      <w:rFonts w:hint="default" w:ascii="Times New Roman" w:hAnsi="Times New Roman" w:cs="Times New Roman"/>
                      <w:b/>
                      <w:bCs/>
                      <w:color w:val="auto"/>
                      <w:vertAlign w:val="superscript"/>
                    </w:rPr>
                    <w:t>3</w:t>
                  </w:r>
                  <w:r>
                    <w:rPr>
                      <w:rFonts w:hint="default" w:ascii="Times New Roman" w:hAnsi="Times New Roman" w:cs="Times New Roman"/>
                      <w:b/>
                      <w:bCs/>
                      <w:color w:val="auto"/>
                    </w:rPr>
                    <w:t>）</w:t>
                  </w:r>
                </w:p>
              </w:tc>
              <w:tc>
                <w:tcPr>
                  <w:tcW w:w="616" w:type="pct"/>
                  <w:vAlign w:val="center"/>
                </w:tcPr>
                <w:p w14:paraId="2552C8E0">
                  <w:pPr>
                    <w:jc w:val="center"/>
                    <w:rPr>
                      <w:rFonts w:hint="default" w:ascii="Times New Roman" w:hAnsi="Times New Roman" w:cs="Times New Roman"/>
                      <w:b/>
                      <w:bCs/>
                      <w:color w:val="auto"/>
                    </w:rPr>
                  </w:pPr>
                  <w:r>
                    <w:rPr>
                      <w:rFonts w:hint="default" w:ascii="Times New Roman" w:hAnsi="Times New Roman" w:cs="Times New Roman"/>
                      <w:b/>
                      <w:bCs/>
                      <w:color w:val="auto"/>
                    </w:rPr>
                    <w:t>排放速率（kg/h）</w:t>
                  </w:r>
                </w:p>
              </w:tc>
              <w:tc>
                <w:tcPr>
                  <w:tcW w:w="667" w:type="pct"/>
                  <w:vAlign w:val="center"/>
                </w:tcPr>
                <w:p w14:paraId="2FDE2590">
                  <w:pPr>
                    <w:pStyle w:val="126"/>
                    <w:spacing w:before="0" w:beforeLines="0" w:line="240" w:lineRule="auto"/>
                    <w:ind w:firstLine="0" w:firstLineChars="0"/>
                    <w:jc w:val="center"/>
                    <w:rPr>
                      <w:rFonts w:hint="default" w:ascii="Times New Roman" w:hAnsi="Times New Roman" w:cs="Times New Roman"/>
                      <w:b/>
                      <w:bCs/>
                      <w:color w:val="auto"/>
                    </w:rPr>
                  </w:pPr>
                  <w:r>
                    <w:rPr>
                      <w:rFonts w:hint="default" w:ascii="Times New Roman" w:hAnsi="Times New Roman" w:cs="Times New Roman"/>
                      <w:b/>
                      <w:bCs/>
                      <w:color w:val="auto"/>
                    </w:rPr>
                    <w:t>排放浓度（mg/m</w:t>
                  </w:r>
                  <w:r>
                    <w:rPr>
                      <w:rFonts w:hint="default" w:ascii="Times New Roman" w:hAnsi="Times New Roman" w:cs="Times New Roman"/>
                      <w:b/>
                      <w:bCs/>
                      <w:color w:val="auto"/>
                      <w:vertAlign w:val="superscript"/>
                    </w:rPr>
                    <w:t>3</w:t>
                  </w:r>
                  <w:r>
                    <w:rPr>
                      <w:rFonts w:hint="default" w:ascii="Times New Roman" w:hAnsi="Times New Roman" w:cs="Times New Roman"/>
                      <w:b/>
                      <w:bCs/>
                      <w:color w:val="auto"/>
                    </w:rPr>
                    <w:t>）</w:t>
                  </w:r>
                </w:p>
              </w:tc>
              <w:tc>
                <w:tcPr>
                  <w:tcW w:w="616" w:type="pct"/>
                  <w:vAlign w:val="center"/>
                </w:tcPr>
                <w:p w14:paraId="1E8FE4C0">
                  <w:pPr>
                    <w:jc w:val="center"/>
                    <w:rPr>
                      <w:rFonts w:hint="default" w:ascii="Times New Roman" w:hAnsi="Times New Roman" w:cs="Times New Roman"/>
                      <w:b/>
                      <w:bCs/>
                      <w:color w:val="auto"/>
                    </w:rPr>
                  </w:pPr>
                  <w:r>
                    <w:rPr>
                      <w:rFonts w:hint="default" w:ascii="Times New Roman" w:hAnsi="Times New Roman" w:cs="Times New Roman"/>
                      <w:b/>
                      <w:bCs/>
                      <w:color w:val="auto"/>
                    </w:rPr>
                    <w:t>排放速率（kg/h）</w:t>
                  </w:r>
                </w:p>
              </w:tc>
              <w:tc>
                <w:tcPr>
                  <w:tcW w:w="377" w:type="pct"/>
                  <w:vMerge w:val="continue"/>
                  <w:vAlign w:val="center"/>
                </w:tcPr>
                <w:p w14:paraId="602D2313">
                  <w:pPr>
                    <w:jc w:val="center"/>
                    <w:rPr>
                      <w:rFonts w:hint="default" w:ascii="Times New Roman" w:hAnsi="Times New Roman" w:cs="Times New Roman"/>
                      <w:b/>
                      <w:bCs/>
                      <w:color w:val="auto"/>
                    </w:rPr>
                  </w:pPr>
                </w:p>
              </w:tc>
            </w:tr>
            <w:tr w14:paraId="56C9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8" w:type="pct"/>
                  <w:vAlign w:val="center"/>
                </w:tcPr>
                <w:p w14:paraId="44AF8136">
                  <w:pPr>
                    <w:pStyle w:val="126"/>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DA001</w:t>
                  </w:r>
                </w:p>
              </w:tc>
              <w:tc>
                <w:tcPr>
                  <w:tcW w:w="927" w:type="pct"/>
                  <w:vAlign w:val="center"/>
                </w:tcPr>
                <w:p w14:paraId="6A9DEFE5">
                  <w:pPr>
                    <w:pStyle w:val="126"/>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一期中频炉+抛丸废气排放口</w:t>
                  </w:r>
                </w:p>
              </w:tc>
              <w:tc>
                <w:tcPr>
                  <w:tcW w:w="606" w:type="pct"/>
                  <w:vAlign w:val="center"/>
                </w:tcPr>
                <w:p w14:paraId="71D754E5">
                  <w:pPr>
                    <w:pStyle w:val="126"/>
                    <w:spacing w:before="0" w:beforeLines="0"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颗粒物</w:t>
                  </w:r>
                </w:p>
              </w:tc>
              <w:tc>
                <w:tcPr>
                  <w:tcW w:w="677" w:type="pct"/>
                  <w:vAlign w:val="center"/>
                </w:tcPr>
                <w:p w14:paraId="746890DF">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15.6</w:t>
                  </w:r>
                </w:p>
              </w:tc>
              <w:tc>
                <w:tcPr>
                  <w:tcW w:w="616" w:type="pct"/>
                  <w:vAlign w:val="center"/>
                </w:tcPr>
                <w:p w14:paraId="5F4DE9BB">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0.004</w:t>
                  </w:r>
                </w:p>
              </w:tc>
              <w:tc>
                <w:tcPr>
                  <w:tcW w:w="667" w:type="pct"/>
                  <w:vAlign w:val="center"/>
                </w:tcPr>
                <w:p w14:paraId="48B62CCB">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30</w:t>
                  </w:r>
                </w:p>
              </w:tc>
              <w:tc>
                <w:tcPr>
                  <w:tcW w:w="616" w:type="pct"/>
                  <w:vAlign w:val="center"/>
                </w:tcPr>
                <w:p w14:paraId="7AD15BB9">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377" w:type="pct"/>
                  <w:vAlign w:val="center"/>
                </w:tcPr>
                <w:p w14:paraId="343D3D5F">
                  <w:pPr>
                    <w:snapToGrid w:val="0"/>
                    <w:jc w:val="center"/>
                    <w:rPr>
                      <w:rFonts w:hint="default" w:ascii="Times New Roman" w:hAnsi="Times New Roman" w:cs="Times New Roman"/>
                      <w:color w:val="auto"/>
                    </w:rPr>
                  </w:pPr>
                  <w:r>
                    <w:rPr>
                      <w:rFonts w:hint="default" w:ascii="Times New Roman" w:hAnsi="Times New Roman" w:cs="Times New Roman"/>
                      <w:color w:val="auto"/>
                    </w:rPr>
                    <w:t>达标</w:t>
                  </w:r>
                </w:p>
              </w:tc>
            </w:tr>
            <w:tr w14:paraId="0CE1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8" w:type="pct"/>
                  <w:vAlign w:val="center"/>
                </w:tcPr>
                <w:p w14:paraId="0881AB4E">
                  <w:pPr>
                    <w:pStyle w:val="126"/>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DA002</w:t>
                  </w:r>
                </w:p>
              </w:tc>
              <w:tc>
                <w:tcPr>
                  <w:tcW w:w="927" w:type="pct"/>
                  <w:vAlign w:val="center"/>
                </w:tcPr>
                <w:p w14:paraId="729A0BB4">
                  <w:pPr>
                    <w:pStyle w:val="126"/>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二期熔化废气排放口</w:t>
                  </w:r>
                </w:p>
              </w:tc>
              <w:tc>
                <w:tcPr>
                  <w:tcW w:w="606" w:type="pct"/>
                  <w:vAlign w:val="center"/>
                </w:tcPr>
                <w:p w14:paraId="0182E16F">
                  <w:pPr>
                    <w:pStyle w:val="126"/>
                    <w:spacing w:before="0" w:beforeLines="0" w:line="240" w:lineRule="auto"/>
                    <w:ind w:firstLine="0" w:firstLineChars="0"/>
                    <w:jc w:val="center"/>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颗粒物</w:t>
                  </w:r>
                </w:p>
              </w:tc>
              <w:tc>
                <w:tcPr>
                  <w:tcW w:w="677" w:type="pct"/>
                  <w:vAlign w:val="center"/>
                </w:tcPr>
                <w:p w14:paraId="010A729B">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15.0</w:t>
                  </w:r>
                </w:p>
              </w:tc>
              <w:tc>
                <w:tcPr>
                  <w:tcW w:w="616" w:type="pct"/>
                  <w:vAlign w:val="center"/>
                </w:tcPr>
                <w:p w14:paraId="1884F4C4">
                  <w:pPr>
                    <w:snapToGrid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0.056</w:t>
                  </w:r>
                </w:p>
              </w:tc>
              <w:tc>
                <w:tcPr>
                  <w:tcW w:w="667" w:type="pct"/>
                  <w:vAlign w:val="center"/>
                </w:tcPr>
                <w:p w14:paraId="65C59ABF">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30</w:t>
                  </w:r>
                </w:p>
              </w:tc>
              <w:tc>
                <w:tcPr>
                  <w:tcW w:w="616" w:type="pct"/>
                  <w:vAlign w:val="center"/>
                </w:tcPr>
                <w:p w14:paraId="7AAB817A">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377" w:type="pct"/>
                  <w:vAlign w:val="center"/>
                </w:tcPr>
                <w:p w14:paraId="6145621E">
                  <w:pPr>
                    <w:snapToGrid w:val="0"/>
                    <w:jc w:val="center"/>
                    <w:rPr>
                      <w:rFonts w:hint="default" w:ascii="Times New Roman" w:hAnsi="Times New Roman" w:cs="Times New Roman"/>
                      <w:color w:val="auto"/>
                    </w:rPr>
                  </w:pPr>
                  <w:r>
                    <w:rPr>
                      <w:rFonts w:hint="default" w:ascii="Times New Roman" w:hAnsi="Times New Roman" w:cs="Times New Roman"/>
                      <w:color w:val="auto"/>
                    </w:rPr>
                    <w:t>达标</w:t>
                  </w:r>
                </w:p>
              </w:tc>
            </w:tr>
            <w:tr w14:paraId="5078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08" w:type="pct"/>
                  <w:vAlign w:val="center"/>
                </w:tcPr>
                <w:p w14:paraId="62D4B236">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DA003</w:t>
                  </w:r>
                </w:p>
              </w:tc>
              <w:tc>
                <w:tcPr>
                  <w:tcW w:w="927" w:type="pct"/>
                  <w:vAlign w:val="center"/>
                </w:tcPr>
                <w:p w14:paraId="435A55B6">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二期工艺废气排放口</w:t>
                  </w:r>
                </w:p>
              </w:tc>
              <w:tc>
                <w:tcPr>
                  <w:tcW w:w="606" w:type="pct"/>
                  <w:vAlign w:val="center"/>
                </w:tcPr>
                <w:p w14:paraId="6EBB67DB">
                  <w:pPr>
                    <w:pStyle w:val="126"/>
                    <w:spacing w:before="0" w:beforeLines="0" w:line="240" w:lineRule="auto"/>
                    <w:ind w:firstLine="0" w:firstLineChars="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颗粒物</w:t>
                  </w:r>
                </w:p>
              </w:tc>
              <w:tc>
                <w:tcPr>
                  <w:tcW w:w="677" w:type="pct"/>
                  <w:vAlign w:val="center"/>
                </w:tcPr>
                <w:p w14:paraId="0B85A3E2">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13.4</w:t>
                  </w:r>
                </w:p>
              </w:tc>
              <w:tc>
                <w:tcPr>
                  <w:tcW w:w="616" w:type="pct"/>
                  <w:vAlign w:val="center"/>
                </w:tcPr>
                <w:p w14:paraId="21812490">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0.085</w:t>
                  </w:r>
                </w:p>
              </w:tc>
              <w:tc>
                <w:tcPr>
                  <w:tcW w:w="667" w:type="pct"/>
                  <w:vAlign w:val="center"/>
                </w:tcPr>
                <w:p w14:paraId="6B3D36E7">
                  <w:pPr>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30</w:t>
                  </w:r>
                </w:p>
              </w:tc>
              <w:tc>
                <w:tcPr>
                  <w:tcW w:w="616" w:type="pct"/>
                  <w:vAlign w:val="center"/>
                </w:tcPr>
                <w:p w14:paraId="6A937EB1">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377" w:type="pct"/>
                  <w:vAlign w:val="center"/>
                </w:tcPr>
                <w:p w14:paraId="33AB95B7">
                  <w:pPr>
                    <w:snapToGrid w:val="0"/>
                    <w:jc w:val="center"/>
                    <w:rPr>
                      <w:rFonts w:hint="default" w:ascii="Times New Roman" w:hAnsi="Times New Roman" w:cs="Times New Roman"/>
                      <w:color w:val="auto"/>
                    </w:rPr>
                  </w:pPr>
                  <w:r>
                    <w:rPr>
                      <w:rFonts w:hint="default" w:ascii="Times New Roman" w:hAnsi="Times New Roman" w:cs="Times New Roman"/>
                      <w:color w:val="auto"/>
                    </w:rPr>
                    <w:t>达标</w:t>
                  </w:r>
                </w:p>
              </w:tc>
            </w:tr>
            <w:tr w14:paraId="52D1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08" w:type="pct"/>
                  <w:vMerge w:val="restart"/>
                  <w:vAlign w:val="center"/>
                </w:tcPr>
                <w:p w14:paraId="3B3558D9">
                  <w:pPr>
                    <w:pStyle w:val="126"/>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DA004</w:t>
                  </w:r>
                </w:p>
              </w:tc>
              <w:tc>
                <w:tcPr>
                  <w:tcW w:w="927" w:type="pct"/>
                  <w:vMerge w:val="restart"/>
                  <w:vAlign w:val="center"/>
                </w:tcPr>
                <w:p w14:paraId="586E0C22">
                  <w:pPr>
                    <w:pStyle w:val="126"/>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三期工艺废气排放口</w:t>
                  </w:r>
                </w:p>
              </w:tc>
              <w:tc>
                <w:tcPr>
                  <w:tcW w:w="606" w:type="pct"/>
                  <w:vAlign w:val="center"/>
                </w:tcPr>
                <w:p w14:paraId="2D8A4DC6">
                  <w:pPr>
                    <w:pStyle w:val="126"/>
                    <w:spacing w:before="0" w:beforeLines="0"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lang w:val="en-US" w:eastAsia="zh-CN"/>
                    </w:rPr>
                    <w:t>颗粒物</w:t>
                  </w:r>
                </w:p>
              </w:tc>
              <w:tc>
                <w:tcPr>
                  <w:tcW w:w="677" w:type="pct"/>
                  <w:vAlign w:val="center"/>
                </w:tcPr>
                <w:p w14:paraId="7ED7C731">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17.8</w:t>
                  </w:r>
                </w:p>
              </w:tc>
              <w:tc>
                <w:tcPr>
                  <w:tcW w:w="616" w:type="pct"/>
                  <w:vAlign w:val="center"/>
                </w:tcPr>
                <w:p w14:paraId="272EDC8F">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0.019</w:t>
                  </w:r>
                </w:p>
              </w:tc>
              <w:tc>
                <w:tcPr>
                  <w:tcW w:w="667" w:type="pct"/>
                  <w:vAlign w:val="center"/>
                </w:tcPr>
                <w:p w14:paraId="1E7BACAC">
                  <w:pPr>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30</w:t>
                  </w:r>
                </w:p>
              </w:tc>
              <w:tc>
                <w:tcPr>
                  <w:tcW w:w="616" w:type="pct"/>
                  <w:vAlign w:val="center"/>
                </w:tcPr>
                <w:p w14:paraId="7CEE3557">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377" w:type="pct"/>
                  <w:vAlign w:val="center"/>
                </w:tcPr>
                <w:p w14:paraId="02CCDE93">
                  <w:pPr>
                    <w:snapToGrid w:val="0"/>
                    <w:jc w:val="center"/>
                    <w:rPr>
                      <w:rFonts w:hint="default" w:ascii="Times New Roman" w:hAnsi="Times New Roman" w:cs="Times New Roman"/>
                      <w:color w:val="auto"/>
                    </w:rPr>
                  </w:pPr>
                  <w:r>
                    <w:rPr>
                      <w:rFonts w:hint="default" w:ascii="Times New Roman" w:hAnsi="Times New Roman" w:cs="Times New Roman"/>
                      <w:color w:val="auto"/>
                    </w:rPr>
                    <w:t>达标</w:t>
                  </w:r>
                </w:p>
              </w:tc>
            </w:tr>
            <w:tr w14:paraId="79EC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508" w:type="pct"/>
                  <w:vMerge w:val="continue"/>
                  <w:vAlign w:val="center"/>
                </w:tcPr>
                <w:p w14:paraId="130BA1CF">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927" w:type="pct"/>
                  <w:vMerge w:val="continue"/>
                  <w:vAlign w:val="center"/>
                </w:tcPr>
                <w:p w14:paraId="6CBBAE1D">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606" w:type="pct"/>
                  <w:vAlign w:val="center"/>
                </w:tcPr>
                <w:p w14:paraId="0E2C2E14">
                  <w:pPr>
                    <w:pStyle w:val="126"/>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VOCs</w:t>
                  </w:r>
                </w:p>
              </w:tc>
              <w:tc>
                <w:tcPr>
                  <w:tcW w:w="677" w:type="pct"/>
                  <w:vAlign w:val="center"/>
                </w:tcPr>
                <w:p w14:paraId="4D1ECECF">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3.50</w:t>
                  </w:r>
                </w:p>
              </w:tc>
              <w:tc>
                <w:tcPr>
                  <w:tcW w:w="616" w:type="pct"/>
                  <w:vAlign w:val="center"/>
                </w:tcPr>
                <w:p w14:paraId="72BEB5D3">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0.0039</w:t>
                  </w:r>
                </w:p>
              </w:tc>
              <w:tc>
                <w:tcPr>
                  <w:tcW w:w="667" w:type="pct"/>
                  <w:vAlign w:val="center"/>
                </w:tcPr>
                <w:p w14:paraId="611152EA">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100</w:t>
                  </w:r>
                </w:p>
              </w:tc>
              <w:tc>
                <w:tcPr>
                  <w:tcW w:w="616" w:type="pct"/>
                  <w:vAlign w:val="center"/>
                </w:tcPr>
                <w:p w14:paraId="0FB9F5A2">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377" w:type="pct"/>
                  <w:vAlign w:val="center"/>
                </w:tcPr>
                <w:p w14:paraId="133DA4F2">
                  <w:pPr>
                    <w:snapToGrid w:val="0"/>
                    <w:jc w:val="center"/>
                    <w:rPr>
                      <w:rFonts w:hint="default" w:ascii="Times New Roman" w:hAnsi="Times New Roman" w:cs="Times New Roman"/>
                      <w:color w:val="auto"/>
                    </w:rPr>
                  </w:pPr>
                  <w:r>
                    <w:rPr>
                      <w:rFonts w:hint="default" w:ascii="Times New Roman" w:hAnsi="Times New Roman" w:cs="Times New Roman"/>
                      <w:color w:val="auto"/>
                    </w:rPr>
                    <w:t>达标</w:t>
                  </w:r>
                </w:p>
              </w:tc>
            </w:tr>
            <w:tr w14:paraId="2823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8" w:type="pct"/>
                  <w:vMerge w:val="continue"/>
                  <w:vAlign w:val="center"/>
                </w:tcPr>
                <w:p w14:paraId="716AEFCB">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927" w:type="pct"/>
                  <w:vMerge w:val="continue"/>
                  <w:vAlign w:val="center"/>
                </w:tcPr>
                <w:p w14:paraId="428608E3">
                  <w:pPr>
                    <w:pStyle w:val="126"/>
                    <w:spacing w:before="0" w:beforeLines="0" w:line="240" w:lineRule="auto"/>
                    <w:ind w:firstLine="0" w:firstLineChars="0"/>
                    <w:jc w:val="center"/>
                    <w:rPr>
                      <w:rFonts w:hint="default" w:ascii="Times New Roman" w:hAnsi="Times New Roman" w:cs="Times New Roman"/>
                      <w:color w:val="auto"/>
                      <w:lang w:val="en-US" w:eastAsia="zh-CN"/>
                    </w:rPr>
                  </w:pPr>
                </w:p>
              </w:tc>
              <w:tc>
                <w:tcPr>
                  <w:tcW w:w="606" w:type="pct"/>
                  <w:vAlign w:val="center"/>
                </w:tcPr>
                <w:p w14:paraId="0AB01724">
                  <w:pPr>
                    <w:pStyle w:val="126"/>
                    <w:spacing w:before="0" w:beforeLines="0"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非甲烷总烃</w:t>
                  </w:r>
                </w:p>
              </w:tc>
              <w:tc>
                <w:tcPr>
                  <w:tcW w:w="677" w:type="pct"/>
                  <w:vAlign w:val="center"/>
                </w:tcPr>
                <w:p w14:paraId="62F07F9E">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7.9</w:t>
                  </w:r>
                </w:p>
              </w:tc>
              <w:tc>
                <w:tcPr>
                  <w:tcW w:w="616" w:type="pct"/>
                  <w:vAlign w:val="center"/>
                </w:tcPr>
                <w:p w14:paraId="7A427D83">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0.0083</w:t>
                  </w:r>
                </w:p>
              </w:tc>
              <w:tc>
                <w:tcPr>
                  <w:tcW w:w="667" w:type="pct"/>
                  <w:vAlign w:val="center"/>
                </w:tcPr>
                <w:p w14:paraId="7A190C3B">
                  <w:pPr>
                    <w:pStyle w:val="126"/>
                    <w:snapToGrid w:val="0"/>
                    <w:spacing w:before="0" w:beforeLines="0"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80</w:t>
                  </w:r>
                </w:p>
              </w:tc>
              <w:tc>
                <w:tcPr>
                  <w:tcW w:w="616" w:type="pct"/>
                  <w:vAlign w:val="center"/>
                </w:tcPr>
                <w:p w14:paraId="1EBD2E2C">
                  <w:pPr>
                    <w:snapToGrid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377" w:type="pct"/>
                  <w:vAlign w:val="center"/>
                </w:tcPr>
                <w:p w14:paraId="7E52E9C5">
                  <w:pPr>
                    <w:snapToGrid w:val="0"/>
                    <w:jc w:val="center"/>
                    <w:rPr>
                      <w:rFonts w:hint="default" w:ascii="Times New Roman" w:hAnsi="Times New Roman" w:cs="Times New Roman"/>
                      <w:color w:val="auto"/>
                    </w:rPr>
                  </w:pPr>
                  <w:r>
                    <w:rPr>
                      <w:rFonts w:hint="default" w:ascii="Times New Roman" w:hAnsi="Times New Roman" w:cs="Times New Roman"/>
                      <w:color w:val="auto"/>
                    </w:rPr>
                    <w:t>达标</w:t>
                  </w:r>
                </w:p>
              </w:tc>
            </w:tr>
            <w:tr w14:paraId="6E60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00" w:type="pct"/>
                  <w:gridSpan w:val="8"/>
                  <w:vAlign w:val="center"/>
                </w:tcPr>
                <w:p w14:paraId="76971F6C">
                  <w:pPr>
                    <w:pStyle w:val="126"/>
                    <w:spacing w:before="0" w:beforeLines="0" w:line="240" w:lineRule="auto"/>
                    <w:ind w:firstLine="0" w:firstLineChars="0"/>
                    <w:jc w:val="both"/>
                    <w:rPr>
                      <w:rFonts w:hint="default" w:ascii="Times New Roman" w:hAnsi="Times New Roman" w:eastAsia="宋体" w:cs="Times New Roman"/>
                      <w:color w:val="auto"/>
                      <w:lang w:val="en-US" w:eastAsia="zh-CN"/>
                    </w:rPr>
                  </w:pPr>
                  <w:r>
                    <w:rPr>
                      <w:rFonts w:hint="default" w:ascii="Times New Roman" w:hAnsi="Times New Roman" w:cs="Times New Roman"/>
                      <w:color w:val="auto"/>
                      <w:sz w:val="21"/>
                      <w:szCs w:val="21"/>
                    </w:rPr>
                    <w:t>备注</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kern w:val="0"/>
                      <w:sz w:val="21"/>
                      <w:szCs w:val="21"/>
                      <w:highlight w:val="none"/>
                      <w:lang w:bidi="ar"/>
                    </w:rPr>
                    <w:t>颗粒物</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val="en-US" w:eastAsia="zh-CN" w:bidi="ar"/>
                    </w:rPr>
                    <w:t>TVOC</w:t>
                  </w:r>
                  <w:r>
                    <w:rPr>
                      <w:rFonts w:hint="default" w:ascii="Times New Roman" w:hAnsi="Times New Roman" w:cs="Times New Roman"/>
                      <w:color w:val="auto"/>
                      <w:kern w:val="0"/>
                      <w:sz w:val="21"/>
                      <w:szCs w:val="21"/>
                      <w:highlight w:val="none"/>
                      <w:lang w:bidi="ar"/>
                    </w:rPr>
                    <w:t>执行</w:t>
                  </w:r>
                  <w:r>
                    <w:rPr>
                      <w:rFonts w:hint="default" w:ascii="Times New Roman" w:hAnsi="Times New Roman" w:cs="Times New Roman"/>
                      <w:color w:val="auto"/>
                      <w:sz w:val="21"/>
                      <w:szCs w:val="21"/>
                      <w:highlight w:val="none"/>
                    </w:rPr>
                    <w:t>《铸造工业大气污染物排放标准》（GB 39726—2020）</w:t>
                  </w:r>
                  <w:r>
                    <w:rPr>
                      <w:rFonts w:hint="default" w:ascii="Times New Roman" w:hAnsi="Times New Roman" w:cs="Times New Roman"/>
                      <w:color w:val="auto"/>
                      <w:sz w:val="21"/>
                      <w:szCs w:val="21"/>
                      <w:highlight w:val="none"/>
                      <w:lang w:val="en-US" w:eastAsia="zh-CN"/>
                    </w:rPr>
                    <w:t>表1大气污染物排放限值，</w:t>
                  </w:r>
                  <w:r>
                    <w:rPr>
                      <w:rFonts w:hint="default" w:ascii="Times New Roman" w:hAnsi="Times New Roman" w:eastAsia="宋体" w:cs="Times New Roman"/>
                      <w:i w:val="0"/>
                      <w:iCs w:val="0"/>
                      <w:caps w:val="0"/>
                      <w:color w:val="auto"/>
                      <w:spacing w:val="0"/>
                      <w:sz w:val="21"/>
                      <w:szCs w:val="21"/>
                      <w:shd w:val="clear" w:fill="FFFFFF"/>
                      <w:lang w:val="en-US" w:eastAsia="zh-CN"/>
                    </w:rPr>
                    <w:t>非甲烷总烃执行《</w:t>
                  </w:r>
                  <w:r>
                    <w:rPr>
                      <w:rFonts w:hint="default" w:ascii="Times New Roman" w:hAnsi="Times New Roman" w:eastAsia="宋体" w:cs="Times New Roman"/>
                      <w:i w:val="0"/>
                      <w:iCs w:val="0"/>
                      <w:caps w:val="0"/>
                      <w:color w:val="auto"/>
                      <w:spacing w:val="0"/>
                      <w:sz w:val="21"/>
                      <w:szCs w:val="21"/>
                      <w:shd w:val="clear" w:fill="FFFFFF"/>
                    </w:rPr>
                    <w:t>广东省固定污染源挥发性有机物综合排放标准</w:t>
                  </w:r>
                  <w:r>
                    <w:rPr>
                      <w:rFonts w:hint="default" w:ascii="Times New Roman" w:hAnsi="Times New Roman" w:eastAsia="宋体" w:cs="Times New Roman"/>
                      <w:i w:val="0"/>
                      <w:iCs w:val="0"/>
                      <w:caps w:val="0"/>
                      <w:color w:val="auto"/>
                      <w:spacing w:val="0"/>
                      <w:sz w:val="21"/>
                      <w:szCs w:val="21"/>
                      <w:shd w:val="clear" w:fill="FFFFFF"/>
                      <w:lang w:eastAsia="zh-CN"/>
                    </w:rPr>
                    <w:t>》（</w:t>
                  </w:r>
                  <w:r>
                    <w:rPr>
                      <w:rFonts w:hint="default" w:ascii="Times New Roman" w:hAnsi="Times New Roman" w:eastAsia="宋体" w:cs="Times New Roman"/>
                      <w:i w:val="0"/>
                      <w:iCs w:val="0"/>
                      <w:caps w:val="0"/>
                      <w:color w:val="auto"/>
                      <w:spacing w:val="0"/>
                      <w:sz w:val="21"/>
                      <w:szCs w:val="21"/>
                      <w:shd w:val="clear" w:fill="FFFFFF"/>
                    </w:rPr>
                    <w:t>DB44/ 2367—2022</w:t>
                  </w:r>
                  <w:r>
                    <w:rPr>
                      <w:rFonts w:hint="default" w:ascii="Times New Roman" w:hAnsi="Times New Roman" w:eastAsia="宋体" w:cs="Times New Roman"/>
                      <w:i w:val="0"/>
                      <w:iCs w:val="0"/>
                      <w:caps w:val="0"/>
                      <w:color w:val="auto"/>
                      <w:spacing w:val="0"/>
                      <w:sz w:val="21"/>
                      <w:szCs w:val="21"/>
                      <w:shd w:val="clear" w:fill="FFFFFF"/>
                      <w:lang w:eastAsia="zh-CN"/>
                    </w:rPr>
                    <w:t>）</w:t>
                  </w:r>
                  <w:r>
                    <w:rPr>
                      <w:rFonts w:hint="default" w:ascii="Times New Roman" w:hAnsi="Times New Roman" w:eastAsia="宋体" w:cs="Times New Roman"/>
                      <w:i w:val="0"/>
                      <w:iCs w:val="0"/>
                      <w:caps w:val="0"/>
                      <w:color w:val="auto"/>
                      <w:spacing w:val="0"/>
                      <w:sz w:val="21"/>
                      <w:szCs w:val="21"/>
                      <w:shd w:val="clear" w:fill="FFFFFF"/>
                      <w:lang w:val="en-US" w:eastAsia="zh-CN"/>
                    </w:rPr>
                    <w:t>表1 挥发性有机物排放限值。</w:t>
                  </w:r>
                </w:p>
              </w:tc>
            </w:tr>
          </w:tbl>
          <w:p w14:paraId="1A794199">
            <w:pPr>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szCs w:val="24"/>
                <w:highlight w:val="none"/>
              </w:rPr>
              <w:t>表2</w:t>
            </w:r>
            <w:r>
              <w:rPr>
                <w:rFonts w:hint="default" w:ascii="Times New Roman" w:hAnsi="Times New Roman" w:cs="Times New Roman"/>
                <w:b/>
                <w:bCs/>
                <w:color w:val="auto"/>
                <w:sz w:val="24"/>
                <w:szCs w:val="24"/>
                <w:highlight w:val="none"/>
                <w:lang w:val="en-US" w:eastAsia="zh-CN"/>
              </w:rPr>
              <w:t>-17</w:t>
            </w:r>
            <w:r>
              <w:rPr>
                <w:rFonts w:hint="default" w:ascii="Times New Roman" w:hAnsi="Times New Roman" w:cs="Times New Roman"/>
                <w:b/>
                <w:bCs/>
                <w:color w:val="auto"/>
                <w:sz w:val="24"/>
                <w:szCs w:val="24"/>
                <w:highlight w:val="none"/>
              </w:rPr>
              <w:t xml:space="preserve"> 原项</w:t>
            </w:r>
            <w:r>
              <w:rPr>
                <w:rFonts w:hint="default" w:ascii="Times New Roman" w:hAnsi="Times New Roman" w:cs="Times New Roman"/>
                <w:b/>
                <w:bCs/>
                <w:color w:val="auto"/>
                <w:sz w:val="24"/>
                <w:highlight w:val="none"/>
              </w:rPr>
              <w:t>目无组织废气排放情况一览表</w:t>
            </w:r>
          </w:p>
          <w:tbl>
            <w:tblPr>
              <w:tblStyle w:val="27"/>
              <w:tblW w:w="88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1411"/>
              <w:gridCol w:w="1830"/>
              <w:gridCol w:w="2040"/>
              <w:gridCol w:w="1200"/>
            </w:tblGrid>
            <w:tr w14:paraId="4255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393" w:type="dxa"/>
                  <w:vMerge w:val="restart"/>
                  <w:vAlign w:val="center"/>
                </w:tcPr>
                <w:p w14:paraId="54F660E0">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检测点位</w:t>
                  </w:r>
                </w:p>
              </w:tc>
              <w:tc>
                <w:tcPr>
                  <w:tcW w:w="1411" w:type="dxa"/>
                  <w:vMerge w:val="restart"/>
                  <w:vAlign w:val="center"/>
                </w:tcPr>
                <w:p w14:paraId="5BE2F4FF">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污染物种类</w:t>
                  </w:r>
                </w:p>
              </w:tc>
              <w:tc>
                <w:tcPr>
                  <w:tcW w:w="1830" w:type="dxa"/>
                  <w:vMerge w:val="restart"/>
                  <w:vAlign w:val="center"/>
                </w:tcPr>
                <w:p w14:paraId="4DEFADAF">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许可排放浓度（</w:t>
                  </w:r>
                  <w:r>
                    <w:rPr>
                      <w:rFonts w:hint="default" w:ascii="Times New Roman" w:hAnsi="Times New Roman" w:eastAsia="Times New Roman" w:cs="Times New Roman"/>
                      <w:color w:val="auto"/>
                      <w:highlight w:val="none"/>
                    </w:rPr>
                    <w:t>mg/m</w:t>
                  </w:r>
                  <w:r>
                    <w:rPr>
                      <w:rFonts w:hint="default" w:ascii="Times New Roman" w:hAnsi="Times New Roman" w:eastAsia="Times New Roman" w:cs="Times New Roman"/>
                      <w:color w:val="auto"/>
                      <w:highlight w:val="none"/>
                      <w:vertAlign w:val="superscript"/>
                    </w:rPr>
                    <w:t>3</w:t>
                  </w:r>
                  <w:r>
                    <w:rPr>
                      <w:rFonts w:hint="default" w:ascii="Times New Roman" w:hAnsi="Times New Roman" w:cs="Times New Roman"/>
                      <w:color w:val="auto"/>
                      <w:highlight w:val="none"/>
                    </w:rPr>
                    <w:t>）</w:t>
                  </w:r>
                </w:p>
              </w:tc>
              <w:tc>
                <w:tcPr>
                  <w:tcW w:w="2040" w:type="dxa"/>
                  <w:vAlign w:val="center"/>
                </w:tcPr>
                <w:p w14:paraId="6DA7B93B">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监测结果</w:t>
                  </w:r>
                </w:p>
              </w:tc>
              <w:tc>
                <w:tcPr>
                  <w:tcW w:w="1200" w:type="dxa"/>
                  <w:vMerge w:val="restart"/>
                  <w:vAlign w:val="center"/>
                </w:tcPr>
                <w:p w14:paraId="66A84A7F">
                  <w:pPr>
                    <w:jc w:val="center"/>
                    <w:rPr>
                      <w:rFonts w:hint="default" w:ascii="Times New Roman" w:hAnsi="Times New Roman" w:cs="Times New Roman"/>
                      <w:color w:val="auto"/>
                      <w:highlight w:val="none"/>
                    </w:rPr>
                  </w:pPr>
                  <w:r>
                    <w:rPr>
                      <w:rFonts w:hint="default" w:ascii="Times New Roman" w:hAnsi="Times New Roman" w:cs="Times New Roman"/>
                      <w:b w:val="0"/>
                      <w:bCs w:val="0"/>
                      <w:color w:val="auto"/>
                    </w:rPr>
                    <w:t>达标分析</w:t>
                  </w:r>
                </w:p>
              </w:tc>
            </w:tr>
            <w:tr w14:paraId="4468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93" w:type="dxa"/>
                  <w:vMerge w:val="continue"/>
                  <w:vAlign w:val="center"/>
                </w:tcPr>
                <w:p w14:paraId="6E96AA4E">
                  <w:pPr>
                    <w:jc w:val="center"/>
                    <w:rPr>
                      <w:rFonts w:hint="default" w:ascii="Times New Roman" w:hAnsi="Times New Roman" w:eastAsia="Times New Roman" w:cs="Times New Roman"/>
                      <w:color w:val="auto"/>
                      <w:highlight w:val="none"/>
                    </w:rPr>
                  </w:pPr>
                </w:p>
              </w:tc>
              <w:tc>
                <w:tcPr>
                  <w:tcW w:w="1411" w:type="dxa"/>
                  <w:vMerge w:val="continue"/>
                  <w:vAlign w:val="center"/>
                </w:tcPr>
                <w:p w14:paraId="09767478">
                  <w:pPr>
                    <w:jc w:val="center"/>
                    <w:rPr>
                      <w:rFonts w:hint="default" w:ascii="Times New Roman" w:hAnsi="Times New Roman" w:eastAsia="Times New Roman" w:cs="Times New Roman"/>
                      <w:color w:val="auto"/>
                      <w:highlight w:val="none"/>
                    </w:rPr>
                  </w:pPr>
                </w:p>
              </w:tc>
              <w:tc>
                <w:tcPr>
                  <w:tcW w:w="1830" w:type="dxa"/>
                  <w:vMerge w:val="continue"/>
                  <w:vAlign w:val="center"/>
                </w:tcPr>
                <w:p w14:paraId="4DF2C046">
                  <w:pPr>
                    <w:jc w:val="center"/>
                    <w:rPr>
                      <w:rFonts w:hint="default" w:ascii="Times New Roman" w:hAnsi="Times New Roman" w:eastAsia="Times New Roman" w:cs="Times New Roman"/>
                      <w:color w:val="auto"/>
                      <w:highlight w:val="none"/>
                    </w:rPr>
                  </w:pPr>
                </w:p>
              </w:tc>
              <w:tc>
                <w:tcPr>
                  <w:tcW w:w="2040" w:type="dxa"/>
                  <w:vAlign w:val="center"/>
                </w:tcPr>
                <w:p w14:paraId="38ECA42E">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排放浓度（</w:t>
                  </w:r>
                  <w:r>
                    <w:rPr>
                      <w:rFonts w:hint="default" w:ascii="Times New Roman" w:hAnsi="Times New Roman" w:eastAsia="Times New Roman" w:cs="Times New Roman"/>
                      <w:color w:val="auto"/>
                      <w:highlight w:val="none"/>
                    </w:rPr>
                    <w:t>mg/m</w:t>
                  </w:r>
                  <w:r>
                    <w:rPr>
                      <w:rFonts w:hint="default" w:ascii="Times New Roman" w:hAnsi="Times New Roman" w:eastAsia="Times New Roman" w:cs="Times New Roman"/>
                      <w:color w:val="auto"/>
                      <w:highlight w:val="none"/>
                      <w:vertAlign w:val="superscript"/>
                    </w:rPr>
                    <w:t>3</w:t>
                  </w:r>
                  <w:r>
                    <w:rPr>
                      <w:rFonts w:hint="default" w:ascii="Times New Roman" w:hAnsi="Times New Roman" w:cs="Times New Roman"/>
                      <w:color w:val="auto"/>
                      <w:highlight w:val="none"/>
                    </w:rPr>
                    <w:t>）</w:t>
                  </w:r>
                </w:p>
              </w:tc>
              <w:tc>
                <w:tcPr>
                  <w:tcW w:w="1200" w:type="dxa"/>
                  <w:vMerge w:val="continue"/>
                  <w:vAlign w:val="center"/>
                </w:tcPr>
                <w:p w14:paraId="3EB95C77">
                  <w:pPr>
                    <w:jc w:val="center"/>
                    <w:rPr>
                      <w:rFonts w:hint="default" w:ascii="Times New Roman" w:hAnsi="Times New Roman" w:cs="Times New Roman"/>
                      <w:color w:val="auto"/>
                      <w:highlight w:val="none"/>
                    </w:rPr>
                  </w:pPr>
                </w:p>
              </w:tc>
            </w:tr>
            <w:tr w14:paraId="2A73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93" w:type="dxa"/>
                  <w:vAlign w:val="center"/>
                </w:tcPr>
                <w:p w14:paraId="09D9D854">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无组织上风向参照点</w:t>
                  </w:r>
                </w:p>
              </w:tc>
              <w:tc>
                <w:tcPr>
                  <w:tcW w:w="1411" w:type="dxa"/>
                  <w:vAlign w:val="center"/>
                </w:tcPr>
                <w:p w14:paraId="0A0AEA30">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颗粒物</w:t>
                  </w:r>
                </w:p>
              </w:tc>
              <w:tc>
                <w:tcPr>
                  <w:tcW w:w="1830" w:type="dxa"/>
                  <w:vAlign w:val="center"/>
                </w:tcPr>
                <w:p w14:paraId="4A61CB2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1.0</w:t>
                  </w:r>
                </w:p>
              </w:tc>
              <w:tc>
                <w:tcPr>
                  <w:tcW w:w="2040" w:type="dxa"/>
                  <w:vAlign w:val="center"/>
                </w:tcPr>
                <w:p w14:paraId="184FCB5C">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0.084</w:t>
                  </w:r>
                </w:p>
              </w:tc>
              <w:tc>
                <w:tcPr>
                  <w:tcW w:w="1200" w:type="dxa"/>
                  <w:vAlign w:val="center"/>
                </w:tcPr>
                <w:p w14:paraId="4B90B9BB">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达标</w:t>
                  </w:r>
                </w:p>
              </w:tc>
            </w:tr>
            <w:tr w14:paraId="6AF4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393" w:type="dxa"/>
                  <w:vAlign w:val="center"/>
                </w:tcPr>
                <w:p w14:paraId="2D74F51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无组织下风向监控点</w:t>
                  </w:r>
                </w:p>
              </w:tc>
              <w:tc>
                <w:tcPr>
                  <w:tcW w:w="1411" w:type="dxa"/>
                  <w:vAlign w:val="center"/>
                </w:tcPr>
                <w:p w14:paraId="365381DD">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颗粒物</w:t>
                  </w:r>
                </w:p>
              </w:tc>
              <w:tc>
                <w:tcPr>
                  <w:tcW w:w="1830" w:type="dxa"/>
                  <w:vAlign w:val="center"/>
                </w:tcPr>
                <w:p w14:paraId="1CCC39F5">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1.0</w:t>
                  </w:r>
                </w:p>
              </w:tc>
              <w:tc>
                <w:tcPr>
                  <w:tcW w:w="2040" w:type="dxa"/>
                  <w:vAlign w:val="center"/>
                </w:tcPr>
                <w:p w14:paraId="238AEBC6">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0.185</w:t>
                  </w:r>
                </w:p>
              </w:tc>
              <w:tc>
                <w:tcPr>
                  <w:tcW w:w="1200" w:type="dxa"/>
                  <w:vAlign w:val="center"/>
                </w:tcPr>
                <w:p w14:paraId="3DDDFE1F">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达标</w:t>
                  </w:r>
                </w:p>
              </w:tc>
            </w:tr>
            <w:tr w14:paraId="1715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vAlign w:val="center"/>
                </w:tcPr>
                <w:p w14:paraId="637EEAE7">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无组织下风向监控点</w:t>
                  </w:r>
                </w:p>
              </w:tc>
              <w:tc>
                <w:tcPr>
                  <w:tcW w:w="1411" w:type="dxa"/>
                  <w:vAlign w:val="center"/>
                </w:tcPr>
                <w:p w14:paraId="0F065EE7">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颗粒物</w:t>
                  </w:r>
                </w:p>
              </w:tc>
              <w:tc>
                <w:tcPr>
                  <w:tcW w:w="1830" w:type="dxa"/>
                  <w:vAlign w:val="center"/>
                </w:tcPr>
                <w:p w14:paraId="0DEFEC7C">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1.0</w:t>
                  </w:r>
                </w:p>
              </w:tc>
              <w:tc>
                <w:tcPr>
                  <w:tcW w:w="2040" w:type="dxa"/>
                  <w:vAlign w:val="center"/>
                </w:tcPr>
                <w:p w14:paraId="29F70ABB">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0.176</w:t>
                  </w:r>
                </w:p>
              </w:tc>
              <w:tc>
                <w:tcPr>
                  <w:tcW w:w="1200" w:type="dxa"/>
                  <w:vAlign w:val="center"/>
                </w:tcPr>
                <w:p w14:paraId="67FCAA3D">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达标</w:t>
                  </w:r>
                </w:p>
              </w:tc>
            </w:tr>
            <w:tr w14:paraId="5B63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vAlign w:val="center"/>
                </w:tcPr>
                <w:p w14:paraId="3E47407D">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无组织下风向监控点</w:t>
                  </w:r>
                </w:p>
              </w:tc>
              <w:tc>
                <w:tcPr>
                  <w:tcW w:w="1411" w:type="dxa"/>
                  <w:vAlign w:val="center"/>
                </w:tcPr>
                <w:p w14:paraId="44DECBB7">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颗粒物</w:t>
                  </w:r>
                </w:p>
              </w:tc>
              <w:tc>
                <w:tcPr>
                  <w:tcW w:w="1830" w:type="dxa"/>
                  <w:vAlign w:val="center"/>
                </w:tcPr>
                <w:p w14:paraId="73D5B702">
                  <w:pPr>
                    <w:jc w:val="center"/>
                    <w:rPr>
                      <w:rFonts w:hint="default" w:ascii="Times New Roman" w:hAnsi="Times New Roman" w:eastAsia="Times New Roman" w:cs="Times New Roman"/>
                      <w:color w:val="auto"/>
                      <w:highlight w:val="none"/>
                    </w:rPr>
                  </w:pPr>
                  <w:r>
                    <w:rPr>
                      <w:rFonts w:hint="default" w:ascii="Times New Roman" w:hAnsi="Times New Roman" w:cs="Times New Roman"/>
                      <w:color w:val="auto"/>
                      <w:highlight w:val="none"/>
                    </w:rPr>
                    <w:t>1.0</w:t>
                  </w:r>
                </w:p>
              </w:tc>
              <w:tc>
                <w:tcPr>
                  <w:tcW w:w="2040" w:type="dxa"/>
                  <w:shd w:val="clear" w:color="auto" w:fill="auto"/>
                  <w:vAlign w:val="center"/>
                </w:tcPr>
                <w:p w14:paraId="521BF0B8">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0.167</w:t>
                  </w:r>
                </w:p>
              </w:tc>
              <w:tc>
                <w:tcPr>
                  <w:tcW w:w="1200" w:type="dxa"/>
                  <w:shd w:val="clear" w:color="auto" w:fill="auto"/>
                  <w:vAlign w:val="center"/>
                </w:tcPr>
                <w:p w14:paraId="2611178B">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rPr>
                    <w:t>达标</w:t>
                  </w:r>
                </w:p>
              </w:tc>
            </w:tr>
            <w:tr w14:paraId="05FB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vAlign w:val="center"/>
                </w:tcPr>
                <w:p w14:paraId="1867187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无组织上风向参照点</w:t>
                  </w:r>
                </w:p>
              </w:tc>
              <w:tc>
                <w:tcPr>
                  <w:tcW w:w="1411" w:type="dxa"/>
                  <w:vAlign w:val="center"/>
                </w:tcPr>
                <w:p w14:paraId="3F928683">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VOCs</w:t>
                  </w:r>
                </w:p>
              </w:tc>
              <w:tc>
                <w:tcPr>
                  <w:tcW w:w="1830" w:type="dxa"/>
                  <w:vAlign w:val="center"/>
                </w:tcPr>
                <w:p w14:paraId="28A7FFD7">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2.0</w:t>
                  </w:r>
                </w:p>
              </w:tc>
              <w:tc>
                <w:tcPr>
                  <w:tcW w:w="2040" w:type="dxa"/>
                  <w:shd w:val="clear" w:color="auto" w:fill="auto"/>
                  <w:vAlign w:val="center"/>
                </w:tcPr>
                <w:p w14:paraId="5B9E6BCE">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ND</w:t>
                  </w:r>
                </w:p>
              </w:tc>
              <w:tc>
                <w:tcPr>
                  <w:tcW w:w="1200" w:type="dxa"/>
                  <w:shd w:val="clear" w:color="auto" w:fill="auto"/>
                  <w:vAlign w:val="center"/>
                </w:tcPr>
                <w:p w14:paraId="18413347">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rPr>
                    <w:t>达标</w:t>
                  </w:r>
                </w:p>
              </w:tc>
            </w:tr>
            <w:tr w14:paraId="3CB5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vAlign w:val="center"/>
                </w:tcPr>
                <w:p w14:paraId="33F062E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无组织下风向监控点</w:t>
                  </w:r>
                </w:p>
              </w:tc>
              <w:tc>
                <w:tcPr>
                  <w:tcW w:w="1411" w:type="dxa"/>
                  <w:vAlign w:val="center"/>
                </w:tcPr>
                <w:p w14:paraId="419C7FF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VOCs</w:t>
                  </w:r>
                </w:p>
              </w:tc>
              <w:tc>
                <w:tcPr>
                  <w:tcW w:w="1830" w:type="dxa"/>
                  <w:vAlign w:val="center"/>
                </w:tcPr>
                <w:p w14:paraId="348378D0">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2.0</w:t>
                  </w:r>
                </w:p>
              </w:tc>
              <w:tc>
                <w:tcPr>
                  <w:tcW w:w="2040" w:type="dxa"/>
                  <w:vAlign w:val="center"/>
                </w:tcPr>
                <w:p w14:paraId="3AA0AFA1">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0.01</w:t>
                  </w:r>
                </w:p>
              </w:tc>
              <w:tc>
                <w:tcPr>
                  <w:tcW w:w="1200" w:type="dxa"/>
                  <w:vAlign w:val="center"/>
                </w:tcPr>
                <w:p w14:paraId="56254FFD">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达标</w:t>
                  </w:r>
                </w:p>
              </w:tc>
            </w:tr>
            <w:tr w14:paraId="0949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vAlign w:val="center"/>
                </w:tcPr>
                <w:p w14:paraId="02230A4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无组织下风向监控点</w:t>
                  </w:r>
                </w:p>
              </w:tc>
              <w:tc>
                <w:tcPr>
                  <w:tcW w:w="1411" w:type="dxa"/>
                  <w:vAlign w:val="center"/>
                </w:tcPr>
                <w:p w14:paraId="0F8D8CD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VOCs</w:t>
                  </w:r>
                </w:p>
              </w:tc>
              <w:tc>
                <w:tcPr>
                  <w:tcW w:w="1830" w:type="dxa"/>
                  <w:vAlign w:val="center"/>
                </w:tcPr>
                <w:p w14:paraId="5ECCBF2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2.0</w:t>
                  </w:r>
                </w:p>
              </w:tc>
              <w:tc>
                <w:tcPr>
                  <w:tcW w:w="2040" w:type="dxa"/>
                  <w:vAlign w:val="center"/>
                </w:tcPr>
                <w:p w14:paraId="3D01C750">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0.0</w:t>
                  </w:r>
                </w:p>
              </w:tc>
              <w:tc>
                <w:tcPr>
                  <w:tcW w:w="1200" w:type="dxa"/>
                  <w:vAlign w:val="center"/>
                </w:tcPr>
                <w:p w14:paraId="13C615B3">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达标</w:t>
                  </w:r>
                </w:p>
              </w:tc>
            </w:tr>
            <w:tr w14:paraId="6FC9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vAlign w:val="center"/>
                </w:tcPr>
                <w:p w14:paraId="72E5549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无组织下风向监控点</w:t>
                  </w:r>
                </w:p>
              </w:tc>
              <w:tc>
                <w:tcPr>
                  <w:tcW w:w="1411" w:type="dxa"/>
                  <w:vAlign w:val="center"/>
                </w:tcPr>
                <w:p w14:paraId="55C9E50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VOCs</w:t>
                  </w:r>
                </w:p>
              </w:tc>
              <w:tc>
                <w:tcPr>
                  <w:tcW w:w="1830" w:type="dxa"/>
                  <w:vAlign w:val="center"/>
                </w:tcPr>
                <w:p w14:paraId="05A7374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2.0</w:t>
                  </w:r>
                </w:p>
              </w:tc>
              <w:tc>
                <w:tcPr>
                  <w:tcW w:w="2040" w:type="dxa"/>
                  <w:vAlign w:val="center"/>
                </w:tcPr>
                <w:p w14:paraId="70F8D820">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0.07</w:t>
                  </w:r>
                </w:p>
              </w:tc>
              <w:tc>
                <w:tcPr>
                  <w:tcW w:w="1200" w:type="dxa"/>
                  <w:vAlign w:val="center"/>
                </w:tcPr>
                <w:p w14:paraId="7DD199CB">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达标</w:t>
                  </w:r>
                </w:p>
              </w:tc>
            </w:tr>
            <w:tr w14:paraId="5B59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4" w:type="dxa"/>
                  <w:gridSpan w:val="5"/>
                  <w:vAlign w:val="center"/>
                </w:tcPr>
                <w:p w14:paraId="41D9FE73">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备注：.厂界颗粒物执行广东省地方标准《大气污染物排放限值》(DB 44/27-2001)第二时段无组织排放监控点浓度限值，VOCs执行广东省地方标准《家具制造行业挥发性有机化合物排放标准》(DB44/814-2010)表2无组织排放监控点浓度限值。</w:t>
                  </w:r>
                </w:p>
              </w:tc>
            </w:tr>
          </w:tbl>
          <w:p w14:paraId="3E3DACD9">
            <w:pPr>
              <w:pStyle w:val="2"/>
              <w:numPr>
                <w:ilvl w:val="0"/>
                <w:numId w:val="0"/>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由上表的监测结果表明，原有项目废气污染物均达标排放。</w:t>
            </w:r>
          </w:p>
          <w:p w14:paraId="3F1A4D5C">
            <w:pPr>
              <w:pStyle w:val="2"/>
              <w:numPr>
                <w:ilvl w:val="0"/>
                <w:numId w:val="0"/>
              </w:numPr>
              <w:spacing w:line="360" w:lineRule="auto"/>
              <w:ind w:left="480" w:leftChars="0"/>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rPr>
              <w:t>②</w:t>
            </w:r>
            <w:r>
              <w:rPr>
                <w:rFonts w:hint="default" w:ascii="Times New Roman" w:hAnsi="Times New Roman" w:cs="Times New Roman"/>
                <w:b/>
                <w:bCs/>
                <w:color w:val="auto"/>
                <w:sz w:val="24"/>
                <w:szCs w:val="24"/>
                <w:lang w:val="en-US" w:eastAsia="zh-CN"/>
              </w:rPr>
              <w:t>废水</w:t>
            </w:r>
          </w:p>
          <w:p w14:paraId="2447FAE6">
            <w:pPr>
              <w:pStyle w:val="126"/>
              <w:numPr>
                <w:ilvl w:val="0"/>
                <w:numId w:val="0"/>
              </w:numPr>
              <w:autoSpaceDE w:val="0"/>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原项目（一期、二期、三期）劳动定员</w:t>
            </w:r>
            <w:r>
              <w:rPr>
                <w:rFonts w:hint="default" w:ascii="Times New Roman" w:hAnsi="Times New Roman" w:cs="Times New Roman"/>
                <w:bCs/>
                <w:color w:val="auto"/>
                <w:sz w:val="24"/>
                <w:szCs w:val="24"/>
                <w:lang w:val="en-US" w:eastAsia="zh-CN"/>
              </w:rPr>
              <w:t>76</w:t>
            </w:r>
            <w:r>
              <w:rPr>
                <w:rFonts w:hint="default" w:ascii="Times New Roman" w:hAnsi="Times New Roman" w:cs="Times New Roman"/>
                <w:bCs/>
                <w:color w:val="auto"/>
                <w:sz w:val="24"/>
                <w:szCs w:val="24"/>
              </w:rPr>
              <w:t>人，年工作300天，实行一天1班，一班8小时工作制，</w:t>
            </w:r>
            <w:r>
              <w:rPr>
                <w:rFonts w:hint="default" w:ascii="Times New Roman" w:hAnsi="Times New Roman" w:cs="Times New Roman"/>
                <w:color w:val="auto"/>
                <w:sz w:val="24"/>
                <w:szCs w:val="24"/>
                <w:highlight w:val="none"/>
                <w:lang w:val="en-US" w:eastAsia="zh-CN"/>
              </w:rPr>
              <w:t>厂内不提供住宿，由饭堂提供一餐，生活用水按每人80L/d，生活用水量为1824m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/a，生活污水排放系数取90%，则生活污水排放</w:t>
            </w:r>
            <w:r>
              <w:rPr>
                <w:rFonts w:hint="default" w:ascii="Times New Roman" w:hAnsi="Times New Roman" w:cs="Times New Roman"/>
                <w:i w:val="0"/>
                <w:iCs w:val="0"/>
                <w:color w:val="auto"/>
                <w:sz w:val="24"/>
                <w:szCs w:val="24"/>
                <w:highlight w:val="none"/>
                <w:lang w:val="en-US" w:eastAsia="zh-CN"/>
              </w:rPr>
              <w:t>量</w:t>
            </w:r>
            <w:r>
              <w:rPr>
                <w:rFonts w:hint="default" w:ascii="Times New Roman" w:hAnsi="Times New Roman" w:cs="Times New Roman"/>
                <w:color w:val="auto"/>
                <w:sz w:val="24"/>
                <w:szCs w:val="24"/>
                <w:highlight w:val="none"/>
                <w:lang w:val="en-US" w:eastAsia="zh-CN"/>
              </w:rPr>
              <w:t>为1641.6m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/a，经三级化粪池处理后排入园区污水处理厂。</w:t>
            </w:r>
          </w:p>
          <w:p w14:paraId="02B8B75F">
            <w:pPr>
              <w:pStyle w:val="126"/>
              <w:numPr>
                <w:ilvl w:val="0"/>
                <w:numId w:val="0"/>
              </w:numPr>
              <w:autoSpaceDE w:val="0"/>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根据四期、五期环评报告，四期和五期拟劳动定员各85人，工作制度与已投产原项目一致，生活用水按每人80L/d，生活用水量为4080m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/a，生活污水排放系数取90%，则生活污水排放</w:t>
            </w:r>
            <w:r>
              <w:rPr>
                <w:rFonts w:hint="default" w:ascii="Times New Roman" w:hAnsi="Times New Roman" w:cs="Times New Roman"/>
                <w:i w:val="0"/>
                <w:iCs w:val="0"/>
                <w:color w:val="auto"/>
                <w:sz w:val="24"/>
                <w:szCs w:val="24"/>
                <w:highlight w:val="none"/>
                <w:lang w:val="en-US" w:eastAsia="zh-CN"/>
              </w:rPr>
              <w:t>量</w:t>
            </w:r>
            <w:r>
              <w:rPr>
                <w:rFonts w:hint="default" w:ascii="Times New Roman" w:hAnsi="Times New Roman" w:cs="Times New Roman"/>
                <w:color w:val="auto"/>
                <w:sz w:val="24"/>
                <w:szCs w:val="24"/>
                <w:highlight w:val="none"/>
                <w:lang w:val="en-US" w:eastAsia="zh-CN"/>
              </w:rPr>
              <w:t>为3672m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/a，经三级化粪池处理后排入园区污水处理厂。</w:t>
            </w:r>
          </w:p>
          <w:p w14:paraId="213FA47D">
            <w:pPr>
              <w:spacing w:line="360" w:lineRule="auto"/>
              <w:rPr>
                <w:rFonts w:hint="default" w:ascii="Times New Roman" w:hAnsi="Times New Roman" w:cs="Times New Roman"/>
                <w:color w:val="auto"/>
                <w:lang w:val="en-US"/>
              </w:rPr>
            </w:pPr>
            <w:r>
              <w:rPr>
                <w:rFonts w:hint="default" w:ascii="Times New Roman" w:hAnsi="Times New Roman" w:cs="Times New Roman"/>
                <w:color w:val="auto"/>
                <w:sz w:val="24"/>
                <w:szCs w:val="24"/>
                <w:highlight w:val="none"/>
                <w:lang w:val="en-US" w:eastAsia="zh-CN"/>
              </w:rPr>
              <w:t xml:space="preserve">    综上，原项目生活用水量合计5904m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/a，生活污水排放</w:t>
            </w:r>
            <w:r>
              <w:rPr>
                <w:rFonts w:hint="default" w:ascii="Times New Roman" w:hAnsi="Times New Roman" w:cs="Times New Roman"/>
                <w:i w:val="0"/>
                <w:iCs w:val="0"/>
                <w:color w:val="auto"/>
                <w:sz w:val="24"/>
                <w:szCs w:val="24"/>
                <w:highlight w:val="none"/>
                <w:lang w:val="en-US" w:eastAsia="zh-CN"/>
              </w:rPr>
              <w:t>量</w:t>
            </w:r>
            <w:r>
              <w:rPr>
                <w:rFonts w:hint="default" w:ascii="Times New Roman" w:hAnsi="Times New Roman" w:cs="Times New Roman"/>
                <w:color w:val="auto"/>
                <w:sz w:val="24"/>
                <w:szCs w:val="24"/>
                <w:highlight w:val="none"/>
                <w:lang w:val="en-US" w:eastAsia="zh-CN"/>
              </w:rPr>
              <w:t>为5496m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w:t>
            </w:r>
          </w:p>
          <w:p w14:paraId="7B4CA621">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lang w:val="en-US" w:eastAsia="zh-CN"/>
              </w:rPr>
              <w:t>引用</w:t>
            </w:r>
            <w:r>
              <w:rPr>
                <w:rFonts w:hint="default" w:ascii="Times New Roman" w:hAnsi="Times New Roman" w:cs="Times New Roman"/>
                <w:bCs/>
                <w:color w:val="auto"/>
                <w:sz w:val="24"/>
                <w:highlight w:val="none"/>
              </w:rPr>
              <w:t>2023年6月15日出具的常规检测报告（报告编号：粤北检测23061505，具体报告见附件7）</w:t>
            </w: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具体见下表</w:t>
            </w:r>
            <w:r>
              <w:rPr>
                <w:rFonts w:hint="default" w:ascii="Times New Roman" w:hAnsi="Times New Roman" w:cs="Times New Roman"/>
                <w:bCs/>
                <w:color w:val="auto"/>
                <w:sz w:val="24"/>
                <w:highlight w:val="none"/>
              </w:rPr>
              <w:t>。</w:t>
            </w:r>
          </w:p>
          <w:p w14:paraId="6CF80830">
            <w:pPr>
              <w:jc w:val="center"/>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表2-13 原项目生活污水排放情况一览表</w:t>
            </w:r>
          </w:p>
          <w:tbl>
            <w:tblPr>
              <w:tblStyle w:val="27"/>
              <w:tblW w:w="8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347"/>
              <w:gridCol w:w="1640"/>
              <w:gridCol w:w="2419"/>
              <w:gridCol w:w="2184"/>
            </w:tblGrid>
            <w:tr w14:paraId="3126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23" w:type="dxa"/>
                  <w:vMerge w:val="restart"/>
                  <w:vAlign w:val="center"/>
                </w:tcPr>
                <w:p w14:paraId="5E0BCAFA">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eastAsia="宋体" w:cs="Times New Roman"/>
                      <w:color w:val="auto"/>
                      <w:highlight w:val="none"/>
                    </w:rPr>
                    <w:t>检测点位</w:t>
                  </w:r>
                </w:p>
              </w:tc>
              <w:tc>
                <w:tcPr>
                  <w:tcW w:w="1347" w:type="dxa"/>
                  <w:vMerge w:val="restart"/>
                  <w:vAlign w:val="center"/>
                </w:tcPr>
                <w:p w14:paraId="76806C32">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污染物种类</w:t>
                  </w:r>
                </w:p>
              </w:tc>
              <w:tc>
                <w:tcPr>
                  <w:tcW w:w="1640" w:type="dxa"/>
                  <w:vMerge w:val="restart"/>
                  <w:vAlign w:val="center"/>
                </w:tcPr>
                <w:p w14:paraId="7B319ECC">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许可排放浓度限值（mg/L）</w:t>
                  </w:r>
                </w:p>
              </w:tc>
              <w:tc>
                <w:tcPr>
                  <w:tcW w:w="2419" w:type="dxa"/>
                  <w:vAlign w:val="center"/>
                </w:tcPr>
                <w:p w14:paraId="196E2D99">
                  <w:pPr>
                    <w:jc w:val="center"/>
                    <w:rPr>
                      <w:rFonts w:hint="default" w:ascii="Times New Roman" w:hAnsi="Times New Roman" w:cs="Times New Roman" w:eastAsiaTheme="minorEastAsia"/>
                      <w:bCs/>
                      <w:color w:val="auto"/>
                      <w:szCs w:val="21"/>
                      <w:highlight w:val="none"/>
                    </w:rPr>
                  </w:pPr>
                  <w:r>
                    <w:rPr>
                      <w:rFonts w:hint="default" w:ascii="Times New Roman" w:hAnsi="Times New Roman" w:cs="Times New Roman"/>
                      <w:bCs/>
                      <w:color w:val="auto"/>
                      <w:szCs w:val="21"/>
                      <w:highlight w:val="none"/>
                    </w:rPr>
                    <w:t>监测结果</w:t>
                  </w:r>
                </w:p>
              </w:tc>
              <w:tc>
                <w:tcPr>
                  <w:tcW w:w="2184" w:type="dxa"/>
                  <w:vMerge w:val="restart"/>
                  <w:vAlign w:val="center"/>
                </w:tcPr>
                <w:p w14:paraId="497108AD">
                  <w:pPr>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排放量（t/a）</w:t>
                  </w:r>
                </w:p>
              </w:tc>
            </w:tr>
            <w:tr w14:paraId="55DA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323" w:type="dxa"/>
                  <w:vMerge w:val="continue"/>
                  <w:vAlign w:val="center"/>
                </w:tcPr>
                <w:p w14:paraId="0D247BC3">
                  <w:pPr>
                    <w:pStyle w:val="8"/>
                    <w:jc w:val="center"/>
                    <w:rPr>
                      <w:rFonts w:hint="default" w:ascii="Times New Roman" w:hAnsi="Times New Roman" w:cs="Times New Roman" w:eastAsiaTheme="minorEastAsia"/>
                      <w:bCs/>
                      <w:color w:val="auto"/>
                      <w:sz w:val="21"/>
                      <w:szCs w:val="21"/>
                      <w:highlight w:val="none"/>
                    </w:rPr>
                  </w:pPr>
                </w:p>
              </w:tc>
              <w:tc>
                <w:tcPr>
                  <w:tcW w:w="1347" w:type="dxa"/>
                  <w:vMerge w:val="continue"/>
                  <w:vAlign w:val="center"/>
                </w:tcPr>
                <w:p w14:paraId="32F91235">
                  <w:pPr>
                    <w:pStyle w:val="8"/>
                    <w:jc w:val="center"/>
                    <w:rPr>
                      <w:rFonts w:hint="default" w:ascii="Times New Roman" w:hAnsi="Times New Roman" w:cs="Times New Roman" w:eastAsiaTheme="minorEastAsia"/>
                      <w:bCs/>
                      <w:color w:val="auto"/>
                      <w:sz w:val="21"/>
                      <w:szCs w:val="21"/>
                      <w:highlight w:val="none"/>
                    </w:rPr>
                  </w:pPr>
                </w:p>
              </w:tc>
              <w:tc>
                <w:tcPr>
                  <w:tcW w:w="1640" w:type="dxa"/>
                  <w:vMerge w:val="continue"/>
                  <w:vAlign w:val="center"/>
                </w:tcPr>
                <w:p w14:paraId="1285F224">
                  <w:pPr>
                    <w:pStyle w:val="8"/>
                    <w:jc w:val="center"/>
                    <w:rPr>
                      <w:rFonts w:hint="default" w:ascii="Times New Roman" w:hAnsi="Times New Roman" w:cs="Times New Roman" w:eastAsiaTheme="minorEastAsia"/>
                      <w:bCs/>
                      <w:color w:val="auto"/>
                      <w:sz w:val="21"/>
                      <w:szCs w:val="21"/>
                      <w:highlight w:val="none"/>
                    </w:rPr>
                  </w:pPr>
                </w:p>
              </w:tc>
              <w:tc>
                <w:tcPr>
                  <w:tcW w:w="2419" w:type="dxa"/>
                  <w:vAlign w:val="center"/>
                </w:tcPr>
                <w:p w14:paraId="2ACDD23C">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监测浓度（</w:t>
                  </w:r>
                  <w:r>
                    <w:rPr>
                      <w:rFonts w:hint="default" w:ascii="Times New Roman" w:hAnsi="Times New Roman" w:eastAsia="Times New Roman" w:cs="Times New Roman"/>
                      <w:bCs/>
                      <w:color w:val="auto"/>
                      <w:szCs w:val="21"/>
                      <w:highlight w:val="none"/>
                    </w:rPr>
                    <w:t>mg/</w:t>
                  </w:r>
                  <w:r>
                    <w:rPr>
                      <w:rFonts w:hint="default" w:ascii="Times New Roman" w:hAnsi="Times New Roman" w:cs="Times New Roman"/>
                      <w:bCs/>
                      <w:color w:val="auto"/>
                      <w:szCs w:val="21"/>
                      <w:highlight w:val="none"/>
                    </w:rPr>
                    <w:t>L）（pH无量纲）</w:t>
                  </w:r>
                </w:p>
              </w:tc>
              <w:tc>
                <w:tcPr>
                  <w:tcW w:w="2184" w:type="dxa"/>
                  <w:vMerge w:val="continue"/>
                  <w:vAlign w:val="center"/>
                </w:tcPr>
                <w:p w14:paraId="7B256D35">
                  <w:pPr>
                    <w:jc w:val="center"/>
                    <w:rPr>
                      <w:rFonts w:hint="default" w:ascii="Times New Roman" w:hAnsi="Times New Roman" w:cs="Times New Roman"/>
                      <w:bCs/>
                      <w:color w:val="auto"/>
                      <w:szCs w:val="21"/>
                      <w:highlight w:val="none"/>
                    </w:rPr>
                  </w:pPr>
                </w:p>
              </w:tc>
            </w:tr>
            <w:tr w14:paraId="6E30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23" w:type="dxa"/>
                  <w:vMerge w:val="restart"/>
                  <w:vAlign w:val="center"/>
                </w:tcPr>
                <w:p w14:paraId="3B7664AA">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废水排放口</w:t>
                  </w:r>
                </w:p>
              </w:tc>
              <w:tc>
                <w:tcPr>
                  <w:tcW w:w="1347" w:type="dxa"/>
                  <w:vAlign w:val="center"/>
                </w:tcPr>
                <w:p w14:paraId="219C87E7">
                  <w:pPr>
                    <w:pStyle w:val="42"/>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bCs/>
                      <w:color w:val="auto"/>
                      <w:sz w:val="21"/>
                      <w:szCs w:val="21"/>
                      <w:highlight w:val="none"/>
                    </w:rPr>
                    <w:t>pH</w:t>
                  </w:r>
                </w:p>
              </w:tc>
              <w:tc>
                <w:tcPr>
                  <w:tcW w:w="1640" w:type="dxa"/>
                  <w:vAlign w:val="center"/>
                </w:tcPr>
                <w:p w14:paraId="764D46AE">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6~9（无量纲）</w:t>
                  </w:r>
                </w:p>
              </w:tc>
              <w:tc>
                <w:tcPr>
                  <w:tcW w:w="2419" w:type="dxa"/>
                  <w:vAlign w:val="center"/>
                </w:tcPr>
                <w:p w14:paraId="6368C5D7">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6.9</w:t>
                  </w:r>
                </w:p>
              </w:tc>
              <w:tc>
                <w:tcPr>
                  <w:tcW w:w="2184" w:type="dxa"/>
                  <w:vAlign w:val="center"/>
                </w:tcPr>
                <w:p w14:paraId="6D64FD9E">
                  <w:pPr>
                    <w:keepNext w:val="0"/>
                    <w:keepLines w:val="0"/>
                    <w:widowControl/>
                    <w:suppressLineNumbers w:val="0"/>
                    <w:jc w:val="center"/>
                    <w:textAlignment w:val="center"/>
                    <w:rPr>
                      <w:rFonts w:hint="default" w:ascii="Times New Roman" w:hAnsi="Times New Roman" w:cs="Times New Roman" w:eastAsiaTheme="minorEastAsia"/>
                      <w:bCs/>
                      <w:color w:val="auto"/>
                      <w:sz w:val="21"/>
                      <w:szCs w:val="21"/>
                      <w:highlight w:val="none"/>
                      <w:lang w:val="en-US" w:eastAsia="zh-CN"/>
                    </w:rPr>
                  </w:pPr>
                  <w:r>
                    <w:rPr>
                      <w:rFonts w:hint="default" w:ascii="Times New Roman" w:hAnsi="Times New Roman" w:cs="Times New Roman" w:eastAsiaTheme="minorEastAsia"/>
                      <w:bCs/>
                      <w:color w:val="auto"/>
                      <w:sz w:val="21"/>
                      <w:szCs w:val="21"/>
                      <w:highlight w:val="none"/>
                      <w:lang w:val="en-US" w:eastAsia="zh-CN"/>
                    </w:rPr>
                    <w:t>/</w:t>
                  </w:r>
                </w:p>
              </w:tc>
            </w:tr>
            <w:tr w14:paraId="060A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323" w:type="dxa"/>
                  <w:vMerge w:val="continue"/>
                  <w:vAlign w:val="center"/>
                </w:tcPr>
                <w:p w14:paraId="36A93461">
                  <w:pPr>
                    <w:pStyle w:val="8"/>
                    <w:jc w:val="center"/>
                    <w:rPr>
                      <w:rFonts w:hint="default" w:ascii="Times New Roman" w:hAnsi="Times New Roman" w:cs="Times New Roman" w:eastAsiaTheme="minorEastAsia"/>
                      <w:bCs/>
                      <w:color w:val="auto"/>
                      <w:sz w:val="21"/>
                      <w:szCs w:val="21"/>
                      <w:highlight w:val="none"/>
                    </w:rPr>
                  </w:pPr>
                </w:p>
              </w:tc>
              <w:tc>
                <w:tcPr>
                  <w:tcW w:w="1347" w:type="dxa"/>
                  <w:vAlign w:val="center"/>
                </w:tcPr>
                <w:p w14:paraId="1A9CE748">
                  <w:pPr>
                    <w:pStyle w:val="42"/>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bCs/>
                      <w:color w:val="auto"/>
                      <w:sz w:val="21"/>
                      <w:szCs w:val="21"/>
                      <w:highlight w:val="none"/>
                    </w:rPr>
                    <w:t>CODcr</w:t>
                  </w:r>
                </w:p>
              </w:tc>
              <w:tc>
                <w:tcPr>
                  <w:tcW w:w="1640" w:type="dxa"/>
                  <w:vAlign w:val="center"/>
                </w:tcPr>
                <w:p w14:paraId="5D25AA96">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300</w:t>
                  </w:r>
                </w:p>
              </w:tc>
              <w:tc>
                <w:tcPr>
                  <w:tcW w:w="2419" w:type="dxa"/>
                  <w:vAlign w:val="center"/>
                </w:tcPr>
                <w:p w14:paraId="04F0598D">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30.4</w:t>
                  </w:r>
                </w:p>
              </w:tc>
              <w:tc>
                <w:tcPr>
                  <w:tcW w:w="2184" w:type="dxa"/>
                  <w:vAlign w:val="center"/>
                </w:tcPr>
                <w:p w14:paraId="25AF8C63">
                  <w:pPr>
                    <w:keepNext w:val="0"/>
                    <w:keepLines w:val="0"/>
                    <w:widowControl/>
                    <w:suppressLineNumbers w:val="0"/>
                    <w:jc w:val="center"/>
                    <w:textAlignment w:val="center"/>
                    <w:rPr>
                      <w:rFonts w:hint="default" w:ascii="Times New Roman" w:hAnsi="Times New Roman" w:cs="Times New Roman" w:eastAsiaTheme="minorEastAsia"/>
                      <w:bCs/>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0.167</w:t>
                  </w:r>
                </w:p>
              </w:tc>
            </w:tr>
            <w:tr w14:paraId="26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323" w:type="dxa"/>
                  <w:vMerge w:val="continue"/>
                  <w:vAlign w:val="center"/>
                </w:tcPr>
                <w:p w14:paraId="30F28E6B">
                  <w:pPr>
                    <w:pStyle w:val="8"/>
                    <w:jc w:val="center"/>
                    <w:rPr>
                      <w:rFonts w:hint="default" w:ascii="Times New Roman" w:hAnsi="Times New Roman" w:cs="Times New Roman" w:eastAsiaTheme="minorEastAsia"/>
                      <w:bCs/>
                      <w:color w:val="auto"/>
                      <w:sz w:val="21"/>
                      <w:szCs w:val="21"/>
                      <w:highlight w:val="none"/>
                    </w:rPr>
                  </w:pPr>
                </w:p>
              </w:tc>
              <w:tc>
                <w:tcPr>
                  <w:tcW w:w="1347" w:type="dxa"/>
                  <w:vAlign w:val="center"/>
                </w:tcPr>
                <w:p w14:paraId="1F7E0EBC">
                  <w:pPr>
                    <w:pStyle w:val="42"/>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bCs/>
                      <w:color w:val="auto"/>
                      <w:sz w:val="21"/>
                      <w:szCs w:val="21"/>
                      <w:highlight w:val="none"/>
                    </w:rPr>
                    <w:t>BOD</w:t>
                  </w:r>
                  <w:r>
                    <w:rPr>
                      <w:rFonts w:hint="default" w:ascii="Times New Roman" w:hAnsi="Times New Roman" w:cs="Times New Roman"/>
                      <w:bCs/>
                      <w:color w:val="auto"/>
                      <w:sz w:val="21"/>
                      <w:szCs w:val="21"/>
                      <w:highlight w:val="none"/>
                      <w:vertAlign w:val="subscript"/>
                    </w:rPr>
                    <w:t>5</w:t>
                  </w:r>
                </w:p>
              </w:tc>
              <w:tc>
                <w:tcPr>
                  <w:tcW w:w="1640" w:type="dxa"/>
                  <w:vAlign w:val="center"/>
                </w:tcPr>
                <w:p w14:paraId="4EAE3305">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150</w:t>
                  </w:r>
                </w:p>
              </w:tc>
              <w:tc>
                <w:tcPr>
                  <w:tcW w:w="2419" w:type="dxa"/>
                  <w:vAlign w:val="center"/>
                </w:tcPr>
                <w:p w14:paraId="23C80481">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15.2</w:t>
                  </w:r>
                </w:p>
              </w:tc>
              <w:tc>
                <w:tcPr>
                  <w:tcW w:w="2184" w:type="dxa"/>
                  <w:vAlign w:val="center"/>
                </w:tcPr>
                <w:p w14:paraId="08E57C33">
                  <w:pPr>
                    <w:keepNext w:val="0"/>
                    <w:keepLines w:val="0"/>
                    <w:widowControl/>
                    <w:suppressLineNumbers w:val="0"/>
                    <w:jc w:val="center"/>
                    <w:textAlignment w:val="center"/>
                    <w:rPr>
                      <w:rFonts w:hint="default" w:ascii="Times New Roman" w:hAnsi="Times New Roman" w:cs="Times New Roman" w:eastAsiaTheme="minorEastAsia"/>
                      <w:bCs/>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0.084</w:t>
                  </w:r>
                </w:p>
              </w:tc>
            </w:tr>
            <w:tr w14:paraId="2392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323" w:type="dxa"/>
                  <w:vMerge w:val="continue"/>
                  <w:vAlign w:val="center"/>
                </w:tcPr>
                <w:p w14:paraId="4B893E0B">
                  <w:pPr>
                    <w:pStyle w:val="8"/>
                    <w:jc w:val="center"/>
                    <w:rPr>
                      <w:rFonts w:hint="default" w:ascii="Times New Roman" w:hAnsi="Times New Roman" w:cs="Times New Roman" w:eastAsiaTheme="minorEastAsia"/>
                      <w:bCs/>
                      <w:color w:val="auto"/>
                      <w:sz w:val="21"/>
                      <w:szCs w:val="21"/>
                      <w:highlight w:val="none"/>
                    </w:rPr>
                  </w:pPr>
                </w:p>
              </w:tc>
              <w:tc>
                <w:tcPr>
                  <w:tcW w:w="1347" w:type="dxa"/>
                  <w:vAlign w:val="center"/>
                </w:tcPr>
                <w:p w14:paraId="7FD34C1F">
                  <w:pPr>
                    <w:pStyle w:val="42"/>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bCs/>
                      <w:color w:val="auto"/>
                      <w:sz w:val="21"/>
                      <w:szCs w:val="21"/>
                      <w:highlight w:val="none"/>
                    </w:rPr>
                    <w:t>SS</w:t>
                  </w:r>
                </w:p>
              </w:tc>
              <w:tc>
                <w:tcPr>
                  <w:tcW w:w="1640" w:type="dxa"/>
                  <w:vAlign w:val="center"/>
                </w:tcPr>
                <w:p w14:paraId="16FB2D05">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250</w:t>
                  </w:r>
                </w:p>
              </w:tc>
              <w:tc>
                <w:tcPr>
                  <w:tcW w:w="2419" w:type="dxa"/>
                  <w:vAlign w:val="center"/>
                </w:tcPr>
                <w:p w14:paraId="78C9E108">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53</w:t>
                  </w:r>
                </w:p>
              </w:tc>
              <w:tc>
                <w:tcPr>
                  <w:tcW w:w="2184" w:type="dxa"/>
                  <w:vAlign w:val="center"/>
                </w:tcPr>
                <w:p w14:paraId="677013B3">
                  <w:pPr>
                    <w:keepNext w:val="0"/>
                    <w:keepLines w:val="0"/>
                    <w:widowControl/>
                    <w:suppressLineNumbers w:val="0"/>
                    <w:jc w:val="center"/>
                    <w:textAlignment w:val="center"/>
                    <w:rPr>
                      <w:rFonts w:hint="default" w:ascii="Times New Roman" w:hAnsi="Times New Roman" w:cs="Times New Roman" w:eastAsiaTheme="minorEastAsia"/>
                      <w:bCs/>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0.291</w:t>
                  </w:r>
                </w:p>
              </w:tc>
            </w:tr>
            <w:tr w14:paraId="077F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323" w:type="dxa"/>
                  <w:vMerge w:val="continue"/>
                  <w:vAlign w:val="center"/>
                </w:tcPr>
                <w:p w14:paraId="5A9DB2DF">
                  <w:pPr>
                    <w:pStyle w:val="8"/>
                    <w:jc w:val="center"/>
                    <w:rPr>
                      <w:rFonts w:hint="default" w:ascii="Times New Roman" w:hAnsi="Times New Roman" w:cs="Times New Roman" w:eastAsiaTheme="minorEastAsia"/>
                      <w:bCs/>
                      <w:color w:val="auto"/>
                      <w:sz w:val="21"/>
                      <w:szCs w:val="21"/>
                      <w:highlight w:val="none"/>
                    </w:rPr>
                  </w:pPr>
                </w:p>
              </w:tc>
              <w:tc>
                <w:tcPr>
                  <w:tcW w:w="1347" w:type="dxa"/>
                  <w:vAlign w:val="center"/>
                </w:tcPr>
                <w:p w14:paraId="5815CEC5">
                  <w:pPr>
                    <w:pStyle w:val="42"/>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bCs/>
                      <w:color w:val="auto"/>
                      <w:sz w:val="21"/>
                      <w:szCs w:val="21"/>
                      <w:highlight w:val="none"/>
                    </w:rPr>
                    <w:t>氨氮</w:t>
                  </w:r>
                </w:p>
              </w:tc>
              <w:tc>
                <w:tcPr>
                  <w:tcW w:w="1640" w:type="dxa"/>
                  <w:vAlign w:val="center"/>
                </w:tcPr>
                <w:p w14:paraId="5B120F72">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40</w:t>
                  </w:r>
                </w:p>
              </w:tc>
              <w:tc>
                <w:tcPr>
                  <w:tcW w:w="2419" w:type="dxa"/>
                  <w:vAlign w:val="center"/>
                </w:tcPr>
                <w:p w14:paraId="2C24F820">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1.41</w:t>
                  </w:r>
                </w:p>
              </w:tc>
              <w:tc>
                <w:tcPr>
                  <w:tcW w:w="2184" w:type="dxa"/>
                  <w:vAlign w:val="center"/>
                </w:tcPr>
                <w:p w14:paraId="059A6904">
                  <w:pPr>
                    <w:keepNext w:val="0"/>
                    <w:keepLines w:val="0"/>
                    <w:widowControl/>
                    <w:suppressLineNumbers w:val="0"/>
                    <w:jc w:val="center"/>
                    <w:textAlignment w:val="center"/>
                    <w:rPr>
                      <w:rFonts w:hint="default" w:ascii="Times New Roman" w:hAnsi="Times New Roman" w:cs="Times New Roman" w:eastAsiaTheme="minorEastAsia"/>
                      <w:bCs/>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0.008</w:t>
                  </w:r>
                </w:p>
              </w:tc>
            </w:tr>
            <w:tr w14:paraId="7F20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323" w:type="dxa"/>
                  <w:vMerge w:val="continue"/>
                  <w:vAlign w:val="center"/>
                </w:tcPr>
                <w:p w14:paraId="7C8D0D78">
                  <w:pPr>
                    <w:pStyle w:val="8"/>
                    <w:jc w:val="center"/>
                    <w:rPr>
                      <w:rFonts w:hint="default" w:ascii="Times New Roman" w:hAnsi="Times New Roman" w:cs="Times New Roman" w:eastAsiaTheme="minorEastAsia"/>
                      <w:bCs/>
                      <w:color w:val="auto"/>
                      <w:sz w:val="21"/>
                      <w:szCs w:val="21"/>
                      <w:highlight w:val="none"/>
                    </w:rPr>
                  </w:pPr>
                </w:p>
              </w:tc>
              <w:tc>
                <w:tcPr>
                  <w:tcW w:w="1347" w:type="dxa"/>
                  <w:vAlign w:val="center"/>
                </w:tcPr>
                <w:p w14:paraId="2634B38A">
                  <w:pPr>
                    <w:pStyle w:val="42"/>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动植物油</w:t>
                  </w:r>
                </w:p>
              </w:tc>
              <w:tc>
                <w:tcPr>
                  <w:tcW w:w="1640" w:type="dxa"/>
                  <w:vAlign w:val="center"/>
                </w:tcPr>
                <w:p w14:paraId="5ECD2146">
                  <w:pPr>
                    <w:pStyle w:val="8"/>
                    <w:jc w:val="center"/>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w:t>
                  </w:r>
                </w:p>
              </w:tc>
              <w:tc>
                <w:tcPr>
                  <w:tcW w:w="2419" w:type="dxa"/>
                  <w:vAlign w:val="center"/>
                </w:tcPr>
                <w:p w14:paraId="08ED09E2">
                  <w:pPr>
                    <w:pStyle w:val="8"/>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0.17</w:t>
                  </w:r>
                </w:p>
              </w:tc>
              <w:tc>
                <w:tcPr>
                  <w:tcW w:w="2184" w:type="dxa"/>
                  <w:vAlign w:val="center"/>
                </w:tcPr>
                <w:p w14:paraId="162CB634">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0.001</w:t>
                  </w:r>
                </w:p>
              </w:tc>
            </w:tr>
            <w:tr w14:paraId="692F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8913" w:type="dxa"/>
                  <w:gridSpan w:val="5"/>
                  <w:vAlign w:val="center"/>
                </w:tcPr>
                <w:p w14:paraId="7E94B529">
                  <w:pPr>
                    <w:pStyle w:val="8"/>
                    <w:jc w:val="both"/>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val="en-US" w:eastAsia="zh-CN"/>
                    </w:rPr>
                    <w:t>备注：1.废水排放口各污染因子执行</w:t>
                  </w:r>
                  <w:r>
                    <w:rPr>
                      <w:rFonts w:hint="default" w:ascii="Times New Roman" w:hAnsi="Times New Roman" w:eastAsia="宋体" w:cs="Times New Roman"/>
                      <w:b w:val="0"/>
                      <w:bCs/>
                      <w:color w:val="auto"/>
                      <w:sz w:val="21"/>
                      <w:szCs w:val="21"/>
                      <w:highlight w:val="none"/>
                    </w:rPr>
                    <w:t>园区污水处理厂进水水质要求</w:t>
                  </w:r>
                  <w:r>
                    <w:rPr>
                      <w:rFonts w:hint="default" w:ascii="Times New Roman" w:hAnsi="Times New Roman" w:eastAsia="宋体" w:cs="Times New Roman"/>
                      <w:b w:val="0"/>
                      <w:bCs/>
                      <w:color w:val="auto"/>
                      <w:sz w:val="21"/>
                      <w:szCs w:val="21"/>
                      <w:highlight w:val="none"/>
                      <w:lang w:eastAsia="zh-CN"/>
                    </w:rPr>
                    <w:t>。</w:t>
                  </w:r>
                </w:p>
                <w:p w14:paraId="67F6F6BD">
                  <w:pPr>
                    <w:numPr>
                      <w:ilvl w:val="0"/>
                      <w:numId w:val="0"/>
                    </w:numPr>
                    <w:ind w:firstLine="420" w:firstLineChars="200"/>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2.由于后文需对取消原计划五期工程中的</w:t>
                  </w:r>
                  <w:r>
                    <w:rPr>
                      <w:rFonts w:hint="default" w:ascii="Times New Roman" w:hAnsi="Times New Roman" w:cs="Times New Roman"/>
                      <w:b w:val="0"/>
                      <w:bCs w:val="0"/>
                      <w:color w:val="auto"/>
                      <w:sz w:val="21"/>
                      <w:szCs w:val="21"/>
                      <w:lang w:val="en-US" w:eastAsia="zh-CN"/>
                    </w:rPr>
                    <w:t>树脂砂铸造生产线减少的污染情况进行计算，因此原项目产污分析将未建的四期、五期进行了计算。</w:t>
                  </w:r>
                </w:p>
              </w:tc>
            </w:tr>
          </w:tbl>
          <w:p w14:paraId="6BE93F04">
            <w:pPr>
              <w:pStyle w:val="2"/>
              <w:numPr>
                <w:ilvl w:val="0"/>
                <w:numId w:val="0"/>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由上表的监测结果表明，原有项目废</w:t>
            </w:r>
            <w:r>
              <w:rPr>
                <w:rFonts w:hint="default" w:ascii="Times New Roman" w:hAnsi="Times New Roman" w:cs="Times New Roman"/>
                <w:color w:val="auto"/>
                <w:sz w:val="24"/>
                <w:szCs w:val="24"/>
                <w:lang w:val="en-US" w:eastAsia="zh-CN"/>
              </w:rPr>
              <w:t>水</w:t>
            </w:r>
            <w:r>
              <w:rPr>
                <w:rFonts w:hint="default" w:ascii="Times New Roman" w:hAnsi="Times New Roman" w:cs="Times New Roman"/>
                <w:color w:val="auto"/>
                <w:sz w:val="24"/>
                <w:szCs w:val="24"/>
              </w:rPr>
              <w:t>污染物均达标排放。</w:t>
            </w:r>
          </w:p>
          <w:p w14:paraId="65019ADA">
            <w:pPr>
              <w:pStyle w:val="8"/>
              <w:spacing w:line="360" w:lineRule="auto"/>
              <w:ind w:firstLine="482" w:firstLineChars="200"/>
              <w:rPr>
                <w:rFonts w:hint="default" w:ascii="Times New Roman" w:hAnsi="Times New Roman" w:eastAsia="宋体" w:cs="Times New Roman"/>
                <w:b/>
                <w:bCs/>
                <w:color w:val="auto"/>
                <w:highlight w:val="none"/>
              </w:rPr>
            </w:pPr>
            <w:r>
              <w:rPr>
                <w:rFonts w:hint="default" w:ascii="Times New Roman" w:hAnsi="Times New Roman" w:cs="Times New Roman"/>
                <w:b/>
                <w:bCs/>
                <w:color w:val="auto"/>
                <w:sz w:val="24"/>
                <w:szCs w:val="24"/>
              </w:rPr>
              <w:t>③</w:t>
            </w:r>
            <w:r>
              <w:rPr>
                <w:rFonts w:hint="default" w:ascii="Times New Roman" w:hAnsi="Times New Roman" w:eastAsia="宋体" w:cs="Times New Roman"/>
                <w:b/>
                <w:bCs/>
                <w:color w:val="auto"/>
                <w:highlight w:val="none"/>
              </w:rPr>
              <w:t>噪声</w:t>
            </w:r>
          </w:p>
          <w:p w14:paraId="099E8DB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原项目主要为机加工设备切割机、压刨机、平刨机、切料机等设备产生的噪声，建设单位采取隔声、减振、合理布局等措施减低对外界的影响。</w:t>
            </w:r>
          </w:p>
          <w:p w14:paraId="22B05EC2">
            <w:pPr>
              <w:autoSpaceDE w:val="0"/>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lang w:val="en-US" w:eastAsia="zh-CN"/>
              </w:rPr>
              <w:t>引用</w:t>
            </w:r>
            <w:r>
              <w:rPr>
                <w:rFonts w:hint="default" w:ascii="Times New Roman" w:hAnsi="Times New Roman" w:cs="Times New Roman"/>
                <w:bCs/>
                <w:color w:val="auto"/>
                <w:sz w:val="24"/>
                <w:highlight w:val="none"/>
              </w:rPr>
              <w:t>2023年6月15日出具的常规检测报告（报告编号：粤北检测23061505，具体报告见附件7），具体见下表。</w:t>
            </w:r>
          </w:p>
          <w:p w14:paraId="632FFCCF">
            <w:pPr>
              <w:jc w:val="center"/>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表2-14 原项目噪声排放情况一览表</w:t>
            </w:r>
          </w:p>
          <w:tbl>
            <w:tblPr>
              <w:tblStyle w:val="27"/>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2865"/>
              <w:gridCol w:w="3425"/>
            </w:tblGrid>
            <w:tr w14:paraId="0E40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558" w:type="dxa"/>
                  <w:vMerge w:val="restart"/>
                  <w:vAlign w:val="center"/>
                </w:tcPr>
                <w:p w14:paraId="43028437">
                  <w:pPr>
                    <w:pStyle w:val="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检测点位</w:t>
                  </w:r>
                </w:p>
              </w:tc>
              <w:tc>
                <w:tcPr>
                  <w:tcW w:w="2865" w:type="dxa"/>
                  <w:vMerge w:val="restart"/>
                  <w:vAlign w:val="center"/>
                </w:tcPr>
                <w:p w14:paraId="529704DA">
                  <w:pPr>
                    <w:pStyle w:val="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标准限值（dB（A））</w:t>
                  </w:r>
                </w:p>
              </w:tc>
              <w:tc>
                <w:tcPr>
                  <w:tcW w:w="3425" w:type="dxa"/>
                  <w:vAlign w:val="center"/>
                </w:tcPr>
                <w:p w14:paraId="06A1F4FE">
                  <w:pPr>
                    <w:pStyle w:val="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检测结果（dB（A））</w:t>
                  </w:r>
                </w:p>
              </w:tc>
            </w:tr>
            <w:tr w14:paraId="3BBE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2558" w:type="dxa"/>
                  <w:vMerge w:val="continue"/>
                  <w:vAlign w:val="center"/>
                </w:tcPr>
                <w:p w14:paraId="57B963D8">
                  <w:pPr>
                    <w:pStyle w:val="8"/>
                    <w:jc w:val="center"/>
                    <w:rPr>
                      <w:rFonts w:hint="default" w:ascii="Times New Roman" w:hAnsi="Times New Roman" w:eastAsia="宋体" w:cs="Times New Roman"/>
                      <w:color w:val="auto"/>
                      <w:sz w:val="21"/>
                      <w:szCs w:val="21"/>
                      <w:highlight w:val="none"/>
                    </w:rPr>
                  </w:pPr>
                </w:p>
              </w:tc>
              <w:tc>
                <w:tcPr>
                  <w:tcW w:w="2865" w:type="dxa"/>
                  <w:vMerge w:val="continue"/>
                  <w:vAlign w:val="center"/>
                </w:tcPr>
                <w:p w14:paraId="7E3835D3">
                  <w:pPr>
                    <w:pStyle w:val="8"/>
                    <w:jc w:val="center"/>
                    <w:rPr>
                      <w:rFonts w:hint="default" w:ascii="Times New Roman" w:hAnsi="Times New Roman" w:eastAsia="宋体" w:cs="Times New Roman"/>
                      <w:color w:val="auto"/>
                      <w:sz w:val="21"/>
                      <w:szCs w:val="21"/>
                      <w:highlight w:val="none"/>
                    </w:rPr>
                  </w:pPr>
                </w:p>
              </w:tc>
              <w:tc>
                <w:tcPr>
                  <w:tcW w:w="3425" w:type="dxa"/>
                  <w:vAlign w:val="center"/>
                </w:tcPr>
                <w:p w14:paraId="4D75D01F">
                  <w:pPr>
                    <w:pStyle w:val="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昼间</w:t>
                  </w:r>
                </w:p>
              </w:tc>
            </w:tr>
            <w:tr w14:paraId="0879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034B01A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西侧厂界外1m</w:t>
                  </w:r>
                </w:p>
              </w:tc>
              <w:tc>
                <w:tcPr>
                  <w:tcW w:w="2865" w:type="dxa"/>
                  <w:vMerge w:val="restart"/>
                  <w:vAlign w:val="center"/>
                </w:tcPr>
                <w:p w14:paraId="6F8B522F">
                  <w:pPr>
                    <w:pStyle w:val="8"/>
                    <w:jc w:val="center"/>
                    <w:rPr>
                      <w:rFonts w:hint="default" w:ascii="Times New Roman" w:hAnsi="Times New Roman" w:cs="Times New Roman"/>
                      <w:color w:val="auto"/>
                      <w:szCs w:val="21"/>
                      <w:highlight w:val="none"/>
                    </w:rPr>
                  </w:pPr>
                  <w:r>
                    <w:rPr>
                      <w:rFonts w:hint="default" w:ascii="Times New Roman" w:hAnsi="Times New Roman" w:eastAsia="宋体" w:cs="Times New Roman"/>
                      <w:color w:val="auto"/>
                      <w:sz w:val="21"/>
                      <w:szCs w:val="21"/>
                      <w:highlight w:val="none"/>
                    </w:rPr>
                    <w:t>昼间：65</w:t>
                  </w:r>
                </w:p>
              </w:tc>
              <w:tc>
                <w:tcPr>
                  <w:tcW w:w="3425" w:type="dxa"/>
                  <w:vAlign w:val="center"/>
                </w:tcPr>
                <w:p w14:paraId="4EDCD235">
                  <w:pPr>
                    <w:pStyle w:val="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58</w:t>
                  </w:r>
                </w:p>
              </w:tc>
            </w:tr>
            <w:tr w14:paraId="6AD1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27D4CF4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北侧厂界外1m</w:t>
                  </w:r>
                </w:p>
              </w:tc>
              <w:tc>
                <w:tcPr>
                  <w:tcW w:w="2865" w:type="dxa"/>
                  <w:vMerge w:val="continue"/>
                  <w:vAlign w:val="center"/>
                </w:tcPr>
                <w:p w14:paraId="2A206C00">
                  <w:pPr>
                    <w:pStyle w:val="8"/>
                    <w:jc w:val="center"/>
                    <w:rPr>
                      <w:rFonts w:hint="default" w:ascii="Times New Roman" w:hAnsi="Times New Roman" w:eastAsia="宋体" w:cs="Times New Roman"/>
                      <w:color w:val="auto"/>
                      <w:sz w:val="21"/>
                      <w:szCs w:val="21"/>
                      <w:highlight w:val="none"/>
                    </w:rPr>
                  </w:pPr>
                </w:p>
              </w:tc>
              <w:tc>
                <w:tcPr>
                  <w:tcW w:w="3425" w:type="dxa"/>
                  <w:vAlign w:val="center"/>
                </w:tcPr>
                <w:p w14:paraId="38DBFEFD">
                  <w:pPr>
                    <w:pStyle w:val="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56</w:t>
                  </w:r>
                </w:p>
              </w:tc>
            </w:tr>
            <w:tr w14:paraId="4E72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1346450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东侧厂界外1m</w:t>
                  </w:r>
                </w:p>
              </w:tc>
              <w:tc>
                <w:tcPr>
                  <w:tcW w:w="2865" w:type="dxa"/>
                  <w:vMerge w:val="continue"/>
                  <w:vAlign w:val="center"/>
                </w:tcPr>
                <w:p w14:paraId="09D312F6">
                  <w:pPr>
                    <w:pStyle w:val="8"/>
                    <w:jc w:val="center"/>
                    <w:rPr>
                      <w:rFonts w:hint="default" w:ascii="Times New Roman" w:hAnsi="Times New Roman" w:eastAsia="宋体" w:cs="Times New Roman"/>
                      <w:color w:val="auto"/>
                      <w:sz w:val="21"/>
                      <w:szCs w:val="21"/>
                      <w:highlight w:val="none"/>
                    </w:rPr>
                  </w:pPr>
                </w:p>
              </w:tc>
              <w:tc>
                <w:tcPr>
                  <w:tcW w:w="3425" w:type="dxa"/>
                  <w:vAlign w:val="center"/>
                </w:tcPr>
                <w:p w14:paraId="018B0CB0">
                  <w:pPr>
                    <w:pStyle w:val="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59</w:t>
                  </w:r>
                </w:p>
              </w:tc>
            </w:tr>
            <w:tr w14:paraId="7E40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1409EB2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南侧厂界外1m</w:t>
                  </w:r>
                </w:p>
              </w:tc>
              <w:tc>
                <w:tcPr>
                  <w:tcW w:w="2865" w:type="dxa"/>
                  <w:vMerge w:val="continue"/>
                  <w:vAlign w:val="center"/>
                </w:tcPr>
                <w:p w14:paraId="5B8E56F5">
                  <w:pPr>
                    <w:pStyle w:val="8"/>
                    <w:jc w:val="center"/>
                    <w:rPr>
                      <w:rFonts w:hint="default" w:ascii="Times New Roman" w:hAnsi="Times New Roman" w:eastAsia="宋体" w:cs="Times New Roman"/>
                      <w:color w:val="auto"/>
                      <w:sz w:val="21"/>
                      <w:szCs w:val="21"/>
                      <w:highlight w:val="none"/>
                    </w:rPr>
                  </w:pPr>
                </w:p>
              </w:tc>
              <w:tc>
                <w:tcPr>
                  <w:tcW w:w="3425" w:type="dxa"/>
                  <w:vAlign w:val="center"/>
                </w:tcPr>
                <w:p w14:paraId="7EAAEC83">
                  <w:pPr>
                    <w:pStyle w:val="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59</w:t>
                  </w:r>
                </w:p>
              </w:tc>
            </w:tr>
          </w:tbl>
          <w:p w14:paraId="5C2A64C9">
            <w:pPr>
              <w:pStyle w:val="2"/>
              <w:numPr>
                <w:ilvl w:val="0"/>
                <w:numId w:val="0"/>
              </w:numPr>
              <w:spacing w:line="360" w:lineRule="auto"/>
              <w:ind w:firstLine="480" w:firstLineChars="200"/>
              <w:rPr>
                <w:rFonts w:hint="default" w:ascii="Times New Roman" w:hAnsi="Times New Roman" w:eastAsia="宋体" w:cs="Times New Roman"/>
                <w:b/>
                <w:bCs/>
                <w:color w:val="auto"/>
                <w:highlight w:val="none"/>
              </w:rPr>
            </w:pPr>
            <w:r>
              <w:rPr>
                <w:rFonts w:hint="default" w:ascii="Times New Roman" w:hAnsi="Times New Roman" w:cs="Times New Roman"/>
                <w:color w:val="auto"/>
                <w:sz w:val="24"/>
                <w:szCs w:val="24"/>
              </w:rPr>
              <w:t>由上表的监测结果表明，原有项目</w:t>
            </w:r>
            <w:r>
              <w:rPr>
                <w:rFonts w:hint="default" w:ascii="Times New Roman" w:hAnsi="Times New Roman" w:cs="Times New Roman"/>
                <w:color w:val="auto"/>
                <w:sz w:val="24"/>
                <w:szCs w:val="24"/>
                <w:lang w:val="en-US" w:eastAsia="zh-CN"/>
              </w:rPr>
              <w:t>厂界噪声</w:t>
            </w:r>
            <w:r>
              <w:rPr>
                <w:rFonts w:hint="default" w:ascii="Times New Roman" w:hAnsi="Times New Roman" w:cs="Times New Roman"/>
                <w:color w:val="auto"/>
                <w:sz w:val="24"/>
                <w:szCs w:val="24"/>
              </w:rPr>
              <w:t>达标排放。</w:t>
            </w:r>
          </w:p>
          <w:p w14:paraId="04BA3953">
            <w:pPr>
              <w:pStyle w:val="8"/>
              <w:spacing w:line="360" w:lineRule="auto"/>
              <w:ind w:firstLine="482" w:firstLineChars="20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（4）固体废物</w:t>
            </w:r>
          </w:p>
          <w:p w14:paraId="4DCBACB8">
            <w:pPr>
              <w:autoSpaceDE w:val="0"/>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根据建设单位提供资料，已投产的一期、二期、三期员工生活垃圾产生量约为23t/a、中频炉渣产生量约为80t/a、除尘收集的粉尘产生量约为350t/a、残次品和废</w:t>
            </w:r>
            <w:r>
              <w:rPr>
                <w:rFonts w:hint="default" w:ascii="Times New Roman" w:hAnsi="Times New Roman" w:cs="Times New Roman"/>
                <w:color w:val="auto"/>
                <w:sz w:val="24"/>
                <w:highlight w:val="none"/>
              </w:rPr>
              <w:t>边角料</w:t>
            </w:r>
            <w:r>
              <w:rPr>
                <w:rFonts w:hint="default" w:ascii="Times New Roman" w:hAnsi="Times New Roman" w:cs="Times New Roman"/>
                <w:color w:val="auto"/>
                <w:sz w:val="24"/>
                <w:highlight w:val="none"/>
                <w:lang w:val="en-US" w:eastAsia="zh-CN"/>
              </w:rPr>
              <w:t>合计产生量约为160t/a、废砂产生量约为8t、废泡沫产生量约为0.1t/a</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废活性炭及其吸附物产生量约为0.6t/a。中频炉渣、废砂、除尘收集的颗粒物交由韶关市富强环保科技有限公司综合利用，残次品、废边角料回用生产，废泡沫集中收集后由供应商回收重新利用，废活性炭交由有资质单位广东鑫龙盛环保科技有限公司处置，生活垃圾收集后统一由环卫部门处理。</w:t>
            </w:r>
          </w:p>
          <w:p w14:paraId="74DEE35A">
            <w:pPr>
              <w:autoSpaceDE w:val="0"/>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根据四期、五期的环评报告，四期生活垃圾产生量为12.75t/a、中频炉渣产生量为50.18t/a、除尘收集的粉尘产生量为197.16t/a、残次品和废</w:t>
            </w:r>
            <w:r>
              <w:rPr>
                <w:rFonts w:hint="default" w:ascii="Times New Roman" w:hAnsi="Times New Roman" w:cs="Times New Roman"/>
                <w:color w:val="auto"/>
                <w:sz w:val="24"/>
                <w:highlight w:val="none"/>
              </w:rPr>
              <w:t>边角料</w:t>
            </w:r>
            <w:r>
              <w:rPr>
                <w:rFonts w:hint="default" w:ascii="Times New Roman" w:hAnsi="Times New Roman" w:cs="Times New Roman"/>
                <w:color w:val="auto"/>
                <w:sz w:val="24"/>
                <w:highlight w:val="none"/>
                <w:lang w:val="en-US" w:eastAsia="zh-CN"/>
              </w:rPr>
              <w:t>合计产生量为100t/a、废砂产生量为3.4t/a、废泡沫产生量为0.1t/a</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废活性炭及其吸附物产生量为2.271t/a、废苯乙烯液体有机溶剂产生量为0.375t/a。五期生活垃圾产生量为12.75t/a、中频炉渣产生量为50.18t/a、除尘收集的粉尘产生量为197.16t/a、残次品和废</w:t>
            </w:r>
            <w:r>
              <w:rPr>
                <w:rFonts w:hint="default" w:ascii="Times New Roman" w:hAnsi="Times New Roman" w:cs="Times New Roman"/>
                <w:color w:val="auto"/>
                <w:sz w:val="24"/>
                <w:highlight w:val="none"/>
              </w:rPr>
              <w:t>边角料</w:t>
            </w:r>
            <w:r>
              <w:rPr>
                <w:rFonts w:hint="default" w:ascii="Times New Roman" w:hAnsi="Times New Roman" w:cs="Times New Roman"/>
                <w:color w:val="auto"/>
                <w:sz w:val="24"/>
                <w:highlight w:val="none"/>
                <w:lang w:val="en-US" w:eastAsia="zh-CN"/>
              </w:rPr>
              <w:t>合计产生量为100t/a、废砂产生量为3.4t/a、废泡沫产生量为0.05t/a</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废石蜡产生量为0.5t/a、废活性炭及其吸附物产生量为1.429t/a、废苯乙烯液体有机溶剂产生量为0.188t/a。废炉渣、废砂、除尘收集的颗粒物拟交由韶关市富强环保科技有限公司综合利用，残次品、废边角料拟回用生产，废泡沫集中收集后拟由供应商回收重新利用，废石蜡拟做原料回用生产，废活性炭拟交由有资质单位广东鑫龙盛环保科技有限公司处置，废苯乙烯液体有机溶剂拟交由有资质单位处置，生活垃圾收集后拟统一由环卫部门处理。</w:t>
            </w:r>
          </w:p>
          <w:p w14:paraId="395F1951">
            <w:pPr>
              <w:pStyle w:val="2"/>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highlight w:val="none"/>
                <w:lang w:val="en-US" w:eastAsia="zh-CN"/>
              </w:rPr>
              <w:t>综上，</w:t>
            </w:r>
            <w:r>
              <w:rPr>
                <w:rFonts w:hint="default" w:ascii="Times New Roman" w:hAnsi="Times New Roman" w:cs="Times New Roman"/>
                <w:color w:val="auto"/>
                <w:sz w:val="24"/>
                <w:szCs w:val="24"/>
                <w:lang w:val="en-US" w:eastAsia="zh-CN"/>
              </w:rPr>
              <w:t>原项目合计</w:t>
            </w:r>
            <w:r>
              <w:rPr>
                <w:rFonts w:hint="default" w:ascii="Times New Roman" w:hAnsi="Times New Roman" w:cs="Times New Roman"/>
                <w:color w:val="auto"/>
                <w:sz w:val="24"/>
                <w:szCs w:val="24"/>
                <w:highlight w:val="none"/>
                <w:lang w:val="en-US" w:eastAsia="zh-CN"/>
              </w:rPr>
              <w:t>生活垃圾产生量为48.5t/a、中频炉渣产生量为180.36t/a、除尘收集的粉尘产生量为744.32t/a、残次品和废</w:t>
            </w:r>
            <w:r>
              <w:rPr>
                <w:rFonts w:hint="default" w:ascii="Times New Roman" w:hAnsi="Times New Roman" w:cs="Times New Roman"/>
                <w:color w:val="auto"/>
                <w:sz w:val="24"/>
                <w:szCs w:val="24"/>
                <w:highlight w:val="none"/>
              </w:rPr>
              <w:t>边角料</w:t>
            </w:r>
            <w:r>
              <w:rPr>
                <w:rFonts w:hint="default" w:ascii="Times New Roman" w:hAnsi="Times New Roman" w:cs="Times New Roman"/>
                <w:color w:val="auto"/>
                <w:sz w:val="24"/>
                <w:szCs w:val="24"/>
                <w:highlight w:val="none"/>
                <w:lang w:val="en-US" w:eastAsia="zh-CN"/>
              </w:rPr>
              <w:t>合计产生量为360t/a、废砂产生量为14.8t/a、废泡沫产生量为0.25t/a</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废石蜡产生量为0.5t/a、废活性炭及其吸附物产生量为4.3t/a、</w:t>
            </w:r>
            <w:r>
              <w:rPr>
                <w:rFonts w:hint="default" w:ascii="Times New Roman" w:hAnsi="Times New Roman" w:cs="Times New Roman"/>
                <w:color w:val="auto"/>
                <w:sz w:val="24"/>
                <w:highlight w:val="none"/>
                <w:lang w:val="en-US" w:eastAsia="zh-CN"/>
              </w:rPr>
              <w:t>废苯乙烯液体有机溶剂产生量为0.563t/a</w:t>
            </w:r>
            <w:r>
              <w:rPr>
                <w:rFonts w:hint="default" w:ascii="Times New Roman" w:hAnsi="Times New Roman" w:cs="Times New Roman"/>
                <w:color w:val="auto"/>
                <w:sz w:val="24"/>
                <w:szCs w:val="24"/>
                <w:highlight w:val="none"/>
                <w:lang w:val="en-US" w:eastAsia="zh-CN"/>
              </w:rPr>
              <w:t>。</w:t>
            </w:r>
          </w:p>
          <w:p w14:paraId="31371940">
            <w:pPr>
              <w:pStyle w:val="2"/>
              <w:spacing w:line="360" w:lineRule="auto"/>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2-15</w:t>
            </w:r>
            <w:r>
              <w:rPr>
                <w:rFonts w:hint="default" w:ascii="Times New Roman" w:hAnsi="Times New Roman" w:cs="Times New Roman"/>
                <w:b/>
                <w:bCs/>
                <w:color w:val="auto"/>
                <w:sz w:val="24"/>
                <w:szCs w:val="24"/>
              </w:rPr>
              <w:t xml:space="preserve"> 固体废弃物排放情况一览表</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1322"/>
              <w:gridCol w:w="2397"/>
              <w:gridCol w:w="1573"/>
              <w:gridCol w:w="2795"/>
            </w:tblGrid>
            <w:tr w14:paraId="7FEC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Align w:val="center"/>
                </w:tcPr>
                <w:p w14:paraId="584A9D37">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2104" w:type="pct"/>
                  <w:gridSpan w:val="2"/>
                  <w:vAlign w:val="center"/>
                </w:tcPr>
                <w:p w14:paraId="4E8D9951">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名称</w:t>
                  </w:r>
                </w:p>
              </w:tc>
              <w:tc>
                <w:tcPr>
                  <w:tcW w:w="890" w:type="pct"/>
                  <w:vAlign w:val="center"/>
                </w:tcPr>
                <w:p w14:paraId="3427A0A7">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产生量t/a</w:t>
                  </w:r>
                </w:p>
              </w:tc>
              <w:tc>
                <w:tcPr>
                  <w:tcW w:w="1581" w:type="pct"/>
                  <w:vAlign w:val="center"/>
                </w:tcPr>
                <w:p w14:paraId="65E8D4FA">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处理方式</w:t>
                  </w:r>
                </w:p>
              </w:tc>
            </w:tr>
            <w:tr w14:paraId="32F1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Align w:val="center"/>
                </w:tcPr>
                <w:p w14:paraId="062E7E8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748" w:type="pct"/>
                  <w:vMerge w:val="restart"/>
                  <w:vAlign w:val="center"/>
                </w:tcPr>
                <w:p w14:paraId="44AA93C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一般固体废物</w:t>
                  </w:r>
                </w:p>
              </w:tc>
              <w:tc>
                <w:tcPr>
                  <w:tcW w:w="1356" w:type="pct"/>
                  <w:vAlign w:val="center"/>
                </w:tcPr>
                <w:p w14:paraId="114084F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生活垃圾</w:t>
                  </w:r>
                </w:p>
              </w:tc>
              <w:tc>
                <w:tcPr>
                  <w:tcW w:w="890" w:type="pct"/>
                  <w:vAlign w:val="center"/>
                </w:tcPr>
                <w:p w14:paraId="13D7711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48.5</w:t>
                  </w:r>
                </w:p>
              </w:tc>
              <w:tc>
                <w:tcPr>
                  <w:tcW w:w="1581" w:type="pct"/>
                  <w:vAlign w:val="center"/>
                </w:tcPr>
                <w:p w14:paraId="47E85F2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交由当地环卫部门定期清运处理</w:t>
                  </w:r>
                </w:p>
              </w:tc>
            </w:tr>
            <w:tr w14:paraId="1D42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Align w:val="center"/>
                </w:tcPr>
                <w:p w14:paraId="7AE9B7F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748" w:type="pct"/>
                  <w:vMerge w:val="continue"/>
                  <w:vAlign w:val="center"/>
                </w:tcPr>
                <w:p w14:paraId="6AF934A3">
                  <w:pPr>
                    <w:jc w:val="center"/>
                    <w:rPr>
                      <w:rFonts w:hint="default" w:ascii="Times New Roman" w:hAnsi="Times New Roman" w:eastAsia="宋体" w:cs="Times New Roman"/>
                      <w:color w:val="auto"/>
                      <w:sz w:val="21"/>
                      <w:szCs w:val="21"/>
                      <w:lang w:val="en-US" w:eastAsia="zh-CN"/>
                    </w:rPr>
                  </w:pPr>
                </w:p>
              </w:tc>
              <w:tc>
                <w:tcPr>
                  <w:tcW w:w="1356" w:type="pct"/>
                  <w:vAlign w:val="center"/>
                </w:tcPr>
                <w:p w14:paraId="2A1CE63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中频炉渣</w:t>
                  </w:r>
                </w:p>
              </w:tc>
              <w:tc>
                <w:tcPr>
                  <w:tcW w:w="890" w:type="pct"/>
                  <w:vAlign w:val="center"/>
                </w:tcPr>
                <w:p w14:paraId="131EE36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180.36</w:t>
                  </w:r>
                </w:p>
              </w:tc>
              <w:tc>
                <w:tcPr>
                  <w:tcW w:w="1581" w:type="pct"/>
                  <w:vMerge w:val="restart"/>
                  <w:vAlign w:val="center"/>
                </w:tcPr>
                <w:p w14:paraId="472814BC">
                  <w:pPr>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highlight w:val="none"/>
                      <w:lang w:val="en-US" w:eastAsia="zh-CN"/>
                    </w:rPr>
                    <w:t>交由韶关市富强环保科技有限公司综合利用</w:t>
                  </w:r>
                </w:p>
              </w:tc>
            </w:tr>
            <w:tr w14:paraId="5521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Align w:val="center"/>
                </w:tcPr>
                <w:p w14:paraId="4436C85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748" w:type="pct"/>
                  <w:vMerge w:val="continue"/>
                  <w:vAlign w:val="center"/>
                </w:tcPr>
                <w:p w14:paraId="0E2B0D51">
                  <w:pPr>
                    <w:jc w:val="center"/>
                    <w:rPr>
                      <w:rFonts w:hint="default" w:ascii="Times New Roman" w:hAnsi="Times New Roman" w:cs="Times New Roman"/>
                      <w:color w:val="auto"/>
                      <w:sz w:val="21"/>
                      <w:szCs w:val="21"/>
                    </w:rPr>
                  </w:pPr>
                </w:p>
              </w:tc>
              <w:tc>
                <w:tcPr>
                  <w:tcW w:w="1356" w:type="pct"/>
                  <w:vAlign w:val="center"/>
                </w:tcPr>
                <w:p w14:paraId="7113E6D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除尘收集的粉尘</w:t>
                  </w:r>
                </w:p>
              </w:tc>
              <w:tc>
                <w:tcPr>
                  <w:tcW w:w="890" w:type="pct"/>
                  <w:vAlign w:val="center"/>
                </w:tcPr>
                <w:p w14:paraId="027EFA7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744.32</w:t>
                  </w:r>
                </w:p>
              </w:tc>
              <w:tc>
                <w:tcPr>
                  <w:tcW w:w="1581" w:type="pct"/>
                  <w:vMerge w:val="continue"/>
                  <w:vAlign w:val="center"/>
                </w:tcPr>
                <w:p w14:paraId="784364BE">
                  <w:pPr>
                    <w:jc w:val="center"/>
                    <w:rPr>
                      <w:rFonts w:hint="default" w:ascii="Times New Roman" w:hAnsi="Times New Roman" w:cs="Times New Roman"/>
                      <w:color w:val="auto"/>
                      <w:sz w:val="21"/>
                      <w:szCs w:val="21"/>
                    </w:rPr>
                  </w:pPr>
                </w:p>
              </w:tc>
            </w:tr>
            <w:tr w14:paraId="333D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Align w:val="center"/>
                </w:tcPr>
                <w:p w14:paraId="55CBEED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748" w:type="pct"/>
                  <w:vMerge w:val="continue"/>
                  <w:vAlign w:val="center"/>
                </w:tcPr>
                <w:p w14:paraId="40120FC5">
                  <w:pPr>
                    <w:jc w:val="center"/>
                    <w:rPr>
                      <w:rFonts w:hint="default" w:ascii="Times New Roman" w:hAnsi="Times New Roman" w:cs="Times New Roman"/>
                      <w:color w:val="auto"/>
                      <w:sz w:val="21"/>
                      <w:szCs w:val="21"/>
                    </w:rPr>
                  </w:pPr>
                </w:p>
              </w:tc>
              <w:tc>
                <w:tcPr>
                  <w:tcW w:w="1356" w:type="pct"/>
                  <w:vAlign w:val="center"/>
                </w:tcPr>
                <w:p w14:paraId="54476C76">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废砂</w:t>
                  </w:r>
                </w:p>
              </w:tc>
              <w:tc>
                <w:tcPr>
                  <w:tcW w:w="890" w:type="pct"/>
                  <w:vAlign w:val="center"/>
                </w:tcPr>
                <w:p w14:paraId="2D0606FB">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lang w:val="en-US" w:eastAsia="zh-CN"/>
                    </w:rPr>
                    <w:t>14.8</w:t>
                  </w:r>
                </w:p>
              </w:tc>
              <w:tc>
                <w:tcPr>
                  <w:tcW w:w="1581" w:type="pct"/>
                  <w:vMerge w:val="continue"/>
                  <w:vAlign w:val="center"/>
                </w:tcPr>
                <w:p w14:paraId="71AB8FF3">
                  <w:pPr>
                    <w:jc w:val="center"/>
                    <w:rPr>
                      <w:rFonts w:hint="default" w:ascii="Times New Roman" w:hAnsi="Times New Roman" w:cs="Times New Roman"/>
                      <w:color w:val="auto"/>
                      <w:sz w:val="21"/>
                      <w:szCs w:val="21"/>
                    </w:rPr>
                  </w:pPr>
                </w:p>
              </w:tc>
            </w:tr>
            <w:tr w14:paraId="15DF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Align w:val="center"/>
                </w:tcPr>
                <w:p w14:paraId="321DFBE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5</w:t>
                  </w:r>
                </w:p>
              </w:tc>
              <w:tc>
                <w:tcPr>
                  <w:tcW w:w="748" w:type="pct"/>
                  <w:vMerge w:val="continue"/>
                  <w:vAlign w:val="center"/>
                </w:tcPr>
                <w:p w14:paraId="24CB9D51">
                  <w:pPr>
                    <w:jc w:val="center"/>
                    <w:rPr>
                      <w:rFonts w:hint="default" w:ascii="Times New Roman" w:hAnsi="Times New Roman" w:cs="Times New Roman"/>
                      <w:color w:val="auto"/>
                      <w:sz w:val="21"/>
                      <w:szCs w:val="21"/>
                    </w:rPr>
                  </w:pPr>
                </w:p>
              </w:tc>
              <w:tc>
                <w:tcPr>
                  <w:tcW w:w="1356" w:type="pct"/>
                  <w:vAlign w:val="center"/>
                </w:tcPr>
                <w:p w14:paraId="30425D5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残次品和废</w:t>
                  </w:r>
                  <w:r>
                    <w:rPr>
                      <w:rFonts w:hint="default" w:ascii="Times New Roman" w:hAnsi="Times New Roman" w:cs="Times New Roman"/>
                      <w:color w:val="auto"/>
                      <w:sz w:val="21"/>
                      <w:szCs w:val="21"/>
                      <w:highlight w:val="none"/>
                    </w:rPr>
                    <w:t>边角料</w:t>
                  </w:r>
                </w:p>
              </w:tc>
              <w:tc>
                <w:tcPr>
                  <w:tcW w:w="890" w:type="pct"/>
                  <w:vAlign w:val="center"/>
                </w:tcPr>
                <w:p w14:paraId="08FB6F5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360</w:t>
                  </w:r>
                </w:p>
              </w:tc>
              <w:tc>
                <w:tcPr>
                  <w:tcW w:w="1581" w:type="pct"/>
                  <w:vAlign w:val="center"/>
                </w:tcPr>
                <w:p w14:paraId="6984521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做原料回用生产</w:t>
                  </w:r>
                </w:p>
              </w:tc>
            </w:tr>
            <w:tr w14:paraId="689E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Align w:val="center"/>
                </w:tcPr>
                <w:p w14:paraId="19A1E64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6</w:t>
                  </w:r>
                </w:p>
              </w:tc>
              <w:tc>
                <w:tcPr>
                  <w:tcW w:w="748" w:type="pct"/>
                  <w:vMerge w:val="continue"/>
                  <w:vAlign w:val="center"/>
                </w:tcPr>
                <w:p w14:paraId="0203FB3A">
                  <w:pPr>
                    <w:jc w:val="center"/>
                    <w:rPr>
                      <w:rFonts w:hint="default" w:ascii="Times New Roman" w:hAnsi="Times New Roman" w:cs="Times New Roman"/>
                      <w:color w:val="auto"/>
                      <w:sz w:val="21"/>
                      <w:szCs w:val="21"/>
                    </w:rPr>
                  </w:pPr>
                </w:p>
              </w:tc>
              <w:tc>
                <w:tcPr>
                  <w:tcW w:w="1356" w:type="pct"/>
                  <w:vAlign w:val="center"/>
                </w:tcPr>
                <w:p w14:paraId="06D894C8">
                  <w:pPr>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废泡沫</w:t>
                  </w:r>
                </w:p>
              </w:tc>
              <w:tc>
                <w:tcPr>
                  <w:tcW w:w="890" w:type="pct"/>
                  <w:vAlign w:val="center"/>
                </w:tcPr>
                <w:p w14:paraId="1FA46F4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0.25</w:t>
                  </w:r>
                </w:p>
              </w:tc>
              <w:tc>
                <w:tcPr>
                  <w:tcW w:w="1581" w:type="pct"/>
                  <w:vAlign w:val="center"/>
                </w:tcPr>
                <w:p w14:paraId="045223A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highlight w:val="none"/>
                      <w:lang w:val="en-US" w:eastAsia="zh-CN"/>
                    </w:rPr>
                    <w:t>由供应商回收重新利用</w:t>
                  </w:r>
                </w:p>
              </w:tc>
            </w:tr>
            <w:tr w14:paraId="181C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Align w:val="center"/>
                </w:tcPr>
                <w:p w14:paraId="49B92C6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7</w:t>
                  </w:r>
                </w:p>
              </w:tc>
              <w:tc>
                <w:tcPr>
                  <w:tcW w:w="748" w:type="pct"/>
                  <w:vMerge w:val="continue"/>
                  <w:vAlign w:val="center"/>
                </w:tcPr>
                <w:p w14:paraId="12115CDA">
                  <w:pPr>
                    <w:jc w:val="center"/>
                    <w:rPr>
                      <w:rFonts w:hint="default" w:ascii="Times New Roman" w:hAnsi="Times New Roman" w:cs="Times New Roman"/>
                      <w:color w:val="auto"/>
                      <w:sz w:val="21"/>
                      <w:szCs w:val="21"/>
                    </w:rPr>
                  </w:pPr>
                </w:p>
              </w:tc>
              <w:tc>
                <w:tcPr>
                  <w:tcW w:w="1356" w:type="pct"/>
                  <w:vAlign w:val="center"/>
                </w:tcPr>
                <w:p w14:paraId="76E4C5B5">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废石蜡</w:t>
                  </w:r>
                </w:p>
              </w:tc>
              <w:tc>
                <w:tcPr>
                  <w:tcW w:w="890" w:type="pct"/>
                  <w:vAlign w:val="center"/>
                </w:tcPr>
                <w:p w14:paraId="71D46A9B">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0.5</w:t>
                  </w:r>
                </w:p>
              </w:tc>
              <w:tc>
                <w:tcPr>
                  <w:tcW w:w="1581" w:type="pct"/>
                  <w:vAlign w:val="center"/>
                </w:tcPr>
                <w:p w14:paraId="3A3B305B">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highlight w:val="none"/>
                      <w:lang w:val="en-US" w:eastAsia="zh-CN"/>
                    </w:rPr>
                    <w:t>做原料回用生产</w:t>
                  </w:r>
                </w:p>
              </w:tc>
            </w:tr>
            <w:tr w14:paraId="2F5A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Align w:val="center"/>
                </w:tcPr>
                <w:p w14:paraId="7AD35CD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8</w:t>
                  </w:r>
                </w:p>
              </w:tc>
              <w:tc>
                <w:tcPr>
                  <w:tcW w:w="748" w:type="pct"/>
                  <w:vMerge w:val="restart"/>
                  <w:vAlign w:val="center"/>
                </w:tcPr>
                <w:p w14:paraId="77CC685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危险废物</w:t>
                  </w:r>
                </w:p>
              </w:tc>
              <w:tc>
                <w:tcPr>
                  <w:tcW w:w="1356" w:type="pct"/>
                  <w:vAlign w:val="center"/>
                </w:tcPr>
                <w:p w14:paraId="124C820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废活性炭</w:t>
                  </w:r>
                  <w:r>
                    <w:rPr>
                      <w:rFonts w:hint="default" w:ascii="Times New Roman" w:hAnsi="Times New Roman" w:cs="Times New Roman"/>
                      <w:color w:val="auto"/>
                      <w:sz w:val="21"/>
                      <w:szCs w:val="21"/>
                      <w:lang w:val="en-US" w:eastAsia="zh-CN"/>
                    </w:rPr>
                    <w:t>及其吸附物</w:t>
                  </w:r>
                </w:p>
              </w:tc>
              <w:tc>
                <w:tcPr>
                  <w:tcW w:w="890" w:type="pct"/>
                  <w:vAlign w:val="center"/>
                </w:tcPr>
                <w:p w14:paraId="210F64F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4.3</w:t>
                  </w:r>
                </w:p>
              </w:tc>
              <w:tc>
                <w:tcPr>
                  <w:tcW w:w="1581" w:type="pct"/>
                  <w:vMerge w:val="restart"/>
                  <w:vAlign w:val="center"/>
                </w:tcPr>
                <w:p w14:paraId="3ADC4E5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交由有资质单位处置</w:t>
                  </w:r>
                </w:p>
              </w:tc>
            </w:tr>
            <w:tr w14:paraId="13C8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Align w:val="center"/>
                </w:tcPr>
                <w:p w14:paraId="022FB3F3">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9</w:t>
                  </w:r>
                </w:p>
              </w:tc>
              <w:tc>
                <w:tcPr>
                  <w:tcW w:w="748" w:type="pct"/>
                  <w:vMerge w:val="continue"/>
                  <w:vAlign w:val="center"/>
                </w:tcPr>
                <w:p w14:paraId="5EACB2D0">
                  <w:pPr>
                    <w:jc w:val="center"/>
                    <w:rPr>
                      <w:rFonts w:hint="default" w:ascii="Times New Roman" w:hAnsi="Times New Roman" w:cs="Times New Roman"/>
                      <w:color w:val="auto"/>
                      <w:sz w:val="21"/>
                      <w:szCs w:val="21"/>
                    </w:rPr>
                  </w:pPr>
                </w:p>
              </w:tc>
              <w:tc>
                <w:tcPr>
                  <w:tcW w:w="1356" w:type="pct"/>
                  <w:vAlign w:val="center"/>
                </w:tcPr>
                <w:p w14:paraId="7E90ECA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废苯乙烯液体有机溶剂</w:t>
                  </w:r>
                </w:p>
              </w:tc>
              <w:tc>
                <w:tcPr>
                  <w:tcW w:w="890" w:type="pct"/>
                  <w:vAlign w:val="center"/>
                </w:tcPr>
                <w:p w14:paraId="71CB2A3B">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0.563</w:t>
                  </w:r>
                </w:p>
              </w:tc>
              <w:tc>
                <w:tcPr>
                  <w:tcW w:w="1581" w:type="pct"/>
                  <w:vMerge w:val="continue"/>
                  <w:vAlign w:val="center"/>
                </w:tcPr>
                <w:p w14:paraId="053FA17F">
                  <w:pPr>
                    <w:jc w:val="center"/>
                    <w:rPr>
                      <w:rFonts w:hint="default" w:ascii="Times New Roman" w:hAnsi="Times New Roman" w:cs="Times New Roman"/>
                      <w:color w:val="auto"/>
                      <w:sz w:val="21"/>
                      <w:szCs w:val="21"/>
                      <w:highlight w:val="none"/>
                      <w:lang w:val="en-US" w:eastAsia="zh-CN"/>
                    </w:rPr>
                  </w:pPr>
                </w:p>
              </w:tc>
            </w:tr>
            <w:tr w14:paraId="2408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vAlign w:val="center"/>
                </w:tcPr>
                <w:p w14:paraId="68D0AB38">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备注：</w:t>
                  </w:r>
                  <w:r>
                    <w:rPr>
                      <w:rFonts w:hint="default" w:ascii="Times New Roman" w:hAnsi="Times New Roman" w:cs="Times New Roman"/>
                      <w:i w:val="0"/>
                      <w:iCs w:val="0"/>
                      <w:color w:val="auto"/>
                      <w:kern w:val="0"/>
                      <w:sz w:val="21"/>
                      <w:szCs w:val="21"/>
                      <w:u w:val="none"/>
                      <w:lang w:val="en-US" w:eastAsia="zh-CN" w:bidi="ar"/>
                    </w:rPr>
                    <w:t>由于后文需对取消原计划五期工程中的</w:t>
                  </w:r>
                  <w:r>
                    <w:rPr>
                      <w:rFonts w:hint="default" w:ascii="Times New Roman" w:hAnsi="Times New Roman" w:cs="Times New Roman"/>
                      <w:b w:val="0"/>
                      <w:bCs w:val="0"/>
                      <w:color w:val="auto"/>
                      <w:sz w:val="21"/>
                      <w:szCs w:val="21"/>
                      <w:lang w:val="en-US" w:eastAsia="zh-CN"/>
                    </w:rPr>
                    <w:t>树脂砂铸造生产线减少的污染情况进行计算，因此原项目产污分析将未建的四期、五期进行了计算。</w:t>
                  </w:r>
                </w:p>
              </w:tc>
            </w:tr>
          </w:tbl>
          <w:p w14:paraId="119AE0F4">
            <w:pPr>
              <w:pStyle w:val="2"/>
              <w:rPr>
                <w:rFonts w:hint="default" w:ascii="Times New Roman" w:hAnsi="Times New Roman" w:cs="Times New Roman"/>
                <w:color w:val="auto"/>
                <w:sz w:val="24"/>
                <w:highlight w:val="none"/>
                <w:lang w:val="en-US" w:eastAsia="zh-CN"/>
              </w:rPr>
            </w:pPr>
          </w:p>
          <w:p w14:paraId="315FA12B">
            <w:pPr>
              <w:numPr>
                <w:ilvl w:val="0"/>
                <w:numId w:val="0"/>
              </w:numPr>
              <w:adjustRightInd w:val="0"/>
              <w:snapToGrid w:val="0"/>
              <w:spacing w:before="120" w:beforeLines="50" w:line="360" w:lineRule="auto"/>
              <w:ind w:firstLine="482" w:firstLineChars="200"/>
              <w:rPr>
                <w:rFonts w:hint="default" w:ascii="Times New Roman" w:hAnsi="Times New Roman" w:cs="Times New Roman"/>
                <w:b/>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val="en-US" w:eastAsia="zh-CN"/>
              </w:rPr>
              <w:t>（5）原有项目污染物合计</w:t>
            </w:r>
          </w:p>
          <w:p w14:paraId="67840285">
            <w:pPr>
              <w:numPr>
                <w:ilvl w:val="0"/>
                <w:numId w:val="0"/>
              </w:numPr>
              <w:adjustRightInd w:val="0"/>
              <w:snapToGrid w:val="0"/>
              <w:spacing w:before="120" w:beforeLines="50" w:line="360" w:lineRule="auto"/>
              <w:jc w:val="center"/>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rPr>
              <w:t>表2-1</w:t>
            </w:r>
            <w:r>
              <w:rPr>
                <w:rFonts w:hint="default" w:ascii="Times New Roman" w:hAnsi="Times New Roman" w:cs="Times New Roman"/>
                <w:b/>
                <w:bCs/>
                <w:color w:val="auto"/>
                <w:sz w:val="24"/>
                <w:highlight w:val="none"/>
                <w:lang w:val="en-US" w:eastAsia="zh-CN"/>
              </w:rPr>
              <w:t>6</w:t>
            </w:r>
            <w:r>
              <w:rPr>
                <w:rFonts w:hint="default" w:ascii="Times New Roman" w:hAnsi="Times New Roman" w:cs="Times New Roman"/>
                <w:b/>
                <w:bCs/>
                <w:color w:val="auto"/>
                <w:sz w:val="24"/>
                <w:highlight w:val="none"/>
              </w:rPr>
              <w:t xml:space="preserve"> 原项目</w:t>
            </w:r>
            <w:r>
              <w:rPr>
                <w:rFonts w:hint="default" w:ascii="Times New Roman" w:hAnsi="Times New Roman" w:cs="Times New Roman"/>
                <w:b/>
                <w:bCs/>
                <w:color w:val="auto"/>
                <w:sz w:val="24"/>
                <w:highlight w:val="none"/>
                <w:lang w:val="en-US" w:eastAsia="zh-CN"/>
              </w:rPr>
              <w:t>污染物排放量一览表</w:t>
            </w:r>
          </w:p>
          <w:tbl>
            <w:tblPr>
              <w:tblStyle w:val="27"/>
              <w:tblW w:w="88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2835"/>
              <w:gridCol w:w="4440"/>
            </w:tblGrid>
            <w:tr w14:paraId="0509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900" w:type="pct"/>
                  <w:vAlign w:val="center"/>
                </w:tcPr>
                <w:p w14:paraId="72B775DD">
                  <w:pPr>
                    <w:adjustRightInd w:val="0"/>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类别</w:t>
                  </w:r>
                </w:p>
              </w:tc>
              <w:tc>
                <w:tcPr>
                  <w:tcW w:w="1597" w:type="pct"/>
                  <w:vAlign w:val="center"/>
                </w:tcPr>
                <w:p w14:paraId="54A557F1">
                  <w:pPr>
                    <w:adjustRightInd w:val="0"/>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污染物名称</w:t>
                  </w:r>
                </w:p>
              </w:tc>
              <w:tc>
                <w:tcPr>
                  <w:tcW w:w="2501" w:type="pct"/>
                  <w:vAlign w:val="center"/>
                </w:tcPr>
                <w:p w14:paraId="384DCE77">
                  <w:pPr>
                    <w:adjustRightInd w:val="0"/>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排放量</w:t>
                  </w:r>
                </w:p>
              </w:tc>
            </w:tr>
            <w:tr w14:paraId="6620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00" w:type="pct"/>
                  <w:vMerge w:val="restart"/>
                  <w:vAlign w:val="center"/>
                </w:tcPr>
                <w:p w14:paraId="59BF6146">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废气污染物</w:t>
                  </w:r>
                </w:p>
              </w:tc>
              <w:tc>
                <w:tcPr>
                  <w:tcW w:w="1597" w:type="pct"/>
                  <w:vAlign w:val="center"/>
                </w:tcPr>
                <w:p w14:paraId="08F39924">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颗粒物</w:t>
                  </w:r>
                </w:p>
              </w:tc>
              <w:tc>
                <w:tcPr>
                  <w:tcW w:w="2501" w:type="pct"/>
                  <w:vAlign w:val="center"/>
                </w:tcPr>
                <w:p w14:paraId="73CC1A8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4.865</w:t>
                  </w:r>
                  <w:r>
                    <w:rPr>
                      <w:rFonts w:hint="default" w:ascii="Times New Roman" w:hAnsi="Times New Roman" w:cs="Times New Roman"/>
                      <w:bCs/>
                      <w:color w:val="auto"/>
                      <w:sz w:val="21"/>
                      <w:szCs w:val="21"/>
                      <w:highlight w:val="none"/>
                      <w:lang w:val="en-US" w:eastAsia="zh-CN"/>
                    </w:rPr>
                    <w:t>t/a</w:t>
                  </w:r>
                </w:p>
              </w:tc>
            </w:tr>
            <w:tr w14:paraId="6981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900" w:type="pct"/>
                  <w:vMerge w:val="continue"/>
                  <w:vAlign w:val="center"/>
                </w:tcPr>
                <w:p w14:paraId="0D5D1698">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6ACE79DE">
                  <w:pPr>
                    <w:pStyle w:val="126"/>
                    <w:spacing w:before="0" w:beforeLines="0"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lang w:val="en-US" w:eastAsia="zh-CN"/>
                    </w:rPr>
                    <w:t>TVOC</w:t>
                  </w:r>
                </w:p>
              </w:tc>
              <w:tc>
                <w:tcPr>
                  <w:tcW w:w="2501" w:type="pct"/>
                  <w:vAlign w:val="center"/>
                </w:tcPr>
                <w:p w14:paraId="3E66F29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1.068</w:t>
                  </w:r>
                  <w:r>
                    <w:rPr>
                      <w:rFonts w:hint="default" w:ascii="Times New Roman" w:hAnsi="Times New Roman" w:cs="Times New Roman"/>
                      <w:bCs/>
                      <w:color w:val="auto"/>
                      <w:sz w:val="21"/>
                      <w:szCs w:val="21"/>
                      <w:highlight w:val="none"/>
                      <w:lang w:val="en-US" w:eastAsia="zh-CN"/>
                    </w:rPr>
                    <w:t>t/a</w:t>
                  </w:r>
                </w:p>
              </w:tc>
            </w:tr>
            <w:tr w14:paraId="60E0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900" w:type="pct"/>
                  <w:vMerge w:val="continue"/>
                  <w:vAlign w:val="center"/>
                </w:tcPr>
                <w:p w14:paraId="4BA1EAE6">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136946E5">
                  <w:pPr>
                    <w:pStyle w:val="126"/>
                    <w:spacing w:before="0" w:beforeLines="0"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lang w:val="en-US" w:eastAsia="zh-CN"/>
                    </w:rPr>
                    <w:t>非甲烷总烃</w:t>
                  </w:r>
                </w:p>
              </w:tc>
              <w:tc>
                <w:tcPr>
                  <w:tcW w:w="2501" w:type="pct"/>
                  <w:vAlign w:val="center"/>
                </w:tcPr>
                <w:p w14:paraId="4BF8C55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0.7</w:t>
                  </w:r>
                  <w:r>
                    <w:rPr>
                      <w:rFonts w:hint="default" w:ascii="Times New Roman" w:hAnsi="Times New Roman" w:cs="Times New Roman"/>
                      <w:bCs/>
                      <w:color w:val="auto"/>
                      <w:sz w:val="21"/>
                      <w:szCs w:val="21"/>
                      <w:highlight w:val="none"/>
                      <w:lang w:val="en-US" w:eastAsia="zh-CN"/>
                    </w:rPr>
                    <w:t>t/a</w:t>
                  </w:r>
                </w:p>
              </w:tc>
            </w:tr>
            <w:tr w14:paraId="52B7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900" w:type="pct"/>
                  <w:vMerge w:val="continue"/>
                  <w:vAlign w:val="center"/>
                </w:tcPr>
                <w:p w14:paraId="6BCA887C">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1800E9D4">
                  <w:pPr>
                    <w:pStyle w:val="126"/>
                    <w:spacing w:before="0" w:beforeLines="0"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lang w:val="en-US" w:eastAsia="zh-CN"/>
                    </w:rPr>
                    <w:t>SO</w:t>
                  </w:r>
                  <w:r>
                    <w:rPr>
                      <w:rFonts w:hint="default" w:ascii="Times New Roman" w:hAnsi="Times New Roman" w:cs="Times New Roman"/>
                      <w:color w:val="auto"/>
                      <w:sz w:val="21"/>
                      <w:szCs w:val="21"/>
                      <w:vertAlign w:val="subscript"/>
                      <w:lang w:val="en-US" w:eastAsia="zh-CN"/>
                    </w:rPr>
                    <w:t>2</w:t>
                  </w:r>
                </w:p>
              </w:tc>
              <w:tc>
                <w:tcPr>
                  <w:tcW w:w="2501" w:type="pct"/>
                  <w:vAlign w:val="center"/>
                </w:tcPr>
                <w:p w14:paraId="2D7545E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0.001</w:t>
                  </w:r>
                  <w:r>
                    <w:rPr>
                      <w:rFonts w:hint="default" w:ascii="Times New Roman" w:hAnsi="Times New Roman" w:cs="Times New Roman"/>
                      <w:bCs/>
                      <w:color w:val="auto"/>
                      <w:sz w:val="21"/>
                      <w:szCs w:val="21"/>
                      <w:highlight w:val="none"/>
                      <w:lang w:val="en-US" w:eastAsia="zh-CN"/>
                    </w:rPr>
                    <w:t>t/a</w:t>
                  </w:r>
                </w:p>
              </w:tc>
            </w:tr>
            <w:tr w14:paraId="1F37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900" w:type="pct"/>
                  <w:vMerge w:val="continue"/>
                  <w:vAlign w:val="center"/>
                </w:tcPr>
                <w:p w14:paraId="78447F01">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614C4F60">
                  <w:pPr>
                    <w:pStyle w:val="126"/>
                    <w:spacing w:before="0" w:beforeLines="0"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lang w:val="en-US" w:eastAsia="zh-CN"/>
                    </w:rPr>
                    <w:t>NO</w:t>
                  </w:r>
                  <w:r>
                    <w:rPr>
                      <w:rFonts w:hint="default" w:ascii="Times New Roman" w:hAnsi="Times New Roman" w:cs="Times New Roman"/>
                      <w:color w:val="auto"/>
                      <w:sz w:val="21"/>
                      <w:szCs w:val="21"/>
                      <w:vertAlign w:val="subscript"/>
                      <w:lang w:val="en-US" w:eastAsia="zh-CN"/>
                    </w:rPr>
                    <w:t>X</w:t>
                  </w:r>
                </w:p>
              </w:tc>
              <w:tc>
                <w:tcPr>
                  <w:tcW w:w="2501" w:type="pct"/>
                  <w:vAlign w:val="center"/>
                </w:tcPr>
                <w:p w14:paraId="2A59F42C">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0.063</w:t>
                  </w:r>
                  <w:r>
                    <w:rPr>
                      <w:rFonts w:hint="default" w:ascii="Times New Roman" w:hAnsi="Times New Roman" w:cs="Times New Roman"/>
                      <w:bCs/>
                      <w:color w:val="auto"/>
                      <w:sz w:val="21"/>
                      <w:szCs w:val="21"/>
                      <w:highlight w:val="none"/>
                      <w:lang w:val="en-US" w:eastAsia="zh-CN"/>
                    </w:rPr>
                    <w:t>t/a</w:t>
                  </w:r>
                </w:p>
              </w:tc>
            </w:tr>
            <w:tr w14:paraId="043B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restart"/>
                  <w:vAlign w:val="center"/>
                </w:tcPr>
                <w:p w14:paraId="567F797A">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废水污染物</w:t>
                  </w:r>
                </w:p>
              </w:tc>
              <w:tc>
                <w:tcPr>
                  <w:tcW w:w="1597" w:type="pct"/>
                  <w:vAlign w:val="center"/>
                </w:tcPr>
                <w:p w14:paraId="49987666">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color w:val="auto"/>
                      <w:kern w:val="0"/>
                      <w:sz w:val="21"/>
                      <w:szCs w:val="21"/>
                    </w:rPr>
                    <w:t>废水量</w:t>
                  </w:r>
                </w:p>
              </w:tc>
              <w:tc>
                <w:tcPr>
                  <w:tcW w:w="2501" w:type="pct"/>
                  <w:vAlign w:val="center"/>
                </w:tcPr>
                <w:p w14:paraId="29370D31">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5496</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/a</w:t>
                  </w:r>
                </w:p>
              </w:tc>
            </w:tr>
            <w:tr w14:paraId="6A18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1633EFAD">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0D38E466">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COD</w:t>
                  </w:r>
                  <w:r>
                    <w:rPr>
                      <w:rFonts w:hint="default" w:ascii="Times New Roman" w:hAnsi="Times New Roman" w:cs="Times New Roman"/>
                      <w:color w:val="auto"/>
                      <w:sz w:val="21"/>
                      <w:szCs w:val="21"/>
                      <w:vertAlign w:val="subscript"/>
                    </w:rPr>
                    <w:t>Cr</w:t>
                  </w:r>
                </w:p>
              </w:tc>
              <w:tc>
                <w:tcPr>
                  <w:tcW w:w="2501" w:type="pct"/>
                  <w:vAlign w:val="center"/>
                </w:tcPr>
                <w:p w14:paraId="07757C5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0.167</w:t>
                  </w:r>
                  <w:r>
                    <w:rPr>
                      <w:rFonts w:hint="default" w:ascii="Times New Roman" w:hAnsi="Times New Roman" w:cs="Times New Roman"/>
                      <w:bCs/>
                      <w:color w:val="auto"/>
                      <w:sz w:val="21"/>
                      <w:szCs w:val="21"/>
                      <w:highlight w:val="none"/>
                      <w:lang w:val="en-US" w:eastAsia="zh-CN"/>
                    </w:rPr>
                    <w:t>t/a</w:t>
                  </w:r>
                </w:p>
              </w:tc>
            </w:tr>
            <w:tr w14:paraId="0795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41E0B61D">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4908AAE8">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BOD</w:t>
                  </w:r>
                  <w:r>
                    <w:rPr>
                      <w:rFonts w:hint="default" w:ascii="Times New Roman" w:hAnsi="Times New Roman" w:cs="Times New Roman"/>
                      <w:color w:val="auto"/>
                      <w:sz w:val="21"/>
                      <w:szCs w:val="21"/>
                      <w:vertAlign w:val="subscript"/>
                    </w:rPr>
                    <w:t>5</w:t>
                  </w:r>
                </w:p>
              </w:tc>
              <w:tc>
                <w:tcPr>
                  <w:tcW w:w="2501" w:type="pct"/>
                  <w:vAlign w:val="center"/>
                </w:tcPr>
                <w:p w14:paraId="56DBB60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0.084</w:t>
                  </w:r>
                  <w:r>
                    <w:rPr>
                      <w:rFonts w:hint="default" w:ascii="Times New Roman" w:hAnsi="Times New Roman" w:cs="Times New Roman"/>
                      <w:bCs/>
                      <w:color w:val="auto"/>
                      <w:sz w:val="21"/>
                      <w:szCs w:val="21"/>
                      <w:highlight w:val="none"/>
                      <w:lang w:val="en-US" w:eastAsia="zh-CN"/>
                    </w:rPr>
                    <w:t>t/a</w:t>
                  </w:r>
                </w:p>
              </w:tc>
            </w:tr>
            <w:tr w14:paraId="7BF3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900" w:type="pct"/>
                  <w:vMerge w:val="continue"/>
                  <w:vAlign w:val="center"/>
                </w:tcPr>
                <w:p w14:paraId="3E4B7EFC">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1D15B4AE">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SS</w:t>
                  </w:r>
                </w:p>
              </w:tc>
              <w:tc>
                <w:tcPr>
                  <w:tcW w:w="2501" w:type="pct"/>
                  <w:vAlign w:val="center"/>
                </w:tcPr>
                <w:p w14:paraId="5B40388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0.291</w:t>
                  </w:r>
                  <w:r>
                    <w:rPr>
                      <w:rFonts w:hint="default" w:ascii="Times New Roman" w:hAnsi="Times New Roman" w:cs="Times New Roman"/>
                      <w:bCs/>
                      <w:color w:val="auto"/>
                      <w:sz w:val="21"/>
                      <w:szCs w:val="21"/>
                      <w:highlight w:val="none"/>
                      <w:lang w:val="en-US" w:eastAsia="zh-CN"/>
                    </w:rPr>
                    <w:t>t/a</w:t>
                  </w:r>
                </w:p>
              </w:tc>
            </w:tr>
            <w:tr w14:paraId="0AAD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7D8A0176">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17FB6BA4">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NH</w:t>
                  </w:r>
                  <w:r>
                    <w:rPr>
                      <w:rFonts w:hint="default" w:ascii="Times New Roman" w:hAnsi="Times New Roman" w:cs="Times New Roman"/>
                      <w:color w:val="auto"/>
                      <w:sz w:val="21"/>
                      <w:szCs w:val="21"/>
                      <w:vertAlign w:val="subscript"/>
                    </w:rPr>
                    <w:t>3</w:t>
                  </w:r>
                  <w:r>
                    <w:rPr>
                      <w:rFonts w:hint="default" w:ascii="Times New Roman" w:hAnsi="Times New Roman" w:cs="Times New Roman"/>
                      <w:color w:val="auto"/>
                      <w:sz w:val="21"/>
                      <w:szCs w:val="21"/>
                    </w:rPr>
                    <w:t>-N</w:t>
                  </w:r>
                </w:p>
              </w:tc>
              <w:tc>
                <w:tcPr>
                  <w:tcW w:w="2501" w:type="pct"/>
                  <w:vAlign w:val="center"/>
                </w:tcPr>
                <w:p w14:paraId="551923C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0.008</w:t>
                  </w:r>
                  <w:r>
                    <w:rPr>
                      <w:rFonts w:hint="default" w:ascii="Times New Roman" w:hAnsi="Times New Roman" w:cs="Times New Roman"/>
                      <w:bCs/>
                      <w:color w:val="auto"/>
                      <w:sz w:val="21"/>
                      <w:szCs w:val="21"/>
                      <w:highlight w:val="none"/>
                      <w:lang w:val="en-US" w:eastAsia="zh-CN"/>
                    </w:rPr>
                    <w:t>t/a</w:t>
                  </w:r>
                </w:p>
              </w:tc>
            </w:tr>
            <w:tr w14:paraId="6DDE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pct"/>
                  <w:vMerge w:val="continue"/>
                  <w:vAlign w:val="center"/>
                </w:tcPr>
                <w:p w14:paraId="16533C0C">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40EE9F9E">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动植物油</w:t>
                  </w:r>
                </w:p>
              </w:tc>
              <w:tc>
                <w:tcPr>
                  <w:tcW w:w="2501" w:type="pct"/>
                  <w:vAlign w:val="center"/>
                </w:tcPr>
                <w:p w14:paraId="70602FA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0.001</w:t>
                  </w:r>
                  <w:r>
                    <w:rPr>
                      <w:rFonts w:hint="default" w:ascii="Times New Roman" w:hAnsi="Times New Roman" w:cs="Times New Roman"/>
                      <w:bCs/>
                      <w:color w:val="auto"/>
                      <w:sz w:val="21"/>
                      <w:szCs w:val="21"/>
                      <w:highlight w:val="none"/>
                      <w:lang w:val="en-US" w:eastAsia="zh-CN"/>
                    </w:rPr>
                    <w:t>t/a</w:t>
                  </w:r>
                </w:p>
              </w:tc>
            </w:tr>
            <w:tr w14:paraId="0B80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00" w:type="pct"/>
                  <w:vAlign w:val="center"/>
                </w:tcPr>
                <w:p w14:paraId="0655F915">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噪声</w:t>
                  </w:r>
                </w:p>
              </w:tc>
              <w:tc>
                <w:tcPr>
                  <w:tcW w:w="1597" w:type="pct"/>
                  <w:vAlign w:val="center"/>
                </w:tcPr>
                <w:p w14:paraId="3BB79E35">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机械噪声</w:t>
                  </w:r>
                </w:p>
              </w:tc>
              <w:tc>
                <w:tcPr>
                  <w:tcW w:w="2501" w:type="pct"/>
                  <w:vAlign w:val="center"/>
                </w:tcPr>
                <w:p w14:paraId="55DF59BB">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昼间5</w:t>
                  </w:r>
                  <w:r>
                    <w:rPr>
                      <w:rFonts w:hint="default" w:ascii="Times New Roman" w:hAnsi="Times New Roman" w:cs="Times New Roman"/>
                      <w:bCs/>
                      <w:color w:val="auto"/>
                      <w:sz w:val="21"/>
                      <w:szCs w:val="21"/>
                      <w:lang w:val="en-US" w:eastAsia="zh-CN"/>
                    </w:rPr>
                    <w:t>6~59</w:t>
                  </w:r>
                  <w:r>
                    <w:rPr>
                      <w:rFonts w:hint="default" w:ascii="Times New Roman" w:hAnsi="Times New Roman" w:cs="Times New Roman"/>
                      <w:bCs/>
                      <w:color w:val="auto"/>
                      <w:sz w:val="21"/>
                      <w:szCs w:val="21"/>
                    </w:rPr>
                    <w:t>dB(A)</w:t>
                  </w:r>
                </w:p>
              </w:tc>
            </w:tr>
            <w:tr w14:paraId="2797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restart"/>
                  <w:vAlign w:val="center"/>
                </w:tcPr>
                <w:p w14:paraId="44458318">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一般固废</w:t>
                  </w:r>
                </w:p>
              </w:tc>
              <w:tc>
                <w:tcPr>
                  <w:tcW w:w="1597" w:type="pct"/>
                  <w:vAlign w:val="center"/>
                </w:tcPr>
                <w:p w14:paraId="4185B0B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生活垃圾</w:t>
                  </w:r>
                </w:p>
              </w:tc>
              <w:tc>
                <w:tcPr>
                  <w:tcW w:w="2501" w:type="pct"/>
                  <w:vAlign w:val="center"/>
                </w:tcPr>
                <w:p w14:paraId="10DDEA46">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color w:val="auto"/>
                      <w:sz w:val="21"/>
                      <w:szCs w:val="21"/>
                      <w:lang w:val="en-US" w:eastAsia="zh-CN"/>
                    </w:rPr>
                    <w:t>48.5</w:t>
                  </w:r>
                </w:p>
              </w:tc>
            </w:tr>
            <w:tr w14:paraId="6C54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500BDF8D">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06693B0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中频炉渣</w:t>
                  </w:r>
                </w:p>
              </w:tc>
              <w:tc>
                <w:tcPr>
                  <w:tcW w:w="2501" w:type="pct"/>
                  <w:vAlign w:val="center"/>
                </w:tcPr>
                <w:p w14:paraId="06E2EF7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180.36</w:t>
                  </w:r>
                </w:p>
              </w:tc>
            </w:tr>
            <w:tr w14:paraId="012A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20F13B85">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3F7DFDB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除尘收集的粉尘</w:t>
                  </w:r>
                </w:p>
              </w:tc>
              <w:tc>
                <w:tcPr>
                  <w:tcW w:w="2501" w:type="pct"/>
                  <w:vAlign w:val="center"/>
                </w:tcPr>
                <w:p w14:paraId="2DAD046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744.32</w:t>
                  </w:r>
                </w:p>
              </w:tc>
            </w:tr>
            <w:tr w14:paraId="7615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6D590C0F">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2BB21F4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废砂</w:t>
                  </w:r>
                </w:p>
              </w:tc>
              <w:tc>
                <w:tcPr>
                  <w:tcW w:w="2501" w:type="pct"/>
                  <w:vAlign w:val="center"/>
                </w:tcPr>
                <w:p w14:paraId="62ECF44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14.8</w:t>
                  </w:r>
                </w:p>
              </w:tc>
            </w:tr>
            <w:tr w14:paraId="70DD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28506C5E">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2AC93A5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残次品和废</w:t>
                  </w:r>
                  <w:r>
                    <w:rPr>
                      <w:rFonts w:hint="default" w:ascii="Times New Roman" w:hAnsi="Times New Roman" w:cs="Times New Roman"/>
                      <w:color w:val="auto"/>
                      <w:sz w:val="21"/>
                      <w:szCs w:val="21"/>
                      <w:highlight w:val="none"/>
                    </w:rPr>
                    <w:t>边角料</w:t>
                  </w:r>
                </w:p>
              </w:tc>
              <w:tc>
                <w:tcPr>
                  <w:tcW w:w="2501" w:type="pct"/>
                  <w:vAlign w:val="center"/>
                </w:tcPr>
                <w:p w14:paraId="1DCCCAE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360</w:t>
                  </w:r>
                </w:p>
              </w:tc>
            </w:tr>
            <w:tr w14:paraId="0219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40880B9F">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2C76DCD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废泡沫</w:t>
                  </w:r>
                </w:p>
              </w:tc>
              <w:tc>
                <w:tcPr>
                  <w:tcW w:w="2501" w:type="pct"/>
                  <w:vAlign w:val="center"/>
                </w:tcPr>
                <w:p w14:paraId="5074485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0.25</w:t>
                  </w:r>
                </w:p>
              </w:tc>
            </w:tr>
            <w:tr w14:paraId="11C8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7A66B682">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6E6E987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废石蜡</w:t>
                  </w:r>
                </w:p>
              </w:tc>
              <w:tc>
                <w:tcPr>
                  <w:tcW w:w="2501" w:type="pct"/>
                  <w:vAlign w:val="center"/>
                </w:tcPr>
                <w:p w14:paraId="0E01749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0.5</w:t>
                  </w:r>
                </w:p>
              </w:tc>
            </w:tr>
            <w:tr w14:paraId="37A8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restart"/>
                  <w:vAlign w:val="center"/>
                </w:tcPr>
                <w:p w14:paraId="1BE9A896">
                  <w:pPr>
                    <w:adjustRightInd w:val="0"/>
                    <w:snapToGrid w:val="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危险废物</w:t>
                  </w:r>
                </w:p>
              </w:tc>
              <w:tc>
                <w:tcPr>
                  <w:tcW w:w="1597" w:type="pct"/>
                  <w:vAlign w:val="center"/>
                </w:tcPr>
                <w:p w14:paraId="347B136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废活性炭</w:t>
                  </w:r>
                  <w:r>
                    <w:rPr>
                      <w:rFonts w:hint="default" w:ascii="Times New Roman" w:hAnsi="Times New Roman" w:cs="Times New Roman"/>
                      <w:color w:val="auto"/>
                      <w:sz w:val="21"/>
                      <w:szCs w:val="21"/>
                      <w:lang w:val="en-US" w:eastAsia="zh-CN"/>
                    </w:rPr>
                    <w:t>及其吸附物</w:t>
                  </w:r>
                </w:p>
              </w:tc>
              <w:tc>
                <w:tcPr>
                  <w:tcW w:w="2501" w:type="pct"/>
                  <w:vAlign w:val="center"/>
                </w:tcPr>
                <w:p w14:paraId="54F19C1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4.3</w:t>
                  </w:r>
                </w:p>
              </w:tc>
            </w:tr>
            <w:tr w14:paraId="5BD9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5BA85400">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76D4BE1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废苯乙烯液体有机溶剂</w:t>
                  </w:r>
                </w:p>
              </w:tc>
              <w:tc>
                <w:tcPr>
                  <w:tcW w:w="2501" w:type="pct"/>
                  <w:vAlign w:val="center"/>
                </w:tcPr>
                <w:p w14:paraId="4B473BA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0.563</w:t>
                  </w:r>
                </w:p>
              </w:tc>
            </w:tr>
            <w:tr w14:paraId="6250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3"/>
                  <w:vAlign w:val="center"/>
                </w:tcPr>
                <w:p w14:paraId="6E4D76A9">
                  <w:pPr>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注：表中固废为产生量。</w:t>
                  </w:r>
                </w:p>
              </w:tc>
            </w:tr>
          </w:tbl>
          <w:p w14:paraId="04B6559B">
            <w:pPr>
              <w:numPr>
                <w:ilvl w:val="0"/>
                <w:numId w:val="0"/>
              </w:numPr>
              <w:adjustRightInd w:val="0"/>
              <w:snapToGrid w:val="0"/>
              <w:spacing w:before="120" w:beforeLines="50" w:line="360" w:lineRule="auto"/>
              <w:ind w:firstLine="482" w:firstLineChars="200"/>
              <w:rPr>
                <w:rFonts w:hint="default" w:ascii="Times New Roman" w:hAnsi="Times New Roman" w:cs="Times New Roman"/>
                <w:b/>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val="en-US" w:eastAsia="zh-CN"/>
              </w:rPr>
              <w:t>3.取消原计划工程情况</w:t>
            </w:r>
          </w:p>
          <w:p w14:paraId="7E3F2D50">
            <w:pPr>
              <w:spacing w:line="360" w:lineRule="auto"/>
              <w:ind w:firstLine="480" w:firstLineChars="200"/>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鉴于当前宏观经济形势变化及公司内部发展战略调整，经韶关市博尔兹阀门工业有限公司慎重研究决定，取消原计划中的五期树脂砂铸造生产线（产能：铸铁件4000t/a）的工程建设内容，后续将不再进行相关项目的建设与投产。</w:t>
            </w:r>
          </w:p>
          <w:p w14:paraId="63CB6C8D">
            <w:pPr>
              <w:spacing w:line="360" w:lineRule="auto"/>
              <w:ind w:firstLine="480" w:firstLineChars="200"/>
              <w:jc w:val="left"/>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szCs w:val="24"/>
                <w:highlight w:val="none"/>
                <w:lang w:val="en-US" w:eastAsia="zh-CN"/>
              </w:rPr>
              <w:t>取消</w:t>
            </w:r>
            <w:r>
              <w:rPr>
                <w:rFonts w:hint="default" w:ascii="Times New Roman" w:hAnsi="Times New Roman" w:cs="Times New Roman"/>
                <w:b w:val="0"/>
                <w:bCs w:val="0"/>
                <w:color w:val="auto"/>
                <w:sz w:val="24"/>
                <w:szCs w:val="24"/>
                <w:lang w:val="en-US" w:eastAsia="zh-CN"/>
              </w:rPr>
              <w:t>五期树脂砂铸造生产线后，原计划五期树脂砂铸造生产线投产会产生的废气、废水、噪声、固废将不会产生。</w:t>
            </w:r>
            <w:r>
              <w:rPr>
                <w:rFonts w:hint="default" w:ascii="Times New Roman" w:hAnsi="Times New Roman" w:cs="Times New Roman"/>
                <w:color w:val="auto"/>
                <w:sz w:val="24"/>
                <w:szCs w:val="24"/>
                <w:highlight w:val="none"/>
                <w:lang w:val="en-US" w:eastAsia="zh-CN"/>
              </w:rPr>
              <w:t>根据前文分析，</w:t>
            </w:r>
            <w:r>
              <w:rPr>
                <w:rFonts w:hint="default" w:ascii="Times New Roman" w:hAnsi="Times New Roman" w:cs="Times New Roman"/>
                <w:b w:val="0"/>
                <w:bCs w:val="0"/>
                <w:color w:val="auto"/>
                <w:sz w:val="24"/>
                <w:szCs w:val="24"/>
                <w:lang w:val="en-US" w:eastAsia="zh-CN"/>
              </w:rPr>
              <w:t>五期树脂砂铸造生产线产生的废气主要为熔化颗粒物、</w:t>
            </w:r>
            <w:r>
              <w:rPr>
                <w:rFonts w:hint="default" w:ascii="Times New Roman" w:hAnsi="Times New Roman" w:cs="Times New Roman"/>
                <w:bCs/>
                <w:color w:val="auto"/>
                <w:sz w:val="24"/>
                <w:szCs w:val="24"/>
                <w:lang w:val="en-US" w:eastAsia="zh-CN"/>
              </w:rPr>
              <w:t>粉尘颗粒物（落砂、抛丸、混砂、砂处理颗粒物）、树脂砂生产线浇铸有机废气（TVOC、甲醛和非甲烷总烃表征），根据五期环评报告可知，五期</w:t>
            </w:r>
            <w:r>
              <w:rPr>
                <w:rFonts w:hint="default" w:ascii="Times New Roman" w:hAnsi="Times New Roman" w:cs="Times New Roman"/>
                <w:b w:val="0"/>
                <w:bCs w:val="0"/>
                <w:color w:val="auto"/>
                <w:sz w:val="24"/>
                <w:szCs w:val="24"/>
                <w:lang w:val="en-US" w:eastAsia="zh-CN"/>
              </w:rPr>
              <w:t>树脂砂铸造生产线（产能：铸铁件4000t/a）熔化颗粒物有组织排放量为0.01t/a，</w:t>
            </w:r>
            <w:r>
              <w:rPr>
                <w:rFonts w:hint="default" w:ascii="Times New Roman" w:hAnsi="Times New Roman" w:cs="Times New Roman"/>
                <w:bCs/>
                <w:color w:val="auto"/>
                <w:sz w:val="24"/>
                <w:szCs w:val="24"/>
                <w:lang w:val="en-US" w:eastAsia="zh-CN"/>
              </w:rPr>
              <w:t>粉尘颗粒物（落砂、抛丸、混砂、砂处理颗粒物）有组织排放量为0.544t/a，颗粒物无组织排放量为0.196t/a，</w:t>
            </w:r>
            <w:r>
              <w:rPr>
                <w:rFonts w:hint="default" w:ascii="Times New Roman" w:hAnsi="Times New Roman" w:cs="Times New Roman"/>
                <w:b w:val="0"/>
                <w:bCs w:val="0"/>
                <w:color w:val="auto"/>
                <w:sz w:val="24"/>
                <w:szCs w:val="24"/>
                <w:lang w:val="en-US" w:eastAsia="zh-CN"/>
              </w:rPr>
              <w:t>无组织排放</w:t>
            </w:r>
            <w:r>
              <w:rPr>
                <w:rFonts w:hint="default" w:ascii="Times New Roman" w:hAnsi="Times New Roman" w:cs="Times New Roman"/>
                <w:bCs/>
                <w:color w:val="auto"/>
                <w:sz w:val="24"/>
                <w:szCs w:val="24"/>
                <w:lang w:val="en-US" w:eastAsia="zh-CN"/>
              </w:rPr>
              <w:t>非甲烷总烃为0.35t/a（其中甲醛产生量为0.02t/a），TVOC为0.0575t/a，因此，取消</w:t>
            </w:r>
            <w:r>
              <w:rPr>
                <w:rFonts w:hint="default" w:ascii="Times New Roman" w:hAnsi="Times New Roman" w:cs="Times New Roman"/>
                <w:b w:val="0"/>
                <w:bCs w:val="0"/>
                <w:color w:val="auto"/>
                <w:sz w:val="24"/>
                <w:szCs w:val="24"/>
                <w:lang w:val="en-US" w:eastAsia="zh-CN"/>
              </w:rPr>
              <w:t>原计划中的五期树脂砂铸造生产线可减少颗粒物有组织排放量0.554t/a，颗粒物无组织排放量为0.196t/a，无组织挥发性有机物排放量为0.4075t/a</w:t>
            </w:r>
            <w:r>
              <w:rPr>
                <w:rFonts w:hint="default" w:ascii="Times New Roman" w:hAnsi="Times New Roman" w:cs="Times New Roman"/>
                <w:b w:val="0"/>
                <w:bCs w:val="0"/>
                <w:color w:val="auto"/>
                <w:sz w:val="28"/>
                <w:szCs w:val="28"/>
                <w:lang w:val="en-US" w:eastAsia="zh-CN"/>
              </w:rPr>
              <w:t>。</w:t>
            </w:r>
            <w:r>
              <w:rPr>
                <w:rFonts w:hint="default" w:ascii="Times New Roman" w:hAnsi="Times New Roman" w:cs="Times New Roman"/>
                <w:b w:val="0"/>
                <w:bCs w:val="0"/>
                <w:color w:val="auto"/>
                <w:sz w:val="24"/>
                <w:szCs w:val="24"/>
                <w:lang w:val="en-US" w:eastAsia="zh-CN"/>
              </w:rPr>
              <w:t>五期树脂砂铸造生产线产生的废水主要为生活污水，劳动定员减少5人，生活污水排放量削减108m</w:t>
            </w:r>
            <w:r>
              <w:rPr>
                <w:rFonts w:hint="default" w:ascii="Times New Roman" w:hAnsi="Times New Roman" w:cs="Times New Roman"/>
                <w:b w:val="0"/>
                <w:bCs w:val="0"/>
                <w:color w:val="auto"/>
                <w:sz w:val="24"/>
                <w:szCs w:val="24"/>
                <w:vertAlign w:val="superscript"/>
                <w:lang w:val="en-US" w:eastAsia="zh-CN"/>
              </w:rPr>
              <w:t>3</w:t>
            </w:r>
            <w:r>
              <w:rPr>
                <w:rFonts w:hint="default" w:ascii="Times New Roman" w:hAnsi="Times New Roman" w:cs="Times New Roman"/>
                <w:b w:val="0"/>
                <w:bCs w:val="0"/>
                <w:color w:val="auto"/>
                <w:sz w:val="24"/>
                <w:szCs w:val="24"/>
                <w:lang w:val="en-US" w:eastAsia="zh-CN"/>
              </w:rPr>
              <w:t>/a。五期树脂砂铸造生产线</w:t>
            </w:r>
            <w:r>
              <w:rPr>
                <w:rFonts w:hint="default" w:ascii="Times New Roman" w:hAnsi="Times New Roman" w:cs="Times New Roman"/>
                <w:color w:val="auto"/>
                <w:sz w:val="24"/>
                <w:highlight w:val="none"/>
                <w:lang w:val="en-US" w:eastAsia="zh-CN"/>
              </w:rPr>
              <w:t>生活垃圾产生量削减0.75t/a、中频炉渣产生量削减20t/a、除尘收集的粉尘产生量削减129.65t/a、残次品和废</w:t>
            </w:r>
            <w:r>
              <w:rPr>
                <w:rFonts w:hint="default" w:ascii="Times New Roman" w:hAnsi="Times New Roman" w:cs="Times New Roman"/>
                <w:color w:val="auto"/>
                <w:sz w:val="24"/>
                <w:highlight w:val="none"/>
              </w:rPr>
              <w:t>边角料</w:t>
            </w:r>
            <w:r>
              <w:rPr>
                <w:rFonts w:hint="default" w:ascii="Times New Roman" w:hAnsi="Times New Roman" w:cs="Times New Roman"/>
                <w:color w:val="auto"/>
                <w:sz w:val="24"/>
                <w:highlight w:val="none"/>
                <w:lang w:val="en-US" w:eastAsia="zh-CN"/>
              </w:rPr>
              <w:t>合计削减量为40t/a、废砂产生量削减1t/a。</w:t>
            </w:r>
          </w:p>
          <w:p w14:paraId="1DEE74F3">
            <w:pPr>
              <w:numPr>
                <w:ilvl w:val="0"/>
                <w:numId w:val="0"/>
              </w:numPr>
              <w:adjustRightInd w:val="0"/>
              <w:snapToGrid w:val="0"/>
              <w:spacing w:before="120" w:beforeLines="50" w:line="360" w:lineRule="auto"/>
              <w:jc w:val="center"/>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rPr>
              <w:t>表2-1</w:t>
            </w:r>
            <w:r>
              <w:rPr>
                <w:rFonts w:hint="default" w:ascii="Times New Roman" w:hAnsi="Times New Roman" w:cs="Times New Roman"/>
                <w:b/>
                <w:bCs/>
                <w:color w:val="auto"/>
                <w:sz w:val="24"/>
                <w:highlight w:val="none"/>
                <w:lang w:val="en-US" w:eastAsia="zh-CN"/>
              </w:rPr>
              <w:t>7</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val="en-US" w:eastAsia="zh-CN"/>
              </w:rPr>
              <w:t>取消原计划工程后削减的排放量一览表</w:t>
            </w:r>
          </w:p>
          <w:tbl>
            <w:tblPr>
              <w:tblStyle w:val="27"/>
              <w:tblW w:w="50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2835"/>
              <w:gridCol w:w="4439"/>
            </w:tblGrid>
            <w:tr w14:paraId="3364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900" w:type="pct"/>
                  <w:vAlign w:val="center"/>
                </w:tcPr>
                <w:p w14:paraId="2E397306">
                  <w:pPr>
                    <w:adjustRightInd w:val="0"/>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类别</w:t>
                  </w:r>
                </w:p>
              </w:tc>
              <w:tc>
                <w:tcPr>
                  <w:tcW w:w="1597" w:type="pct"/>
                  <w:vAlign w:val="center"/>
                </w:tcPr>
                <w:p w14:paraId="6100EF01">
                  <w:pPr>
                    <w:adjustRightInd w:val="0"/>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污染物名称</w:t>
                  </w:r>
                </w:p>
              </w:tc>
              <w:tc>
                <w:tcPr>
                  <w:tcW w:w="2501" w:type="pct"/>
                  <w:vAlign w:val="center"/>
                </w:tcPr>
                <w:p w14:paraId="25F09E1D">
                  <w:pPr>
                    <w:adjustRightInd w:val="0"/>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lang w:val="en-US" w:eastAsia="zh-CN"/>
                    </w:rPr>
                    <w:t>削减</w:t>
                  </w:r>
                  <w:r>
                    <w:rPr>
                      <w:rFonts w:hint="default" w:ascii="Times New Roman" w:hAnsi="Times New Roman" w:cs="Times New Roman"/>
                      <w:b/>
                      <w:color w:val="auto"/>
                      <w:sz w:val="21"/>
                      <w:szCs w:val="21"/>
                    </w:rPr>
                    <w:t>量</w:t>
                  </w:r>
                </w:p>
              </w:tc>
            </w:tr>
            <w:tr w14:paraId="0103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00" w:type="pct"/>
                  <w:vMerge w:val="restart"/>
                  <w:vAlign w:val="center"/>
                </w:tcPr>
                <w:p w14:paraId="698DADC5">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废气污染物</w:t>
                  </w:r>
                </w:p>
              </w:tc>
              <w:tc>
                <w:tcPr>
                  <w:tcW w:w="1597" w:type="pct"/>
                  <w:vAlign w:val="center"/>
                </w:tcPr>
                <w:p w14:paraId="4869B267">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颗粒物</w:t>
                  </w:r>
                </w:p>
              </w:tc>
              <w:tc>
                <w:tcPr>
                  <w:tcW w:w="2501" w:type="pct"/>
                  <w:vAlign w:val="center"/>
                </w:tcPr>
                <w:p w14:paraId="7E4E721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0.75</w:t>
                  </w:r>
                  <w:r>
                    <w:rPr>
                      <w:rFonts w:hint="default" w:ascii="Times New Roman" w:hAnsi="Times New Roman" w:cs="Times New Roman"/>
                      <w:bCs/>
                      <w:color w:val="auto"/>
                      <w:sz w:val="21"/>
                      <w:szCs w:val="21"/>
                      <w:highlight w:val="none"/>
                      <w:lang w:val="en-US" w:eastAsia="zh-CN"/>
                    </w:rPr>
                    <w:t>t/a</w:t>
                  </w:r>
                </w:p>
              </w:tc>
            </w:tr>
            <w:tr w14:paraId="313E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900" w:type="pct"/>
                  <w:vMerge w:val="continue"/>
                  <w:vAlign w:val="center"/>
                </w:tcPr>
                <w:p w14:paraId="48312245">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6A3510C8">
                  <w:pPr>
                    <w:pStyle w:val="126"/>
                    <w:spacing w:before="0" w:beforeLines="0"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lang w:val="en-US" w:eastAsia="zh-CN"/>
                    </w:rPr>
                    <w:t>TVOC</w:t>
                  </w:r>
                </w:p>
              </w:tc>
              <w:tc>
                <w:tcPr>
                  <w:tcW w:w="2501" w:type="pct"/>
                  <w:vAlign w:val="center"/>
                </w:tcPr>
                <w:p w14:paraId="33146C1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0.0575</w:t>
                  </w:r>
                  <w:r>
                    <w:rPr>
                      <w:rFonts w:hint="default" w:ascii="Times New Roman" w:hAnsi="Times New Roman" w:cs="Times New Roman"/>
                      <w:bCs/>
                      <w:color w:val="auto"/>
                      <w:sz w:val="21"/>
                      <w:szCs w:val="21"/>
                      <w:highlight w:val="none"/>
                      <w:lang w:val="en-US" w:eastAsia="zh-CN"/>
                    </w:rPr>
                    <w:t>t/a</w:t>
                  </w:r>
                </w:p>
              </w:tc>
            </w:tr>
            <w:tr w14:paraId="4224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900" w:type="pct"/>
                  <w:vMerge w:val="continue"/>
                  <w:vAlign w:val="center"/>
                </w:tcPr>
                <w:p w14:paraId="3CEA8A7D">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3ED751E4">
                  <w:pPr>
                    <w:pStyle w:val="126"/>
                    <w:spacing w:before="0" w:beforeLines="0"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lang w:val="en-US" w:eastAsia="zh-CN"/>
                    </w:rPr>
                    <w:t>非甲烷总烃</w:t>
                  </w:r>
                </w:p>
              </w:tc>
              <w:tc>
                <w:tcPr>
                  <w:tcW w:w="2501" w:type="pct"/>
                  <w:vAlign w:val="center"/>
                </w:tcPr>
                <w:p w14:paraId="726525D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0.35</w:t>
                  </w:r>
                  <w:r>
                    <w:rPr>
                      <w:rFonts w:hint="default" w:ascii="Times New Roman" w:hAnsi="Times New Roman" w:cs="Times New Roman"/>
                      <w:bCs/>
                      <w:color w:val="auto"/>
                      <w:sz w:val="21"/>
                      <w:szCs w:val="21"/>
                      <w:highlight w:val="none"/>
                      <w:lang w:val="en-US" w:eastAsia="zh-CN"/>
                    </w:rPr>
                    <w:t>t/a</w:t>
                  </w:r>
                </w:p>
              </w:tc>
            </w:tr>
            <w:tr w14:paraId="6300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900" w:type="pct"/>
                  <w:vMerge w:val="continue"/>
                  <w:vAlign w:val="center"/>
                </w:tcPr>
                <w:p w14:paraId="26E544C5">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0BE29B07">
                  <w:pPr>
                    <w:pStyle w:val="126"/>
                    <w:spacing w:before="0" w:beforeLines="0"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lang w:val="en-US" w:eastAsia="zh-CN"/>
                    </w:rPr>
                    <w:t>SO</w:t>
                  </w:r>
                  <w:r>
                    <w:rPr>
                      <w:rFonts w:hint="default" w:ascii="Times New Roman" w:hAnsi="Times New Roman" w:cs="Times New Roman"/>
                      <w:color w:val="auto"/>
                      <w:sz w:val="21"/>
                      <w:szCs w:val="21"/>
                      <w:vertAlign w:val="subscript"/>
                      <w:lang w:val="en-US" w:eastAsia="zh-CN"/>
                    </w:rPr>
                    <w:t>2</w:t>
                  </w:r>
                </w:p>
              </w:tc>
              <w:tc>
                <w:tcPr>
                  <w:tcW w:w="2501" w:type="pct"/>
                  <w:vAlign w:val="center"/>
                </w:tcPr>
                <w:p w14:paraId="0A2BBBB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60A9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900" w:type="pct"/>
                  <w:vMerge w:val="continue"/>
                  <w:vAlign w:val="center"/>
                </w:tcPr>
                <w:p w14:paraId="0B825A73">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55FE238C">
                  <w:pPr>
                    <w:pStyle w:val="126"/>
                    <w:spacing w:before="0" w:beforeLines="0"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lang w:val="en-US" w:eastAsia="zh-CN"/>
                    </w:rPr>
                    <w:t>NO</w:t>
                  </w:r>
                  <w:r>
                    <w:rPr>
                      <w:rFonts w:hint="default" w:ascii="Times New Roman" w:hAnsi="Times New Roman" w:cs="Times New Roman"/>
                      <w:color w:val="auto"/>
                      <w:sz w:val="21"/>
                      <w:szCs w:val="21"/>
                      <w:vertAlign w:val="subscript"/>
                      <w:lang w:val="en-US" w:eastAsia="zh-CN"/>
                    </w:rPr>
                    <w:t>X</w:t>
                  </w:r>
                </w:p>
              </w:tc>
              <w:tc>
                <w:tcPr>
                  <w:tcW w:w="2501" w:type="pct"/>
                  <w:vAlign w:val="center"/>
                </w:tcPr>
                <w:p w14:paraId="5A8B62F5">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3AEC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restart"/>
                  <w:vAlign w:val="center"/>
                </w:tcPr>
                <w:p w14:paraId="67F9902C">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废水污染物</w:t>
                  </w:r>
                </w:p>
              </w:tc>
              <w:tc>
                <w:tcPr>
                  <w:tcW w:w="1597" w:type="pct"/>
                  <w:vAlign w:val="center"/>
                </w:tcPr>
                <w:p w14:paraId="3C9DADBA">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color w:val="auto"/>
                      <w:kern w:val="0"/>
                      <w:sz w:val="21"/>
                      <w:szCs w:val="21"/>
                    </w:rPr>
                    <w:t>废水量</w:t>
                  </w:r>
                </w:p>
              </w:tc>
              <w:tc>
                <w:tcPr>
                  <w:tcW w:w="2501" w:type="pct"/>
                  <w:vAlign w:val="center"/>
                </w:tcPr>
                <w:p w14:paraId="7D77C99D">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108</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/a</w:t>
                  </w:r>
                </w:p>
              </w:tc>
            </w:tr>
            <w:tr w14:paraId="6A8A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2E67AC0C">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26C12BEC">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COD</w:t>
                  </w:r>
                  <w:r>
                    <w:rPr>
                      <w:rFonts w:hint="default" w:ascii="Times New Roman" w:hAnsi="Times New Roman" w:cs="Times New Roman"/>
                      <w:color w:val="auto"/>
                      <w:sz w:val="21"/>
                      <w:szCs w:val="21"/>
                      <w:vertAlign w:val="subscript"/>
                    </w:rPr>
                    <w:t>Cr</w:t>
                  </w:r>
                </w:p>
              </w:tc>
              <w:tc>
                <w:tcPr>
                  <w:tcW w:w="2501" w:type="pct"/>
                  <w:vAlign w:val="center"/>
                </w:tcPr>
                <w:p w14:paraId="00CACD3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0.003</w:t>
                  </w:r>
                  <w:r>
                    <w:rPr>
                      <w:rFonts w:hint="default" w:ascii="Times New Roman" w:hAnsi="Times New Roman" w:cs="Times New Roman"/>
                      <w:bCs/>
                      <w:color w:val="auto"/>
                      <w:sz w:val="21"/>
                      <w:szCs w:val="21"/>
                      <w:highlight w:val="none"/>
                      <w:lang w:val="en-US" w:eastAsia="zh-CN"/>
                    </w:rPr>
                    <w:t>t/a</w:t>
                  </w:r>
                </w:p>
              </w:tc>
            </w:tr>
            <w:tr w14:paraId="0095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0D26886E">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2691A72B">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BOD</w:t>
                  </w:r>
                  <w:r>
                    <w:rPr>
                      <w:rFonts w:hint="default" w:ascii="Times New Roman" w:hAnsi="Times New Roman" w:cs="Times New Roman"/>
                      <w:color w:val="auto"/>
                      <w:sz w:val="21"/>
                      <w:szCs w:val="21"/>
                      <w:vertAlign w:val="subscript"/>
                    </w:rPr>
                    <w:t>5</w:t>
                  </w:r>
                </w:p>
              </w:tc>
              <w:tc>
                <w:tcPr>
                  <w:tcW w:w="2501" w:type="pct"/>
                  <w:vAlign w:val="center"/>
                </w:tcPr>
                <w:p w14:paraId="012F343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0.002</w:t>
                  </w:r>
                  <w:r>
                    <w:rPr>
                      <w:rFonts w:hint="default" w:ascii="Times New Roman" w:hAnsi="Times New Roman" w:cs="Times New Roman"/>
                      <w:bCs/>
                      <w:color w:val="auto"/>
                      <w:sz w:val="21"/>
                      <w:szCs w:val="21"/>
                      <w:highlight w:val="none"/>
                      <w:lang w:val="en-US" w:eastAsia="zh-CN"/>
                    </w:rPr>
                    <w:t>t/a</w:t>
                  </w:r>
                </w:p>
              </w:tc>
            </w:tr>
            <w:tr w14:paraId="1ACF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900" w:type="pct"/>
                  <w:vMerge w:val="continue"/>
                  <w:vAlign w:val="center"/>
                </w:tcPr>
                <w:p w14:paraId="54C41D39">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0F4FA041">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SS</w:t>
                  </w:r>
                </w:p>
              </w:tc>
              <w:tc>
                <w:tcPr>
                  <w:tcW w:w="2501" w:type="pct"/>
                  <w:vAlign w:val="center"/>
                </w:tcPr>
                <w:p w14:paraId="3545E27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0.006</w:t>
                  </w:r>
                  <w:r>
                    <w:rPr>
                      <w:rFonts w:hint="default" w:ascii="Times New Roman" w:hAnsi="Times New Roman" w:cs="Times New Roman"/>
                      <w:bCs/>
                      <w:color w:val="auto"/>
                      <w:sz w:val="21"/>
                      <w:szCs w:val="21"/>
                      <w:highlight w:val="none"/>
                      <w:lang w:val="en-US" w:eastAsia="zh-CN"/>
                    </w:rPr>
                    <w:t>t/a</w:t>
                  </w:r>
                </w:p>
              </w:tc>
            </w:tr>
            <w:tr w14:paraId="20C4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3A56BB9E">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27B9149F">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NH</w:t>
                  </w:r>
                  <w:r>
                    <w:rPr>
                      <w:rFonts w:hint="default" w:ascii="Times New Roman" w:hAnsi="Times New Roman" w:cs="Times New Roman"/>
                      <w:color w:val="auto"/>
                      <w:sz w:val="21"/>
                      <w:szCs w:val="21"/>
                      <w:vertAlign w:val="subscript"/>
                    </w:rPr>
                    <w:t>3</w:t>
                  </w:r>
                  <w:r>
                    <w:rPr>
                      <w:rFonts w:hint="default" w:ascii="Times New Roman" w:hAnsi="Times New Roman" w:cs="Times New Roman"/>
                      <w:color w:val="auto"/>
                      <w:sz w:val="21"/>
                      <w:szCs w:val="21"/>
                    </w:rPr>
                    <w:t>-N</w:t>
                  </w:r>
                </w:p>
              </w:tc>
              <w:tc>
                <w:tcPr>
                  <w:tcW w:w="2501" w:type="pct"/>
                  <w:vAlign w:val="center"/>
                </w:tcPr>
                <w:p w14:paraId="4633E811">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0.0002</w:t>
                  </w:r>
                  <w:r>
                    <w:rPr>
                      <w:rFonts w:hint="default" w:ascii="Times New Roman" w:hAnsi="Times New Roman" w:cs="Times New Roman"/>
                      <w:bCs/>
                      <w:color w:val="auto"/>
                      <w:sz w:val="21"/>
                      <w:szCs w:val="21"/>
                      <w:highlight w:val="none"/>
                      <w:lang w:val="en-US" w:eastAsia="zh-CN"/>
                    </w:rPr>
                    <w:t>t/a</w:t>
                  </w:r>
                </w:p>
              </w:tc>
            </w:tr>
            <w:tr w14:paraId="6A46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pct"/>
                  <w:vMerge w:val="continue"/>
                  <w:vAlign w:val="center"/>
                </w:tcPr>
                <w:p w14:paraId="4F482433">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36EABCB3">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动植物油</w:t>
                  </w:r>
                </w:p>
              </w:tc>
              <w:tc>
                <w:tcPr>
                  <w:tcW w:w="2501" w:type="pct"/>
                  <w:vAlign w:val="center"/>
                </w:tcPr>
                <w:p w14:paraId="0A22CAC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0.00002</w:t>
                  </w:r>
                  <w:r>
                    <w:rPr>
                      <w:rFonts w:hint="default" w:ascii="Times New Roman" w:hAnsi="Times New Roman" w:cs="Times New Roman"/>
                      <w:bCs/>
                      <w:color w:val="auto"/>
                      <w:sz w:val="21"/>
                      <w:szCs w:val="21"/>
                      <w:highlight w:val="none"/>
                      <w:lang w:val="en-US" w:eastAsia="zh-CN"/>
                    </w:rPr>
                    <w:t>t/a</w:t>
                  </w:r>
                </w:p>
              </w:tc>
            </w:tr>
            <w:tr w14:paraId="4CE2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restart"/>
                  <w:vAlign w:val="center"/>
                </w:tcPr>
                <w:p w14:paraId="0BAC7B9F">
                  <w:pPr>
                    <w:adjustRightInd w:val="0"/>
                    <w:snapToGrid w:val="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一般固废</w:t>
                  </w:r>
                </w:p>
              </w:tc>
              <w:tc>
                <w:tcPr>
                  <w:tcW w:w="1597" w:type="pct"/>
                  <w:vAlign w:val="center"/>
                </w:tcPr>
                <w:p w14:paraId="607DEAC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生活垃圾</w:t>
                  </w:r>
                </w:p>
              </w:tc>
              <w:tc>
                <w:tcPr>
                  <w:tcW w:w="2501" w:type="pct"/>
                  <w:vAlign w:val="center"/>
                </w:tcPr>
                <w:p w14:paraId="433E8AE5">
                  <w:pPr>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.75</w:t>
                  </w:r>
                  <w:r>
                    <w:rPr>
                      <w:rFonts w:hint="default" w:ascii="Times New Roman" w:hAnsi="Times New Roman" w:cs="Times New Roman"/>
                      <w:bCs/>
                      <w:color w:val="auto"/>
                      <w:sz w:val="21"/>
                      <w:szCs w:val="21"/>
                      <w:highlight w:val="none"/>
                      <w:lang w:val="en-US" w:eastAsia="zh-CN"/>
                    </w:rPr>
                    <w:t>t/a</w:t>
                  </w:r>
                </w:p>
              </w:tc>
            </w:tr>
            <w:tr w14:paraId="19D3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4D745755">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26C42ED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中频炉渣</w:t>
                  </w:r>
                </w:p>
              </w:tc>
              <w:tc>
                <w:tcPr>
                  <w:tcW w:w="2501" w:type="pct"/>
                  <w:vAlign w:val="center"/>
                </w:tcPr>
                <w:p w14:paraId="6E2DBAEB">
                  <w:pPr>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20</w:t>
                  </w:r>
                  <w:r>
                    <w:rPr>
                      <w:rFonts w:hint="default" w:ascii="Times New Roman" w:hAnsi="Times New Roman" w:cs="Times New Roman"/>
                      <w:bCs/>
                      <w:color w:val="auto"/>
                      <w:sz w:val="21"/>
                      <w:szCs w:val="21"/>
                      <w:highlight w:val="none"/>
                      <w:lang w:val="en-US" w:eastAsia="zh-CN"/>
                    </w:rPr>
                    <w:t>t/a</w:t>
                  </w:r>
                </w:p>
              </w:tc>
            </w:tr>
            <w:tr w14:paraId="073D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75B83898">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0C0BF4A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除尘收集的粉尘</w:t>
                  </w:r>
                </w:p>
              </w:tc>
              <w:tc>
                <w:tcPr>
                  <w:tcW w:w="2501" w:type="pct"/>
                  <w:vAlign w:val="center"/>
                </w:tcPr>
                <w:p w14:paraId="4E4F3B22">
                  <w:pPr>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highlight w:val="none"/>
                      <w:lang w:val="en-US" w:eastAsia="zh-CN"/>
                    </w:rPr>
                    <w:t>129.65</w:t>
                  </w:r>
                  <w:r>
                    <w:rPr>
                      <w:rFonts w:hint="default" w:ascii="Times New Roman" w:hAnsi="Times New Roman" w:cs="Times New Roman"/>
                      <w:bCs/>
                      <w:color w:val="auto"/>
                      <w:sz w:val="21"/>
                      <w:szCs w:val="21"/>
                      <w:highlight w:val="none"/>
                      <w:lang w:val="en-US" w:eastAsia="zh-CN"/>
                    </w:rPr>
                    <w:t>t/a</w:t>
                  </w:r>
                </w:p>
              </w:tc>
            </w:tr>
            <w:tr w14:paraId="56C9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20EEB4C6">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57CD73E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废砂</w:t>
                  </w:r>
                </w:p>
              </w:tc>
              <w:tc>
                <w:tcPr>
                  <w:tcW w:w="2501" w:type="pct"/>
                  <w:vAlign w:val="center"/>
                </w:tcPr>
                <w:p w14:paraId="59C2EB6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r>
                    <w:rPr>
                      <w:rFonts w:hint="default" w:ascii="Times New Roman" w:hAnsi="Times New Roman" w:cs="Times New Roman"/>
                      <w:bCs/>
                      <w:color w:val="auto"/>
                      <w:sz w:val="21"/>
                      <w:szCs w:val="21"/>
                      <w:highlight w:val="none"/>
                      <w:lang w:val="en-US" w:eastAsia="zh-CN"/>
                    </w:rPr>
                    <w:t>t/a</w:t>
                  </w:r>
                </w:p>
              </w:tc>
            </w:tr>
            <w:tr w14:paraId="1EDD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54D24BD4">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183A402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残次品和废</w:t>
                  </w:r>
                  <w:r>
                    <w:rPr>
                      <w:rFonts w:hint="default" w:ascii="Times New Roman" w:hAnsi="Times New Roman" w:cs="Times New Roman"/>
                      <w:color w:val="auto"/>
                      <w:sz w:val="21"/>
                      <w:szCs w:val="21"/>
                      <w:highlight w:val="none"/>
                    </w:rPr>
                    <w:t>边角料</w:t>
                  </w:r>
                </w:p>
              </w:tc>
              <w:tc>
                <w:tcPr>
                  <w:tcW w:w="2501" w:type="pct"/>
                  <w:vAlign w:val="center"/>
                </w:tcPr>
                <w:p w14:paraId="537A1B88">
                  <w:pPr>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40</w:t>
                  </w:r>
                  <w:r>
                    <w:rPr>
                      <w:rFonts w:hint="default" w:ascii="Times New Roman" w:hAnsi="Times New Roman" w:cs="Times New Roman"/>
                      <w:bCs/>
                      <w:color w:val="auto"/>
                      <w:sz w:val="21"/>
                      <w:szCs w:val="21"/>
                      <w:highlight w:val="none"/>
                      <w:lang w:val="en-US" w:eastAsia="zh-CN"/>
                    </w:rPr>
                    <w:t>t/a</w:t>
                  </w:r>
                </w:p>
              </w:tc>
            </w:tr>
            <w:tr w14:paraId="062C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75A0B674">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02DE982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废泡沫</w:t>
                  </w:r>
                </w:p>
              </w:tc>
              <w:tc>
                <w:tcPr>
                  <w:tcW w:w="2501" w:type="pct"/>
                  <w:vAlign w:val="center"/>
                </w:tcPr>
                <w:p w14:paraId="22F8B58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r>
            <w:tr w14:paraId="4EDA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0D3FF7C5">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604EEB3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废石蜡</w:t>
                  </w:r>
                </w:p>
              </w:tc>
              <w:tc>
                <w:tcPr>
                  <w:tcW w:w="2501" w:type="pct"/>
                  <w:vAlign w:val="center"/>
                </w:tcPr>
                <w:p w14:paraId="71FFD9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r>
            <w:tr w14:paraId="4525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restart"/>
                  <w:vAlign w:val="center"/>
                </w:tcPr>
                <w:p w14:paraId="61A9BE1E">
                  <w:pPr>
                    <w:adjustRightInd w:val="0"/>
                    <w:snapToGrid w:val="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危险废物</w:t>
                  </w:r>
                </w:p>
              </w:tc>
              <w:tc>
                <w:tcPr>
                  <w:tcW w:w="1597" w:type="pct"/>
                  <w:vAlign w:val="center"/>
                </w:tcPr>
                <w:p w14:paraId="79E3277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废活性炭</w:t>
                  </w:r>
                  <w:r>
                    <w:rPr>
                      <w:rFonts w:hint="default" w:ascii="Times New Roman" w:hAnsi="Times New Roman" w:cs="Times New Roman"/>
                      <w:color w:val="auto"/>
                      <w:sz w:val="21"/>
                      <w:szCs w:val="21"/>
                      <w:lang w:val="en-US" w:eastAsia="zh-CN"/>
                    </w:rPr>
                    <w:t>及其吸附物</w:t>
                  </w:r>
                </w:p>
              </w:tc>
              <w:tc>
                <w:tcPr>
                  <w:tcW w:w="2501" w:type="pct"/>
                  <w:vAlign w:val="center"/>
                </w:tcPr>
                <w:p w14:paraId="1EBE7F7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r>
            <w:tr w14:paraId="6F9F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0" w:type="pct"/>
                  <w:vMerge w:val="continue"/>
                  <w:vAlign w:val="center"/>
                </w:tcPr>
                <w:p w14:paraId="7FDFE6F0">
                  <w:pPr>
                    <w:adjustRightInd w:val="0"/>
                    <w:snapToGrid w:val="0"/>
                    <w:jc w:val="center"/>
                    <w:rPr>
                      <w:rFonts w:hint="default" w:ascii="Times New Roman" w:hAnsi="Times New Roman" w:cs="Times New Roman"/>
                      <w:bCs/>
                      <w:color w:val="auto"/>
                      <w:sz w:val="21"/>
                      <w:szCs w:val="21"/>
                    </w:rPr>
                  </w:pPr>
                </w:p>
              </w:tc>
              <w:tc>
                <w:tcPr>
                  <w:tcW w:w="1597" w:type="pct"/>
                  <w:vAlign w:val="center"/>
                </w:tcPr>
                <w:p w14:paraId="701ED9B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废苯乙烯液体有机溶剂</w:t>
                  </w:r>
                </w:p>
              </w:tc>
              <w:tc>
                <w:tcPr>
                  <w:tcW w:w="2501" w:type="pct"/>
                  <w:vAlign w:val="center"/>
                </w:tcPr>
                <w:p w14:paraId="3A5151C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r>
          </w:tbl>
          <w:p w14:paraId="6D62383A">
            <w:pPr>
              <w:pStyle w:val="2"/>
              <w:rPr>
                <w:rFonts w:hint="default" w:ascii="Times New Roman" w:hAnsi="Times New Roman" w:cs="Times New Roman"/>
                <w:color w:val="auto"/>
                <w:lang w:val="en-US" w:eastAsia="zh-CN"/>
              </w:rPr>
            </w:pPr>
          </w:p>
          <w:p w14:paraId="675CEED0">
            <w:pPr>
              <w:adjustRightInd w:val="0"/>
              <w:snapToGrid w:val="0"/>
              <w:spacing w:before="120" w:beforeLines="5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4.</w:t>
            </w:r>
            <w:r>
              <w:rPr>
                <w:rFonts w:hint="default" w:ascii="Times New Roman" w:hAnsi="Times New Roman" w:cs="Times New Roman"/>
                <w:b/>
                <w:bCs/>
                <w:color w:val="auto"/>
                <w:sz w:val="24"/>
                <w:highlight w:val="none"/>
              </w:rPr>
              <w:t>主要环境问题</w:t>
            </w:r>
          </w:p>
          <w:p w14:paraId="73429C5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根据上文分析，原项目手续完善，废气、废水、噪声、固废均按相关部门的要求落实各项污染物治理措施要求，根据现场调查，原项目周边环境状况良好，无明显环境问题。但是</w:t>
            </w:r>
            <w:r>
              <w:rPr>
                <w:rFonts w:hint="default" w:ascii="Times New Roman" w:hAnsi="Times New Roman" w:cs="Times New Roman"/>
                <w:color w:val="auto"/>
                <w:sz w:val="24"/>
                <w:szCs w:val="24"/>
                <w:highlight w:val="none"/>
              </w:rPr>
              <w:t>由于企业</w:t>
            </w:r>
            <w:r>
              <w:rPr>
                <w:rFonts w:hint="default" w:ascii="Times New Roman" w:hAnsi="Times New Roman" w:cs="Times New Roman"/>
                <w:color w:val="auto"/>
                <w:sz w:val="24"/>
                <w:szCs w:val="24"/>
                <w:highlight w:val="none"/>
                <w:lang w:val="en-US" w:eastAsia="zh-CN"/>
              </w:rPr>
              <w:t>主要工序</w:t>
            </w:r>
            <w:r>
              <w:rPr>
                <w:rFonts w:hint="default" w:ascii="Times New Roman" w:hAnsi="Times New Roman" w:cs="Times New Roman"/>
                <w:color w:val="auto"/>
                <w:sz w:val="24"/>
                <w:szCs w:val="24"/>
                <w:highlight w:val="none"/>
              </w:rPr>
              <w:t>金属熔炼、抛丸、砂处理、浇注</w:t>
            </w:r>
            <w:r>
              <w:rPr>
                <w:rFonts w:hint="default" w:ascii="Times New Roman" w:hAnsi="Times New Roman" w:cs="Times New Roman"/>
                <w:color w:val="auto"/>
                <w:sz w:val="24"/>
                <w:szCs w:val="24"/>
                <w:highlight w:val="none"/>
                <w:lang w:val="en-US" w:eastAsia="zh-CN"/>
              </w:rPr>
              <w:t>等停产</w:t>
            </w:r>
            <w:r>
              <w:rPr>
                <w:rFonts w:hint="default" w:ascii="Times New Roman" w:hAnsi="Times New Roman" w:cs="Times New Roman"/>
                <w:color w:val="auto"/>
                <w:sz w:val="24"/>
                <w:highlight w:val="none"/>
              </w:rPr>
              <w:t>，2025年度未对厂界无组织废气、噪声和废水进行自行监测，后续企业</w:t>
            </w:r>
            <w:r>
              <w:rPr>
                <w:rFonts w:hint="default" w:ascii="Times New Roman" w:hAnsi="Times New Roman" w:cs="Times New Roman"/>
                <w:color w:val="auto"/>
                <w:sz w:val="24"/>
                <w:highlight w:val="none"/>
                <w:lang w:val="en-US" w:eastAsia="zh-CN"/>
              </w:rPr>
              <w:t>须</w:t>
            </w:r>
            <w:r>
              <w:rPr>
                <w:rFonts w:hint="default" w:ascii="Times New Roman" w:hAnsi="Times New Roman" w:cs="Times New Roman"/>
                <w:color w:val="auto"/>
                <w:sz w:val="24"/>
                <w:highlight w:val="none"/>
              </w:rPr>
              <w:t>严格按照排污许可证自行监测要求进行自行监测。</w:t>
            </w:r>
          </w:p>
          <w:p w14:paraId="6D82CF35">
            <w:pPr>
              <w:numPr>
                <w:ilvl w:val="0"/>
                <w:numId w:val="10"/>
              </w:numPr>
              <w:spacing w:line="360" w:lineRule="auto"/>
              <w:ind w:firstLine="482" w:firstLineChars="200"/>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以新带老</w:t>
            </w:r>
          </w:p>
          <w:p w14:paraId="43B90DED">
            <w:pPr>
              <w:numPr>
                <w:ilvl w:val="0"/>
                <w:numId w:val="0"/>
              </w:numPr>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原项目三期工程建设了1套</w:t>
            </w:r>
            <w:r>
              <w:rPr>
                <w:rFonts w:hint="default" w:ascii="Times New Roman" w:hAnsi="Times New Roman" w:cs="Times New Roman"/>
                <w:color w:val="auto"/>
                <w:sz w:val="24"/>
                <w:szCs w:val="24"/>
                <w:highlight w:val="none"/>
              </w:rPr>
              <w:t>UV光解+活性炭吸附塔</w:t>
            </w:r>
            <w:r>
              <w:rPr>
                <w:rFonts w:hint="default" w:ascii="Times New Roman" w:hAnsi="Times New Roman" w:cs="Times New Roman"/>
                <w:color w:val="auto"/>
                <w:sz w:val="24"/>
                <w:szCs w:val="24"/>
                <w:highlight w:val="none"/>
                <w:lang w:val="en-US" w:eastAsia="zh-CN"/>
              </w:rPr>
              <w:t xml:space="preserve">处理消失模浇注工序产生的有机废气，根据《关于印发2025年《国家污染防治技术指导目录》的通知》（ </w:t>
            </w:r>
            <w:r>
              <w:rPr>
                <w:rFonts w:hint="default" w:ascii="Times New Roman" w:hAnsi="Times New Roman" w:eastAsia="Helvetica" w:cs="Times New Roman"/>
                <w:i w:val="0"/>
                <w:iCs w:val="0"/>
                <w:caps w:val="0"/>
                <w:color w:val="auto"/>
                <w:spacing w:val="0"/>
                <w:sz w:val="24"/>
                <w:szCs w:val="24"/>
                <w:highlight w:val="none"/>
                <w:shd w:val="clear" w:fill="FFFFFF"/>
              </w:rPr>
              <w:t>环办科财函〔2025〕197号</w:t>
            </w:r>
            <w:r>
              <w:rPr>
                <w:rFonts w:hint="default" w:ascii="Times New Roman" w:hAnsi="Times New Roman" w:cs="Times New Roman"/>
                <w:color w:val="auto"/>
                <w:sz w:val="24"/>
                <w:szCs w:val="24"/>
                <w:highlight w:val="none"/>
                <w:lang w:val="en-US" w:eastAsia="zh-CN"/>
              </w:rPr>
              <w:t>），VOCs光解(光氧化)及其组合净化技术，该技术利用污染物分子吸收短波长紫外光，引发污染物分子化学键断裂，同时废气中的氧气或水分子吸收短波长紫外光后，产生包括臭氧和羟基自由基等在内的活性物种与污染物分子发生降解反应，该技术存在的缺陷为光氧化光电转换效率低，反应装置有效光辐射能量普遍不足，应用于工业废气处理时，处理效率低，反应产物不明，属于低效类技术，应在企业VOCs治理中予以淘汰。本报告建议建设单位通过“以新带老”将“</w:t>
            </w:r>
            <w:r>
              <w:rPr>
                <w:rFonts w:hint="default" w:ascii="Times New Roman" w:hAnsi="Times New Roman" w:cs="Times New Roman"/>
                <w:color w:val="auto"/>
                <w:sz w:val="24"/>
                <w:szCs w:val="24"/>
                <w:highlight w:val="none"/>
              </w:rPr>
              <w:t>UV光解+活性炭吸附塔</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改造成“二级活性炭吸附”。</w:t>
            </w:r>
          </w:p>
          <w:p w14:paraId="5D75B72F">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根据前文分析，原项目三期消失模浇注工序产生的挥发性有机物为经“</w:t>
            </w:r>
            <w:r>
              <w:rPr>
                <w:rFonts w:hint="default" w:ascii="Times New Roman" w:hAnsi="Times New Roman" w:cs="Times New Roman"/>
                <w:color w:val="auto"/>
                <w:sz w:val="24"/>
                <w:szCs w:val="24"/>
                <w:highlight w:val="none"/>
              </w:rPr>
              <w:t>UV光解+活性炭吸附塔</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处理后原项目三期消失模浇注工序TVOC有组织排放量为0.096t/a、无组织排放量为0.705t/a，合计排放挥发性有机物0.801t/a。</w:t>
            </w:r>
          </w:p>
          <w:p w14:paraId="48CD46FD">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本报告建议建设单位通过“以新带老”将“</w:t>
            </w:r>
            <w:r>
              <w:rPr>
                <w:rFonts w:hint="default" w:ascii="Times New Roman" w:hAnsi="Times New Roman" w:cs="Times New Roman"/>
                <w:color w:val="auto"/>
                <w:sz w:val="24"/>
                <w:szCs w:val="24"/>
                <w:highlight w:val="none"/>
              </w:rPr>
              <w:t>UV光解+活性炭吸附塔</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改造成“二级活性炭吸附”。废气收集措施仍沿用外部集气罩收集废气，收集效率仍为30%，</w:t>
            </w:r>
            <w:r>
              <w:rPr>
                <w:rFonts w:hint="default" w:ascii="Times New Roman" w:hAnsi="Times New Roman" w:cs="Times New Roman"/>
                <w:color w:val="auto"/>
                <w:sz w:val="24"/>
                <w:szCs w:val="24"/>
                <w:highlight w:val="none"/>
              </w:rPr>
              <w:t>参考《广东省家具制造行业挥发性有机废气治理技术指南》（2015 年1 月1日实施）中吸附法对有机废气处理率为50%~80%，本项目采用二级活性炭对有机废气进行吸附处理，处理效率取值上按保守中位数取值，其中单级活性炭对有机废气处理效率折中取65%，则二级活性炭吸附装置对有机废气的处理效率为1-（1-65%）×（1-65%）=87.75%</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则“以新带老”后，有组织排放量为0.037t/a、无组织排放量为0.705t/a，合计排放挥发性有机物0.742t/a。</w:t>
            </w:r>
          </w:p>
          <w:p w14:paraId="0B8FE881">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综上所述，“以新带老”后挥发性有机物减排量为0.059t/a（0.801-0.742=0.059）。</w:t>
            </w:r>
          </w:p>
          <w:p w14:paraId="50A6C05E">
            <w:pPr>
              <w:spacing w:line="360" w:lineRule="auto"/>
              <w:ind w:firstLine="480" w:firstLineChars="200"/>
              <w:rPr>
                <w:rFonts w:hint="default" w:ascii="Times New Roman" w:hAnsi="Times New Roman" w:cs="Times New Roman"/>
                <w:color w:val="auto"/>
                <w:sz w:val="24"/>
                <w:szCs w:val="24"/>
                <w:highlight w:val="none"/>
                <w:lang w:val="en-US" w:eastAsia="zh-CN"/>
              </w:rPr>
            </w:pPr>
          </w:p>
          <w:p w14:paraId="227D7281">
            <w:pPr>
              <w:pStyle w:val="102"/>
              <w:spacing w:before="120" w:beforeLines="50" w:line="360" w:lineRule="auto"/>
              <w:ind w:firstLine="480" w:firstLineChars="200"/>
              <w:rPr>
                <w:rFonts w:hint="default" w:ascii="Times New Roman" w:hAnsi="Times New Roman" w:eastAsia="宋体" w:cs="Times New Roman"/>
                <w:color w:val="auto"/>
                <w:sz w:val="24"/>
                <w:szCs w:val="24"/>
                <w:highlight w:val="none"/>
                <w:lang w:val="en-US" w:eastAsia="zh-CN"/>
              </w:rPr>
            </w:pPr>
          </w:p>
          <w:p w14:paraId="2060861E">
            <w:pPr>
              <w:spacing w:line="360" w:lineRule="auto"/>
              <w:ind w:firstLine="420" w:firstLineChars="200"/>
              <w:rPr>
                <w:rFonts w:hint="default" w:ascii="Times New Roman" w:hAnsi="Times New Roman" w:cs="Times New Roman"/>
                <w:color w:val="auto"/>
                <w:szCs w:val="21"/>
                <w:highlight w:val="none"/>
                <w:lang w:val="en-US" w:eastAsia="zh-CN"/>
              </w:rPr>
            </w:pPr>
          </w:p>
          <w:p w14:paraId="0614422B">
            <w:pPr>
              <w:spacing w:line="360" w:lineRule="auto"/>
              <w:ind w:firstLine="420" w:firstLineChars="200"/>
              <w:rPr>
                <w:rFonts w:hint="default" w:ascii="Times New Roman" w:hAnsi="Times New Roman" w:cs="Times New Roman"/>
                <w:color w:val="auto"/>
                <w:szCs w:val="21"/>
                <w:highlight w:val="none"/>
                <w:lang w:val="en-US" w:eastAsia="zh-CN"/>
              </w:rPr>
            </w:pPr>
          </w:p>
          <w:p w14:paraId="08017BCA">
            <w:pPr>
              <w:rPr>
                <w:rFonts w:hint="default" w:ascii="Times New Roman" w:hAnsi="Times New Roman" w:cs="Times New Roman"/>
                <w:color w:val="auto"/>
                <w:highlight w:val="none"/>
              </w:rPr>
            </w:pPr>
          </w:p>
          <w:p w14:paraId="3BF6B592">
            <w:pPr>
              <w:pStyle w:val="8"/>
              <w:rPr>
                <w:rFonts w:hint="default" w:ascii="Times New Roman" w:hAnsi="Times New Roman" w:cs="Times New Roman"/>
                <w:color w:val="auto"/>
                <w:highlight w:val="none"/>
              </w:rPr>
            </w:pPr>
          </w:p>
          <w:p w14:paraId="02A07CEE">
            <w:pPr>
              <w:rPr>
                <w:rFonts w:hint="default" w:ascii="Times New Roman" w:hAnsi="Times New Roman" w:cs="Times New Roman"/>
                <w:color w:val="auto"/>
                <w:highlight w:val="none"/>
              </w:rPr>
            </w:pPr>
          </w:p>
          <w:p w14:paraId="61E57699">
            <w:pPr>
              <w:pStyle w:val="8"/>
              <w:rPr>
                <w:rFonts w:hint="default" w:ascii="Times New Roman" w:hAnsi="Times New Roman" w:cs="Times New Roman"/>
                <w:color w:val="auto"/>
                <w:highlight w:val="none"/>
              </w:rPr>
            </w:pPr>
          </w:p>
          <w:p w14:paraId="3B03B802">
            <w:pPr>
              <w:rPr>
                <w:rFonts w:hint="default" w:ascii="Times New Roman" w:hAnsi="Times New Roman" w:cs="Times New Roman"/>
                <w:color w:val="auto"/>
                <w:highlight w:val="none"/>
              </w:rPr>
            </w:pPr>
          </w:p>
          <w:p w14:paraId="18B6E8D7">
            <w:pPr>
              <w:pStyle w:val="8"/>
              <w:rPr>
                <w:rFonts w:hint="default" w:ascii="Times New Roman" w:hAnsi="Times New Roman" w:cs="Times New Roman"/>
                <w:color w:val="auto"/>
                <w:highlight w:val="none"/>
              </w:rPr>
            </w:pPr>
          </w:p>
        </w:tc>
      </w:tr>
    </w:tbl>
    <w:p w14:paraId="2EDE856E">
      <w:pPr>
        <w:pStyle w:val="23"/>
        <w:jc w:val="both"/>
        <w:rPr>
          <w:rFonts w:hint="default" w:ascii="Times New Roman" w:hAnsi="Times New Roman" w:eastAsia="黑体" w:cs="Times New Roman"/>
          <w:snapToGrid w:val="0"/>
          <w:color w:val="auto"/>
          <w:sz w:val="36"/>
          <w:szCs w:val="36"/>
          <w:highlight w:val="none"/>
        </w:rPr>
        <w:sectPr>
          <w:pgSz w:w="11906" w:h="16838"/>
          <w:pgMar w:top="1417" w:right="1134" w:bottom="1417" w:left="1134" w:header="851" w:footer="851" w:gutter="0"/>
          <w:cols w:space="720" w:num="1"/>
          <w:docGrid w:linePitch="312" w:charSpace="0"/>
        </w:sectPr>
      </w:pPr>
    </w:p>
    <w:p w14:paraId="29B1A1A2">
      <w:pPr>
        <w:pStyle w:val="23"/>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三、区域环境质量现状、环境保护目标及评价标准</w:t>
      </w:r>
    </w:p>
    <w:tbl>
      <w:tblPr>
        <w:tblStyle w:val="26"/>
        <w:tblW w:w="953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731"/>
      </w:tblGrid>
      <w:tr w14:paraId="5852D0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00" w:type="dxa"/>
            <w:vAlign w:val="center"/>
          </w:tcPr>
          <w:p w14:paraId="1E92811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区域</w:t>
            </w:r>
          </w:p>
          <w:p w14:paraId="756E525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245B079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质量</w:t>
            </w:r>
          </w:p>
          <w:p w14:paraId="533FEAA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现状</w:t>
            </w:r>
          </w:p>
        </w:tc>
        <w:tc>
          <w:tcPr>
            <w:tcW w:w="8731" w:type="dxa"/>
            <w:vAlign w:val="center"/>
          </w:tcPr>
          <w:p w14:paraId="561AC41D">
            <w:pPr>
              <w:pStyle w:val="126"/>
              <w:adjustRightInd w:val="0"/>
              <w:snapToGrid w:val="0"/>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一、大气环境质量现状</w:t>
            </w:r>
          </w:p>
          <w:p w14:paraId="5BE2817F">
            <w:pPr>
              <w:adjustRightInd w:val="0"/>
              <w:snapToGrid w:val="0"/>
              <w:spacing w:line="360" w:lineRule="auto"/>
              <w:ind w:firstLine="482" w:firstLineChars="200"/>
              <w:jc w:val="left"/>
              <w:rPr>
                <w:rFonts w:hint="default" w:ascii="Times New Roman" w:hAnsi="Times New Roman" w:cs="Times New Roman"/>
                <w:bCs/>
                <w:color w:val="auto"/>
                <w:sz w:val="24"/>
                <w:highlight w:val="none"/>
              </w:rPr>
            </w:pPr>
            <w:r>
              <w:rPr>
                <w:rFonts w:hint="default" w:ascii="Times New Roman" w:hAnsi="Times New Roman" w:cs="Times New Roman"/>
                <w:b/>
                <w:color w:val="auto"/>
                <w:kern w:val="0"/>
                <w:sz w:val="24"/>
                <w:highlight w:val="none"/>
              </w:rPr>
              <w:t>1、空气质量达标区判定</w:t>
            </w:r>
          </w:p>
          <w:p w14:paraId="6DBDBE90">
            <w:pPr>
              <w:adjustRightInd w:val="0"/>
              <w:snapToGrid w:val="0"/>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根据《韶关市生态环境保护战略规划（2020-2035）》，本项目选址区域空气环境质量功能区划为二类功能区，因此，项目所在区域环境空气质量执行国家《环境空气质量标准》（GB3095-2026）。</w:t>
            </w:r>
          </w:p>
          <w:p w14:paraId="515D8AAB">
            <w:pPr>
              <w:adjustRightInd w:val="0"/>
              <w:snapToGrid w:val="0"/>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由《韶关市生态环境状况公报（2024年）》可知，2024年韶关乐昌市环境空气质量各项指标均符合国家《环境空气质量标准》（GB3095-2026）表1过渡阶段浓度限值二级标准，项目所在地环境空气质量现状较好，所在区域为达标区。</w:t>
            </w:r>
          </w:p>
          <w:p w14:paraId="0C9DA4E1">
            <w:pPr>
              <w:adjustRightInd w:val="0"/>
              <w:snapToGrid w:val="0"/>
              <w:spacing w:line="360" w:lineRule="auto"/>
              <w:ind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2、基本污染物环境质量现状</w:t>
            </w:r>
          </w:p>
          <w:p w14:paraId="16CB0EA7">
            <w:pPr>
              <w:pStyle w:val="8"/>
              <w:keepNex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表3-1 2024年乐昌市环境空气质量状况 （</w:t>
            </w:r>
            <w:r>
              <w:rPr>
                <w:rFonts w:hint="default" w:ascii="Times New Roman" w:hAnsi="Times New Roman" w:eastAsia="宋体" w:cs="Times New Roman"/>
                <w:b/>
                <w:color w:val="auto"/>
                <w:kern w:val="0"/>
                <w:highlight w:val="none"/>
              </w:rPr>
              <w:t>μg/m</w:t>
            </w:r>
            <w:r>
              <w:rPr>
                <w:rFonts w:hint="default" w:ascii="Times New Roman" w:hAnsi="Times New Roman" w:eastAsia="宋体" w:cs="Times New Roman"/>
                <w:b/>
                <w:color w:val="auto"/>
                <w:kern w:val="0"/>
                <w:highlight w:val="none"/>
                <w:vertAlign w:val="superscript"/>
              </w:rPr>
              <w:t>3</w:t>
            </w:r>
            <w:r>
              <w:rPr>
                <w:rFonts w:hint="default" w:ascii="Times New Roman" w:hAnsi="Times New Roman" w:eastAsia="宋体" w:cs="Times New Roman"/>
                <w:b/>
                <w:color w:val="auto"/>
                <w:highlight w:val="none"/>
              </w:rPr>
              <w:t>）</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360"/>
              <w:gridCol w:w="2416"/>
              <w:gridCol w:w="1700"/>
              <w:gridCol w:w="1700"/>
            </w:tblGrid>
            <w:tr w14:paraId="4B4B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Align w:val="center"/>
                </w:tcPr>
                <w:p w14:paraId="06FDD804">
                  <w:pPr>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类别</w:t>
                  </w:r>
                </w:p>
              </w:tc>
              <w:tc>
                <w:tcPr>
                  <w:tcW w:w="799" w:type="pct"/>
                  <w:vAlign w:val="center"/>
                </w:tcPr>
                <w:p w14:paraId="5354BF88">
                  <w:pPr>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监测项目</w:t>
                  </w:r>
                </w:p>
              </w:tc>
              <w:tc>
                <w:tcPr>
                  <w:tcW w:w="1420" w:type="pct"/>
                  <w:vAlign w:val="center"/>
                </w:tcPr>
                <w:p w14:paraId="7544B971">
                  <w:pPr>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现状浓度</w:t>
                  </w:r>
                </w:p>
              </w:tc>
              <w:tc>
                <w:tcPr>
                  <w:tcW w:w="1000" w:type="pct"/>
                  <w:vAlign w:val="center"/>
                </w:tcPr>
                <w:p w14:paraId="688B199C">
                  <w:pPr>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标准值</w:t>
                  </w:r>
                </w:p>
              </w:tc>
              <w:tc>
                <w:tcPr>
                  <w:tcW w:w="1000" w:type="pct"/>
                  <w:vAlign w:val="center"/>
                </w:tcPr>
                <w:p w14:paraId="3B6275BA">
                  <w:pPr>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是否达标</w:t>
                  </w:r>
                </w:p>
              </w:tc>
            </w:tr>
            <w:tr w14:paraId="5544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restart"/>
                  <w:vAlign w:val="center"/>
                </w:tcPr>
                <w:p w14:paraId="1CBCA5F8">
                  <w:pPr>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年均浓度</w:t>
                  </w:r>
                </w:p>
              </w:tc>
              <w:tc>
                <w:tcPr>
                  <w:tcW w:w="799" w:type="pct"/>
                  <w:vAlign w:val="center"/>
                </w:tcPr>
                <w:p w14:paraId="0C37E893">
                  <w:pPr>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SO</w:t>
                  </w:r>
                  <w:r>
                    <w:rPr>
                      <w:rFonts w:hint="default" w:ascii="Times New Roman" w:hAnsi="Times New Roman" w:cs="Times New Roman"/>
                      <w:b/>
                      <w:color w:val="auto"/>
                      <w:highlight w:val="none"/>
                      <w:vertAlign w:val="subscript"/>
                    </w:rPr>
                    <w:t>2</w:t>
                  </w:r>
                </w:p>
              </w:tc>
              <w:tc>
                <w:tcPr>
                  <w:tcW w:w="2387" w:type="dxa"/>
                  <w:vAlign w:val="center"/>
                </w:tcPr>
                <w:p w14:paraId="57E1FBD5">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6</w:t>
                  </w:r>
                </w:p>
              </w:tc>
              <w:tc>
                <w:tcPr>
                  <w:tcW w:w="1000" w:type="pct"/>
                  <w:vAlign w:val="center"/>
                </w:tcPr>
                <w:p w14:paraId="13870F9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60</w:t>
                  </w:r>
                </w:p>
              </w:tc>
              <w:tc>
                <w:tcPr>
                  <w:tcW w:w="1000" w:type="pct"/>
                  <w:vAlign w:val="center"/>
                </w:tcPr>
                <w:p w14:paraId="3F6D0AD0">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7FEA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continue"/>
                  <w:vAlign w:val="center"/>
                </w:tcPr>
                <w:p w14:paraId="44921AB4">
                  <w:pPr>
                    <w:jc w:val="center"/>
                    <w:rPr>
                      <w:rFonts w:hint="default" w:ascii="Times New Roman" w:hAnsi="Times New Roman" w:cs="Times New Roman"/>
                      <w:b/>
                      <w:color w:val="auto"/>
                      <w:highlight w:val="none"/>
                    </w:rPr>
                  </w:pPr>
                </w:p>
              </w:tc>
              <w:tc>
                <w:tcPr>
                  <w:tcW w:w="799" w:type="pct"/>
                  <w:vAlign w:val="center"/>
                </w:tcPr>
                <w:p w14:paraId="34174A1A">
                  <w:pPr>
                    <w:jc w:val="center"/>
                    <w:rPr>
                      <w:rFonts w:hint="default" w:ascii="Times New Roman" w:hAnsi="Times New Roman" w:cs="Times New Roman"/>
                      <w:b/>
                      <w:color w:val="auto"/>
                      <w:highlight w:val="none"/>
                    </w:rPr>
                  </w:pPr>
                  <w:r>
                    <w:rPr>
                      <w:rFonts w:hint="default" w:ascii="Times New Roman" w:hAnsi="Times New Roman" w:cs="Times New Roman"/>
                      <w:b/>
                      <w:color w:val="auto"/>
                      <w:kern w:val="0"/>
                      <w:szCs w:val="21"/>
                      <w:highlight w:val="none"/>
                    </w:rPr>
                    <w:t>NO</w:t>
                  </w:r>
                  <w:r>
                    <w:rPr>
                      <w:rFonts w:hint="default" w:ascii="Times New Roman" w:hAnsi="Times New Roman" w:cs="Times New Roman"/>
                      <w:b/>
                      <w:color w:val="auto"/>
                      <w:kern w:val="0"/>
                      <w:szCs w:val="21"/>
                      <w:highlight w:val="none"/>
                      <w:vertAlign w:val="subscript"/>
                    </w:rPr>
                    <w:t>2</w:t>
                  </w:r>
                </w:p>
              </w:tc>
              <w:tc>
                <w:tcPr>
                  <w:tcW w:w="2387" w:type="dxa"/>
                  <w:vAlign w:val="center"/>
                </w:tcPr>
                <w:p w14:paraId="7C8291B2">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12</w:t>
                  </w:r>
                </w:p>
              </w:tc>
              <w:tc>
                <w:tcPr>
                  <w:tcW w:w="1000" w:type="pct"/>
                  <w:vAlign w:val="center"/>
                </w:tcPr>
                <w:p w14:paraId="381C5A1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40</w:t>
                  </w:r>
                </w:p>
              </w:tc>
              <w:tc>
                <w:tcPr>
                  <w:tcW w:w="1000" w:type="pct"/>
                  <w:vAlign w:val="center"/>
                </w:tcPr>
                <w:p w14:paraId="32B90B1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1B4D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continue"/>
                  <w:vAlign w:val="center"/>
                </w:tcPr>
                <w:p w14:paraId="755C3153">
                  <w:pPr>
                    <w:jc w:val="center"/>
                    <w:rPr>
                      <w:rFonts w:hint="default" w:ascii="Times New Roman" w:hAnsi="Times New Roman" w:cs="Times New Roman"/>
                      <w:b/>
                      <w:color w:val="auto"/>
                      <w:highlight w:val="none"/>
                    </w:rPr>
                  </w:pPr>
                </w:p>
              </w:tc>
              <w:tc>
                <w:tcPr>
                  <w:tcW w:w="799" w:type="pct"/>
                  <w:vAlign w:val="center"/>
                </w:tcPr>
                <w:p w14:paraId="6CDD2586">
                  <w:pPr>
                    <w:jc w:val="center"/>
                    <w:rPr>
                      <w:rFonts w:hint="default" w:ascii="Times New Roman" w:hAnsi="Times New Roman" w:cs="Times New Roman"/>
                      <w:b/>
                      <w:color w:val="auto"/>
                      <w:highlight w:val="none"/>
                    </w:rPr>
                  </w:pPr>
                  <w:r>
                    <w:rPr>
                      <w:rFonts w:hint="default" w:ascii="Times New Roman" w:hAnsi="Times New Roman" w:cs="Times New Roman"/>
                      <w:b/>
                      <w:color w:val="auto"/>
                      <w:kern w:val="0"/>
                      <w:szCs w:val="21"/>
                      <w:highlight w:val="none"/>
                    </w:rPr>
                    <w:t>PM</w:t>
                  </w:r>
                  <w:r>
                    <w:rPr>
                      <w:rFonts w:hint="default" w:ascii="Times New Roman" w:hAnsi="Times New Roman" w:cs="Times New Roman"/>
                      <w:b/>
                      <w:color w:val="auto"/>
                      <w:kern w:val="0"/>
                      <w:szCs w:val="21"/>
                      <w:highlight w:val="none"/>
                      <w:vertAlign w:val="subscript"/>
                    </w:rPr>
                    <w:t>2.5</w:t>
                  </w:r>
                </w:p>
              </w:tc>
              <w:tc>
                <w:tcPr>
                  <w:tcW w:w="2387" w:type="dxa"/>
                  <w:vAlign w:val="center"/>
                </w:tcPr>
                <w:p w14:paraId="7AF586ED">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21</w:t>
                  </w:r>
                </w:p>
              </w:tc>
              <w:tc>
                <w:tcPr>
                  <w:tcW w:w="1000" w:type="pct"/>
                  <w:vAlign w:val="center"/>
                </w:tcPr>
                <w:p w14:paraId="38463F0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35</w:t>
                  </w:r>
                </w:p>
              </w:tc>
              <w:tc>
                <w:tcPr>
                  <w:tcW w:w="1000" w:type="pct"/>
                  <w:vAlign w:val="center"/>
                </w:tcPr>
                <w:p w14:paraId="79ED2FB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5BBF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continue"/>
                  <w:vAlign w:val="center"/>
                </w:tcPr>
                <w:p w14:paraId="77430B76">
                  <w:pPr>
                    <w:jc w:val="center"/>
                    <w:rPr>
                      <w:rFonts w:hint="default" w:ascii="Times New Roman" w:hAnsi="Times New Roman" w:cs="Times New Roman"/>
                      <w:b/>
                      <w:color w:val="auto"/>
                      <w:highlight w:val="none"/>
                    </w:rPr>
                  </w:pPr>
                </w:p>
              </w:tc>
              <w:tc>
                <w:tcPr>
                  <w:tcW w:w="799" w:type="pct"/>
                  <w:vAlign w:val="center"/>
                </w:tcPr>
                <w:p w14:paraId="621BAF7E">
                  <w:pPr>
                    <w:jc w:val="center"/>
                    <w:rPr>
                      <w:rFonts w:hint="default" w:ascii="Times New Roman" w:hAnsi="Times New Roman" w:cs="Times New Roman"/>
                      <w:b/>
                      <w:color w:val="auto"/>
                      <w:highlight w:val="none"/>
                    </w:rPr>
                  </w:pPr>
                  <w:r>
                    <w:rPr>
                      <w:rFonts w:hint="default" w:ascii="Times New Roman" w:hAnsi="Times New Roman" w:cs="Times New Roman"/>
                      <w:b/>
                      <w:color w:val="auto"/>
                      <w:kern w:val="0"/>
                      <w:szCs w:val="21"/>
                      <w:highlight w:val="none"/>
                    </w:rPr>
                    <w:t>PM</w:t>
                  </w:r>
                  <w:r>
                    <w:rPr>
                      <w:rFonts w:hint="default" w:ascii="Times New Roman" w:hAnsi="Times New Roman" w:cs="Times New Roman"/>
                      <w:b/>
                      <w:color w:val="auto"/>
                      <w:kern w:val="0"/>
                      <w:szCs w:val="21"/>
                      <w:highlight w:val="none"/>
                      <w:vertAlign w:val="subscript"/>
                    </w:rPr>
                    <w:t>10</w:t>
                  </w:r>
                </w:p>
              </w:tc>
              <w:tc>
                <w:tcPr>
                  <w:tcW w:w="2387" w:type="dxa"/>
                  <w:vAlign w:val="center"/>
                </w:tcPr>
                <w:p w14:paraId="5B2857E7">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31</w:t>
                  </w:r>
                </w:p>
              </w:tc>
              <w:tc>
                <w:tcPr>
                  <w:tcW w:w="1000" w:type="pct"/>
                  <w:vAlign w:val="center"/>
                </w:tcPr>
                <w:p w14:paraId="35C11EA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70</w:t>
                  </w:r>
                </w:p>
              </w:tc>
              <w:tc>
                <w:tcPr>
                  <w:tcW w:w="1000" w:type="pct"/>
                  <w:vAlign w:val="center"/>
                </w:tcPr>
                <w:p w14:paraId="4CC2799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496F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restart"/>
                  <w:vAlign w:val="center"/>
                </w:tcPr>
                <w:p w14:paraId="53E5F9A1">
                  <w:pPr>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日均浓度</w:t>
                  </w:r>
                </w:p>
              </w:tc>
              <w:tc>
                <w:tcPr>
                  <w:tcW w:w="799" w:type="pct"/>
                  <w:vAlign w:val="center"/>
                </w:tcPr>
                <w:p w14:paraId="38A670C0">
                  <w:pPr>
                    <w:jc w:val="center"/>
                    <w:rPr>
                      <w:rFonts w:hint="default" w:ascii="Times New Roman" w:hAnsi="Times New Roman" w:cs="Times New Roman"/>
                      <w:b/>
                      <w:color w:val="auto"/>
                      <w:highlight w:val="none"/>
                    </w:rPr>
                  </w:pPr>
                  <w:r>
                    <w:rPr>
                      <w:rFonts w:hint="default" w:ascii="Times New Roman" w:hAnsi="Times New Roman" w:cs="Times New Roman"/>
                      <w:b/>
                      <w:color w:val="auto"/>
                      <w:kern w:val="0"/>
                      <w:szCs w:val="21"/>
                      <w:highlight w:val="none"/>
                    </w:rPr>
                    <w:t>CO</w:t>
                  </w:r>
                </w:p>
              </w:tc>
              <w:tc>
                <w:tcPr>
                  <w:tcW w:w="1420" w:type="pct"/>
                  <w:vAlign w:val="center"/>
                </w:tcPr>
                <w:p w14:paraId="644058BA">
                  <w:pPr>
                    <w:jc w:val="center"/>
                    <w:rPr>
                      <w:rFonts w:hint="default" w:ascii="Times New Roman" w:hAnsi="Times New Roman" w:cs="Times New Roman"/>
                      <w:color w:val="auto"/>
                      <w:highlight w:val="none"/>
                    </w:rPr>
                  </w:pPr>
                  <w:r>
                    <w:rPr>
                      <w:rFonts w:hint="default" w:ascii="Times New Roman" w:hAnsi="Times New Roman" w:cs="Times New Roman"/>
                      <w:color w:val="auto"/>
                      <w:kern w:val="0"/>
                      <w:szCs w:val="21"/>
                      <w:highlight w:val="none"/>
                    </w:rPr>
                    <w:t>1.0mg/m</w:t>
                  </w:r>
                  <w:r>
                    <w:rPr>
                      <w:rFonts w:hint="default" w:ascii="Times New Roman" w:hAnsi="Times New Roman" w:cs="Times New Roman"/>
                      <w:color w:val="auto"/>
                      <w:kern w:val="0"/>
                      <w:szCs w:val="21"/>
                      <w:highlight w:val="none"/>
                      <w:vertAlign w:val="superscript"/>
                    </w:rPr>
                    <w:t>3</w:t>
                  </w:r>
                  <w:r>
                    <w:rPr>
                      <w:rFonts w:hint="default" w:ascii="Times New Roman" w:hAnsi="Times New Roman" w:cs="Times New Roman"/>
                      <w:color w:val="auto"/>
                      <w:kern w:val="0"/>
                      <w:szCs w:val="21"/>
                      <w:highlight w:val="none"/>
                    </w:rPr>
                    <w:t>（日均值第95百分位数）</w:t>
                  </w:r>
                </w:p>
              </w:tc>
              <w:tc>
                <w:tcPr>
                  <w:tcW w:w="1000" w:type="pct"/>
                  <w:vAlign w:val="center"/>
                </w:tcPr>
                <w:p w14:paraId="1398D5C1">
                  <w:pPr>
                    <w:jc w:val="center"/>
                    <w:rPr>
                      <w:rFonts w:hint="default" w:ascii="Times New Roman" w:hAnsi="Times New Roman" w:cs="Times New Roman"/>
                      <w:color w:val="auto"/>
                      <w:highlight w:val="none"/>
                    </w:rPr>
                  </w:pPr>
                  <w:r>
                    <w:rPr>
                      <w:rFonts w:hint="default" w:ascii="Times New Roman" w:hAnsi="Times New Roman" w:cs="Times New Roman"/>
                      <w:color w:val="auto"/>
                      <w:kern w:val="0"/>
                      <w:szCs w:val="21"/>
                      <w:highlight w:val="none"/>
                    </w:rPr>
                    <w:t>4mg/m</w:t>
                  </w:r>
                  <w:r>
                    <w:rPr>
                      <w:rFonts w:hint="default" w:ascii="Times New Roman" w:hAnsi="Times New Roman" w:cs="Times New Roman"/>
                      <w:color w:val="auto"/>
                      <w:kern w:val="0"/>
                      <w:szCs w:val="21"/>
                      <w:highlight w:val="none"/>
                      <w:vertAlign w:val="superscript"/>
                    </w:rPr>
                    <w:t>3</w:t>
                  </w:r>
                </w:p>
              </w:tc>
              <w:tc>
                <w:tcPr>
                  <w:tcW w:w="1000" w:type="pct"/>
                  <w:vAlign w:val="center"/>
                </w:tcPr>
                <w:p w14:paraId="694CFC1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2343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continue"/>
                  <w:vAlign w:val="center"/>
                </w:tcPr>
                <w:p w14:paraId="67E1ACFE">
                  <w:pPr>
                    <w:jc w:val="center"/>
                    <w:rPr>
                      <w:rFonts w:hint="default" w:ascii="Times New Roman" w:hAnsi="Times New Roman" w:cs="Times New Roman"/>
                      <w:b/>
                      <w:color w:val="auto"/>
                      <w:highlight w:val="none"/>
                    </w:rPr>
                  </w:pPr>
                </w:p>
              </w:tc>
              <w:tc>
                <w:tcPr>
                  <w:tcW w:w="799" w:type="pct"/>
                  <w:vAlign w:val="center"/>
                </w:tcPr>
                <w:p w14:paraId="57B66A62">
                  <w:pPr>
                    <w:jc w:val="center"/>
                    <w:rPr>
                      <w:rFonts w:hint="default" w:ascii="Times New Roman" w:hAnsi="Times New Roman" w:cs="Times New Roman"/>
                      <w:b/>
                      <w:color w:val="auto"/>
                      <w:highlight w:val="none"/>
                    </w:rPr>
                  </w:pPr>
                  <w:r>
                    <w:rPr>
                      <w:rFonts w:hint="default" w:ascii="Times New Roman" w:hAnsi="Times New Roman" w:cs="Times New Roman"/>
                      <w:b/>
                      <w:color w:val="auto"/>
                      <w:kern w:val="0"/>
                      <w:szCs w:val="21"/>
                      <w:highlight w:val="none"/>
                    </w:rPr>
                    <w:t>O</w:t>
                  </w:r>
                  <w:r>
                    <w:rPr>
                      <w:rFonts w:hint="default" w:ascii="Times New Roman" w:hAnsi="Times New Roman" w:cs="Times New Roman"/>
                      <w:b/>
                      <w:color w:val="auto"/>
                      <w:kern w:val="0"/>
                      <w:szCs w:val="21"/>
                      <w:highlight w:val="none"/>
                      <w:vertAlign w:val="subscript"/>
                    </w:rPr>
                    <w:t>3</w:t>
                  </w:r>
                </w:p>
              </w:tc>
              <w:tc>
                <w:tcPr>
                  <w:tcW w:w="1420" w:type="pct"/>
                  <w:vAlign w:val="center"/>
                </w:tcPr>
                <w:p w14:paraId="0C1C10D7">
                  <w:pPr>
                    <w:jc w:val="center"/>
                    <w:rPr>
                      <w:rFonts w:hint="default" w:ascii="Times New Roman" w:hAnsi="Times New Roman" w:cs="Times New Roman"/>
                      <w:color w:val="auto"/>
                      <w:highlight w:val="none"/>
                    </w:rPr>
                  </w:pPr>
                  <w:r>
                    <w:rPr>
                      <w:rFonts w:hint="default" w:ascii="Times New Roman" w:hAnsi="Times New Roman" w:cs="Times New Roman"/>
                      <w:color w:val="auto"/>
                      <w:kern w:val="0"/>
                      <w:szCs w:val="21"/>
                      <w:highlight w:val="none"/>
                    </w:rPr>
                    <w:t>108（最大8小时平均第90百分位数）</w:t>
                  </w:r>
                </w:p>
              </w:tc>
              <w:tc>
                <w:tcPr>
                  <w:tcW w:w="1000" w:type="pct"/>
                  <w:vAlign w:val="center"/>
                </w:tcPr>
                <w:p w14:paraId="2BBEB66A">
                  <w:pPr>
                    <w:jc w:val="center"/>
                    <w:rPr>
                      <w:rFonts w:hint="default" w:ascii="Times New Roman" w:hAnsi="Times New Roman" w:cs="Times New Roman"/>
                      <w:color w:val="auto"/>
                      <w:highlight w:val="none"/>
                    </w:rPr>
                  </w:pPr>
                  <w:r>
                    <w:rPr>
                      <w:rFonts w:hint="default" w:ascii="Times New Roman" w:hAnsi="Times New Roman" w:cs="Times New Roman"/>
                      <w:color w:val="auto"/>
                      <w:kern w:val="0"/>
                      <w:szCs w:val="21"/>
                      <w:highlight w:val="none"/>
                    </w:rPr>
                    <w:t>160</w:t>
                  </w:r>
                </w:p>
              </w:tc>
              <w:tc>
                <w:tcPr>
                  <w:tcW w:w="1000" w:type="pct"/>
                  <w:vAlign w:val="center"/>
                </w:tcPr>
                <w:p w14:paraId="4E68BDB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bl>
          <w:p w14:paraId="67B0AF84">
            <w:pPr>
              <w:adjustRightInd w:val="0"/>
              <w:snapToGrid w:val="0"/>
              <w:spacing w:line="360" w:lineRule="auto"/>
              <w:ind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3、特征污染物环境质量现状</w:t>
            </w:r>
          </w:p>
          <w:p w14:paraId="004A59E3">
            <w:pPr>
              <w:adjustRightInd w:val="0"/>
              <w:snapToGrid w:val="0"/>
              <w:spacing w:line="360" w:lineRule="auto"/>
              <w:ind w:firstLine="480" w:firstLineChars="200"/>
              <w:rPr>
                <w:rFonts w:hint="default" w:ascii="Times New Roman" w:hAnsi="Times New Roman" w:cs="Times New Roman"/>
                <w:color w:val="auto"/>
                <w:sz w:val="24"/>
                <w:szCs w:val="20"/>
                <w:highlight w:val="none"/>
              </w:rPr>
            </w:pPr>
            <w:r>
              <w:rPr>
                <w:rFonts w:hint="default" w:ascii="Times New Roman" w:hAnsi="Times New Roman" w:eastAsia="宋体" w:cs="Times New Roman"/>
                <w:bCs/>
                <w:color w:val="auto"/>
                <w:sz w:val="24"/>
                <w:szCs w:val="24"/>
                <w:highlight w:val="none"/>
                <w:lang w:val="en-US" w:eastAsia="zh-CN"/>
              </w:rPr>
              <w:t>本项目排放的特征污染物为TVOC、二甲苯、颗粒物，TVOC、二甲苯均没有相关国家、地方环境空气质量标准限值，</w:t>
            </w:r>
            <w:r>
              <w:rPr>
                <w:rFonts w:hint="default" w:ascii="Times New Roman" w:hAnsi="Times New Roman" w:eastAsia="宋体" w:cs="Times New Roman"/>
                <w:bCs/>
                <w:color w:val="auto"/>
                <w:sz w:val="24"/>
                <w:szCs w:val="24"/>
                <w:highlight w:val="none"/>
              </w:rPr>
              <w:t>因此，本项目无需对</w:t>
            </w:r>
            <w:r>
              <w:rPr>
                <w:rFonts w:hint="default" w:ascii="Times New Roman" w:hAnsi="Times New Roman" w:eastAsia="宋体" w:cs="Times New Roman"/>
                <w:bCs/>
                <w:color w:val="auto"/>
                <w:sz w:val="24"/>
                <w:szCs w:val="24"/>
                <w:highlight w:val="none"/>
                <w:lang w:val="en-US" w:eastAsia="zh-CN"/>
              </w:rPr>
              <w:t>TVOC、二甲苯进行</w:t>
            </w:r>
            <w:r>
              <w:rPr>
                <w:rFonts w:hint="default" w:ascii="Times New Roman" w:hAnsi="Times New Roman" w:eastAsia="宋体" w:cs="Times New Roman"/>
                <w:bCs/>
                <w:color w:val="auto"/>
                <w:sz w:val="24"/>
                <w:szCs w:val="24"/>
                <w:highlight w:val="none"/>
              </w:rPr>
              <w:t>环境质量现状补充监测。</w:t>
            </w:r>
            <w:r>
              <w:rPr>
                <w:rFonts w:hint="default" w:ascii="Times New Roman" w:hAnsi="Times New Roman" w:cs="Times New Roman"/>
                <w:color w:val="auto"/>
                <w:sz w:val="24"/>
                <w:szCs w:val="20"/>
                <w:highlight w:val="none"/>
              </w:rPr>
              <w:t>为了解项目所在区域TSP环境空气质量现状，本次评价委托韶关市汉诚环保技术有限公司于2025年12月15日到2025年12月18日对本项目所在地块</w:t>
            </w:r>
            <w:r>
              <w:rPr>
                <w:rFonts w:hint="default" w:ascii="Times New Roman" w:hAnsi="Times New Roman" w:cs="Times New Roman"/>
                <w:color w:val="auto"/>
                <w:sz w:val="24"/>
                <w:highlight w:val="none"/>
                <w:shd w:val="clear" w:color="auto" w:fill="FFFFFF"/>
              </w:rPr>
              <w:t>东南侧的金德乐小区</w:t>
            </w:r>
            <w:r>
              <w:rPr>
                <w:rFonts w:hint="default" w:ascii="Times New Roman" w:hAnsi="Times New Roman" w:cs="Times New Roman"/>
                <w:color w:val="auto"/>
                <w:sz w:val="24"/>
                <w:szCs w:val="20"/>
                <w:highlight w:val="none"/>
              </w:rPr>
              <w:t>进行了环境空气现状监测</w:t>
            </w:r>
            <w:r>
              <w:rPr>
                <w:rFonts w:hint="default" w:ascii="Times New Roman" w:hAnsi="Times New Roman" w:cs="Times New Roman"/>
                <w:color w:val="auto"/>
                <w:sz w:val="24"/>
                <w:szCs w:val="20"/>
                <w:highlight w:val="none"/>
                <w:lang w:eastAsia="zh-CN"/>
              </w:rPr>
              <w:t>（</w:t>
            </w:r>
            <w:r>
              <w:rPr>
                <w:rFonts w:hint="default" w:ascii="Times New Roman" w:hAnsi="Times New Roman" w:cs="Times New Roman"/>
                <w:color w:val="auto"/>
                <w:sz w:val="24"/>
                <w:szCs w:val="20"/>
                <w:highlight w:val="none"/>
                <w:lang w:val="en-US" w:eastAsia="zh-CN"/>
              </w:rPr>
              <w:t>监测点位与本项目厂界相距467m）</w:t>
            </w:r>
            <w:r>
              <w:rPr>
                <w:rFonts w:hint="default" w:ascii="Times New Roman" w:hAnsi="Times New Roman" w:cs="Times New Roman"/>
                <w:color w:val="auto"/>
                <w:sz w:val="24"/>
                <w:szCs w:val="20"/>
                <w:highlight w:val="none"/>
              </w:rPr>
              <w:t>。本项目其他污染物补充监测点位基本信息见表3-2，其他污染物环境质量现状监测结果见表3-3，大气环境现状监测报告见附件3。</w:t>
            </w:r>
          </w:p>
          <w:p w14:paraId="3F670167">
            <w:pPr>
              <w:snapToGrid w:val="0"/>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表3-2  其他污染物补充监测点位基本信息表</w:t>
            </w:r>
          </w:p>
          <w:tbl>
            <w:tblPr>
              <w:tblStyle w:val="26"/>
              <w:tblW w:w="8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1134"/>
              <w:gridCol w:w="1076"/>
              <w:gridCol w:w="908"/>
              <w:gridCol w:w="1560"/>
              <w:gridCol w:w="1045"/>
              <w:gridCol w:w="1223"/>
            </w:tblGrid>
            <w:tr w14:paraId="5FA2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03" w:type="dxa"/>
                  <w:vMerge w:val="restart"/>
                  <w:vAlign w:val="center"/>
                </w:tcPr>
                <w:p w14:paraId="6DAD9F23">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监测点名称</w:t>
                  </w:r>
                </w:p>
              </w:tc>
              <w:tc>
                <w:tcPr>
                  <w:tcW w:w="2210" w:type="dxa"/>
                  <w:gridSpan w:val="2"/>
                  <w:vAlign w:val="center"/>
                </w:tcPr>
                <w:p w14:paraId="38BEFE52">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监测点坐标</w:t>
                  </w:r>
                </w:p>
              </w:tc>
              <w:tc>
                <w:tcPr>
                  <w:tcW w:w="908" w:type="dxa"/>
                  <w:vMerge w:val="restart"/>
                  <w:vAlign w:val="center"/>
                </w:tcPr>
                <w:p w14:paraId="122F6C54">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监测</w:t>
                  </w:r>
                </w:p>
                <w:p w14:paraId="405B9281">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因子</w:t>
                  </w:r>
                </w:p>
              </w:tc>
              <w:tc>
                <w:tcPr>
                  <w:tcW w:w="1560" w:type="dxa"/>
                  <w:vMerge w:val="restart"/>
                  <w:vAlign w:val="center"/>
                </w:tcPr>
                <w:p w14:paraId="14103D5A">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监测时段</w:t>
                  </w:r>
                </w:p>
              </w:tc>
              <w:tc>
                <w:tcPr>
                  <w:tcW w:w="1045" w:type="dxa"/>
                  <w:vMerge w:val="restart"/>
                  <w:vAlign w:val="center"/>
                </w:tcPr>
                <w:p w14:paraId="4E0E5B0B">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相对厂址方位</w:t>
                  </w:r>
                </w:p>
              </w:tc>
              <w:tc>
                <w:tcPr>
                  <w:tcW w:w="1223" w:type="dxa"/>
                  <w:vMerge w:val="restart"/>
                  <w:vAlign w:val="center"/>
                </w:tcPr>
                <w:p w14:paraId="17C79B6D">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相对厂址方位/m</w:t>
                  </w:r>
                </w:p>
              </w:tc>
            </w:tr>
            <w:tr w14:paraId="394E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303" w:type="dxa"/>
                  <w:vMerge w:val="continue"/>
                  <w:vAlign w:val="center"/>
                </w:tcPr>
                <w:p w14:paraId="73D72E87">
                  <w:pPr>
                    <w:snapToGrid w:val="0"/>
                    <w:jc w:val="center"/>
                    <w:rPr>
                      <w:rFonts w:hint="default" w:ascii="Times New Roman" w:hAnsi="Times New Roman" w:cs="Times New Roman"/>
                      <w:color w:val="auto"/>
                      <w:szCs w:val="21"/>
                      <w:highlight w:val="none"/>
                    </w:rPr>
                  </w:pPr>
                </w:p>
              </w:tc>
              <w:tc>
                <w:tcPr>
                  <w:tcW w:w="1134" w:type="dxa"/>
                  <w:vAlign w:val="center"/>
                </w:tcPr>
                <w:p w14:paraId="2120D7D9">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X</w:t>
                  </w:r>
                </w:p>
              </w:tc>
              <w:tc>
                <w:tcPr>
                  <w:tcW w:w="1076" w:type="dxa"/>
                  <w:vAlign w:val="center"/>
                </w:tcPr>
                <w:p w14:paraId="04055B67">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Y</w:t>
                  </w:r>
                </w:p>
              </w:tc>
              <w:tc>
                <w:tcPr>
                  <w:tcW w:w="908" w:type="dxa"/>
                  <w:vMerge w:val="continue"/>
                  <w:vAlign w:val="center"/>
                </w:tcPr>
                <w:p w14:paraId="5C904167">
                  <w:pPr>
                    <w:snapToGrid w:val="0"/>
                    <w:jc w:val="center"/>
                    <w:rPr>
                      <w:rFonts w:hint="default" w:ascii="Times New Roman" w:hAnsi="Times New Roman" w:cs="Times New Roman"/>
                      <w:color w:val="auto"/>
                      <w:szCs w:val="21"/>
                      <w:highlight w:val="none"/>
                    </w:rPr>
                  </w:pPr>
                </w:p>
              </w:tc>
              <w:tc>
                <w:tcPr>
                  <w:tcW w:w="1560" w:type="dxa"/>
                  <w:vMerge w:val="continue"/>
                  <w:vAlign w:val="center"/>
                </w:tcPr>
                <w:p w14:paraId="2529F518">
                  <w:pPr>
                    <w:snapToGrid w:val="0"/>
                    <w:jc w:val="center"/>
                    <w:rPr>
                      <w:rFonts w:hint="default" w:ascii="Times New Roman" w:hAnsi="Times New Roman" w:cs="Times New Roman"/>
                      <w:color w:val="auto"/>
                      <w:szCs w:val="21"/>
                      <w:highlight w:val="none"/>
                    </w:rPr>
                  </w:pPr>
                </w:p>
              </w:tc>
              <w:tc>
                <w:tcPr>
                  <w:tcW w:w="1045" w:type="dxa"/>
                  <w:vMerge w:val="continue"/>
                  <w:vAlign w:val="center"/>
                </w:tcPr>
                <w:p w14:paraId="55AC6A0A">
                  <w:pPr>
                    <w:snapToGrid w:val="0"/>
                    <w:jc w:val="center"/>
                    <w:rPr>
                      <w:rFonts w:hint="default" w:ascii="Times New Roman" w:hAnsi="Times New Roman" w:cs="Times New Roman"/>
                      <w:color w:val="auto"/>
                      <w:szCs w:val="21"/>
                      <w:highlight w:val="none"/>
                    </w:rPr>
                  </w:pPr>
                </w:p>
              </w:tc>
              <w:tc>
                <w:tcPr>
                  <w:tcW w:w="1223" w:type="dxa"/>
                  <w:vMerge w:val="continue"/>
                  <w:vAlign w:val="center"/>
                </w:tcPr>
                <w:p w14:paraId="526CF70B">
                  <w:pPr>
                    <w:snapToGrid w:val="0"/>
                    <w:jc w:val="center"/>
                    <w:rPr>
                      <w:rFonts w:hint="default" w:ascii="Times New Roman" w:hAnsi="Times New Roman" w:cs="Times New Roman"/>
                      <w:color w:val="auto"/>
                      <w:szCs w:val="21"/>
                      <w:highlight w:val="none"/>
                    </w:rPr>
                  </w:pPr>
                </w:p>
              </w:tc>
            </w:tr>
            <w:tr w14:paraId="157E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jc w:val="center"/>
              </w:trPr>
              <w:tc>
                <w:tcPr>
                  <w:tcW w:w="1303" w:type="dxa"/>
                  <w:vAlign w:val="center"/>
                </w:tcPr>
                <w:p w14:paraId="0CD46BA5">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金德乐小区</w:t>
                  </w:r>
                </w:p>
              </w:tc>
              <w:tc>
                <w:tcPr>
                  <w:tcW w:w="1134" w:type="dxa"/>
                  <w:vAlign w:val="center"/>
                </w:tcPr>
                <w:p w14:paraId="4C325795">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558</w:t>
                  </w:r>
                </w:p>
              </w:tc>
              <w:tc>
                <w:tcPr>
                  <w:tcW w:w="1076" w:type="dxa"/>
                  <w:vAlign w:val="center"/>
                </w:tcPr>
                <w:p w14:paraId="4256C346">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-123</w:t>
                  </w:r>
                </w:p>
              </w:tc>
              <w:tc>
                <w:tcPr>
                  <w:tcW w:w="908" w:type="dxa"/>
                  <w:vAlign w:val="center"/>
                </w:tcPr>
                <w:p w14:paraId="158E2D99">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TSP</w:t>
                  </w:r>
                </w:p>
              </w:tc>
              <w:tc>
                <w:tcPr>
                  <w:tcW w:w="1560" w:type="dxa"/>
                  <w:vAlign w:val="center"/>
                </w:tcPr>
                <w:p w14:paraId="0A77FFE8">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2025年12月15日～18日</w:t>
                  </w:r>
                </w:p>
              </w:tc>
              <w:tc>
                <w:tcPr>
                  <w:tcW w:w="1045" w:type="dxa"/>
                  <w:vAlign w:val="center"/>
                </w:tcPr>
                <w:p w14:paraId="38A11909">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东南</w:t>
                  </w:r>
                </w:p>
              </w:tc>
              <w:tc>
                <w:tcPr>
                  <w:tcW w:w="1223" w:type="dxa"/>
                  <w:vAlign w:val="center"/>
                </w:tcPr>
                <w:p w14:paraId="174A3920">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467</w:t>
                  </w:r>
                </w:p>
              </w:tc>
            </w:tr>
            <w:tr w14:paraId="7E6B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249" w:type="dxa"/>
                  <w:gridSpan w:val="7"/>
                  <w:vAlign w:val="center"/>
                </w:tcPr>
                <w:p w14:paraId="28451CBA">
                  <w:pPr>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注：以本项目中心点为坐标原点（0，0）</w:t>
                  </w:r>
                </w:p>
              </w:tc>
            </w:tr>
          </w:tbl>
          <w:p w14:paraId="0AD42FC3">
            <w:pPr>
              <w:snapToGrid w:val="0"/>
              <w:spacing w:before="240" w:beforeLines="100"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表3-3  其他污染物环境质量现状监测结果</w:t>
            </w:r>
          </w:p>
          <w:tbl>
            <w:tblPr>
              <w:tblStyle w:val="26"/>
              <w:tblW w:w="8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567"/>
              <w:gridCol w:w="1276"/>
              <w:gridCol w:w="1275"/>
              <w:gridCol w:w="1276"/>
              <w:gridCol w:w="1792"/>
              <w:gridCol w:w="1078"/>
            </w:tblGrid>
            <w:tr w14:paraId="310E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70" w:type="dxa"/>
                  <w:vAlign w:val="center"/>
                </w:tcPr>
                <w:p w14:paraId="093901B8">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检测</w:t>
                  </w:r>
                </w:p>
                <w:p w14:paraId="6B0393F5">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点位</w:t>
                  </w:r>
                </w:p>
              </w:tc>
              <w:tc>
                <w:tcPr>
                  <w:tcW w:w="7264" w:type="dxa"/>
                  <w:gridSpan w:val="6"/>
                  <w:vAlign w:val="center"/>
                </w:tcPr>
                <w:p w14:paraId="03500CFA">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金德乐小区环境空气监测点</w:t>
                  </w:r>
                </w:p>
              </w:tc>
            </w:tr>
            <w:tr w14:paraId="57BC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234" w:type="dxa"/>
                  <w:gridSpan w:val="7"/>
                  <w:vAlign w:val="center"/>
                </w:tcPr>
                <w:p w14:paraId="15542283">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监测项目及结果</w:t>
                  </w:r>
                </w:p>
              </w:tc>
            </w:tr>
            <w:tr w14:paraId="0A7C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70" w:type="dxa"/>
                  <w:vMerge w:val="restart"/>
                  <w:vAlign w:val="center"/>
                </w:tcPr>
                <w:p w14:paraId="7C419498">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检测</w:t>
                  </w:r>
                </w:p>
                <w:p w14:paraId="7AEE8F64">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w:t>
                  </w:r>
                </w:p>
              </w:tc>
              <w:tc>
                <w:tcPr>
                  <w:tcW w:w="567" w:type="dxa"/>
                  <w:vMerge w:val="restart"/>
                  <w:vAlign w:val="center"/>
                </w:tcPr>
                <w:p w14:paraId="2CFFD90E">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频次</w:t>
                  </w:r>
                </w:p>
              </w:tc>
              <w:tc>
                <w:tcPr>
                  <w:tcW w:w="3827" w:type="dxa"/>
                  <w:gridSpan w:val="3"/>
                  <w:vAlign w:val="center"/>
                </w:tcPr>
                <w:p w14:paraId="6E36ACF3">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采样日期及检测结果（mg/m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w:t>
                  </w:r>
                </w:p>
              </w:tc>
              <w:tc>
                <w:tcPr>
                  <w:tcW w:w="1792" w:type="dxa"/>
                  <w:vMerge w:val="restart"/>
                  <w:vAlign w:val="center"/>
                </w:tcPr>
                <w:p w14:paraId="4295CF54">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执行标准</w:t>
                  </w:r>
                </w:p>
              </w:tc>
              <w:tc>
                <w:tcPr>
                  <w:tcW w:w="1078" w:type="dxa"/>
                  <w:vMerge w:val="restart"/>
                  <w:vAlign w:val="center"/>
                </w:tcPr>
                <w:p w14:paraId="083F9679">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标准限值（ug/m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w:t>
                  </w:r>
                </w:p>
              </w:tc>
            </w:tr>
            <w:tr w14:paraId="32AA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0" w:type="dxa"/>
                  <w:vMerge w:val="continue"/>
                  <w:vAlign w:val="center"/>
                </w:tcPr>
                <w:p w14:paraId="5BFBD921">
                  <w:pPr>
                    <w:snapToGrid w:val="0"/>
                    <w:jc w:val="center"/>
                    <w:rPr>
                      <w:rFonts w:hint="default" w:ascii="Times New Roman" w:hAnsi="Times New Roman" w:cs="Times New Roman"/>
                      <w:color w:val="auto"/>
                      <w:szCs w:val="21"/>
                      <w:highlight w:val="none"/>
                    </w:rPr>
                  </w:pPr>
                </w:p>
              </w:tc>
              <w:tc>
                <w:tcPr>
                  <w:tcW w:w="567" w:type="dxa"/>
                  <w:vMerge w:val="continue"/>
                  <w:vAlign w:val="center"/>
                </w:tcPr>
                <w:p w14:paraId="67C5A180">
                  <w:pPr>
                    <w:snapToGrid w:val="0"/>
                    <w:jc w:val="center"/>
                    <w:rPr>
                      <w:rFonts w:hint="default" w:ascii="Times New Roman" w:hAnsi="Times New Roman" w:cs="Times New Roman"/>
                      <w:color w:val="auto"/>
                      <w:szCs w:val="21"/>
                      <w:highlight w:val="none"/>
                    </w:rPr>
                  </w:pPr>
                </w:p>
              </w:tc>
              <w:tc>
                <w:tcPr>
                  <w:tcW w:w="1276" w:type="dxa"/>
                  <w:vAlign w:val="center"/>
                </w:tcPr>
                <w:p w14:paraId="23D19587">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2025-12-15~2025-12-16</w:t>
                  </w:r>
                </w:p>
              </w:tc>
              <w:tc>
                <w:tcPr>
                  <w:tcW w:w="1275" w:type="dxa"/>
                  <w:vAlign w:val="center"/>
                </w:tcPr>
                <w:p w14:paraId="3A621058">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2025-12-16~2025-12-17</w:t>
                  </w:r>
                </w:p>
              </w:tc>
              <w:tc>
                <w:tcPr>
                  <w:tcW w:w="1276" w:type="dxa"/>
                  <w:vAlign w:val="center"/>
                </w:tcPr>
                <w:p w14:paraId="5F19D190">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2025-12-17~2025-12-18</w:t>
                  </w:r>
                </w:p>
              </w:tc>
              <w:tc>
                <w:tcPr>
                  <w:tcW w:w="1792" w:type="dxa"/>
                  <w:vMerge w:val="continue"/>
                  <w:vAlign w:val="center"/>
                </w:tcPr>
                <w:p w14:paraId="7C897A18">
                  <w:pPr>
                    <w:snapToGrid w:val="0"/>
                    <w:jc w:val="center"/>
                    <w:rPr>
                      <w:rFonts w:hint="default" w:ascii="Times New Roman" w:hAnsi="Times New Roman" w:cs="Times New Roman"/>
                      <w:color w:val="auto"/>
                      <w:szCs w:val="21"/>
                      <w:highlight w:val="none"/>
                    </w:rPr>
                  </w:pPr>
                </w:p>
              </w:tc>
              <w:tc>
                <w:tcPr>
                  <w:tcW w:w="1078" w:type="dxa"/>
                  <w:vMerge w:val="continue"/>
                  <w:vAlign w:val="center"/>
                </w:tcPr>
                <w:p w14:paraId="411DE36E">
                  <w:pPr>
                    <w:snapToGrid w:val="0"/>
                    <w:jc w:val="center"/>
                    <w:rPr>
                      <w:rFonts w:hint="default" w:ascii="Times New Roman" w:hAnsi="Times New Roman" w:cs="Times New Roman"/>
                      <w:color w:val="auto"/>
                      <w:szCs w:val="21"/>
                      <w:highlight w:val="none"/>
                    </w:rPr>
                  </w:pPr>
                </w:p>
              </w:tc>
            </w:tr>
            <w:tr w14:paraId="026C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70" w:type="dxa"/>
                  <w:vAlign w:val="center"/>
                </w:tcPr>
                <w:p w14:paraId="5B57BEF9">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TSP（24小时均值）</w:t>
                  </w:r>
                </w:p>
              </w:tc>
              <w:tc>
                <w:tcPr>
                  <w:tcW w:w="567" w:type="dxa"/>
                  <w:vAlign w:val="center"/>
                </w:tcPr>
                <w:p w14:paraId="504647D3">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276" w:type="dxa"/>
                  <w:vAlign w:val="center"/>
                </w:tcPr>
                <w:p w14:paraId="333E3CAD">
                  <w:pPr>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275" w:type="dxa"/>
                  <w:vAlign w:val="center"/>
                </w:tcPr>
                <w:p w14:paraId="75AA7636">
                  <w:pPr>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276" w:type="dxa"/>
                  <w:vAlign w:val="center"/>
                </w:tcPr>
                <w:p w14:paraId="2785ECC1">
                  <w:pPr>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792" w:type="dxa"/>
                  <w:vAlign w:val="center"/>
                </w:tcPr>
                <w:p w14:paraId="26BD9AB9">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《环境空气质量标准》</w:t>
                  </w:r>
                </w:p>
                <w:p w14:paraId="550CCC87">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（GB3095-2026）</w:t>
                  </w:r>
                  <w:r>
                    <w:rPr>
                      <w:rFonts w:hint="default" w:ascii="Times New Roman" w:hAnsi="Times New Roman" w:cs="Times New Roman"/>
                      <w:bCs/>
                      <w:color w:val="auto"/>
                      <w:szCs w:val="21"/>
                      <w:highlight w:val="none"/>
                    </w:rPr>
                    <w:t>表2二级标准</w:t>
                  </w:r>
                </w:p>
              </w:tc>
              <w:tc>
                <w:tcPr>
                  <w:tcW w:w="1078" w:type="dxa"/>
                  <w:vAlign w:val="center"/>
                </w:tcPr>
                <w:p w14:paraId="056803F4">
                  <w:pPr>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300</w:t>
                  </w:r>
                </w:p>
              </w:tc>
            </w:tr>
            <w:tr w14:paraId="51BA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34" w:type="dxa"/>
                  <w:gridSpan w:val="7"/>
                  <w:vAlign w:val="center"/>
                </w:tcPr>
                <w:p w14:paraId="108ECF7B">
                  <w:pPr>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 1、此次检测结果仅对此次采样负责。</w:t>
                  </w:r>
                </w:p>
              </w:tc>
            </w:tr>
          </w:tbl>
          <w:p w14:paraId="758A013F">
            <w:pPr>
              <w:snapToGrid w:val="0"/>
              <w:spacing w:before="240" w:beforeLines="100" w:line="360" w:lineRule="auto"/>
              <w:ind w:firstLine="480" w:firstLineChars="200"/>
              <w:rPr>
                <w:rFonts w:hint="default" w:ascii="Times New Roman" w:hAnsi="Times New Roman" w:cs="Times New Roman"/>
                <w:b/>
                <w:color w:val="auto"/>
                <w:sz w:val="24"/>
                <w:highlight w:val="none"/>
              </w:rPr>
            </w:pPr>
            <w:r>
              <w:rPr>
                <w:rFonts w:hint="default" w:ascii="Times New Roman" w:hAnsi="Times New Roman" w:cs="Times New Roman"/>
                <w:color w:val="auto"/>
                <w:sz w:val="24"/>
                <w:szCs w:val="20"/>
                <w:highlight w:val="none"/>
              </w:rPr>
              <w:t>由上表可知，本项目大气环境现状评价范围内特征污染物TSP的日平均浓度可达到《环境空气质量标准》（GB3095-2026）限值要求。</w:t>
            </w:r>
          </w:p>
          <w:p w14:paraId="4A5EC21A">
            <w:pPr>
              <w:adjustRightInd w:val="0"/>
              <w:snapToGrid w:val="0"/>
              <w:spacing w:line="360" w:lineRule="auto"/>
              <w:ind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二、地表水环境质量现状</w:t>
            </w:r>
          </w:p>
          <w:p w14:paraId="30492ECC">
            <w:pPr>
              <w:widowControl/>
              <w:adjustRightInd w:val="0"/>
              <w:snapToGrid w:val="0"/>
              <w:spacing w:line="360" w:lineRule="auto"/>
              <w:ind w:firstLine="480" w:firstLineChars="200"/>
              <w:jc w:val="left"/>
              <w:rPr>
                <w:rFonts w:hint="default" w:ascii="Times New Roman" w:hAnsi="Times New Roman" w:cs="Times New Roman"/>
                <w:bCs/>
                <w:color w:val="auto"/>
                <w:sz w:val="24"/>
                <w:highlight w:val="none"/>
                <w:lang w:bidi="ar"/>
              </w:rPr>
            </w:pPr>
            <w:r>
              <w:rPr>
                <w:rFonts w:hint="default" w:ascii="Times New Roman" w:hAnsi="Times New Roman" w:cs="Times New Roman"/>
                <w:bCs/>
                <w:color w:val="auto"/>
                <w:sz w:val="24"/>
                <w:highlight w:val="none"/>
                <w:lang w:bidi="ar"/>
              </w:rPr>
              <w:t>根据《广东省地表水环境功能区划》（粤环〔2011〕14号），本项目所在区域主要地表水及纳污水体为武江（乐昌城-犁市），为Ⅲ类水质功能区，执行《地表水环境质量标准》（GB3838-2002）中的Ⅲ类标准。</w:t>
            </w:r>
          </w:p>
          <w:p w14:paraId="0295094D">
            <w:pPr>
              <w:widowControl/>
              <w:adjustRightInd w:val="0"/>
              <w:snapToGrid w:val="0"/>
              <w:spacing w:line="360" w:lineRule="auto"/>
              <w:ind w:firstLine="480" w:firstLineChars="200"/>
              <w:jc w:val="left"/>
              <w:rPr>
                <w:rFonts w:hint="default" w:ascii="Times New Roman" w:hAnsi="Times New Roman" w:cs="Times New Roman"/>
                <w:bCs/>
                <w:color w:val="auto"/>
                <w:sz w:val="24"/>
                <w:highlight w:val="none"/>
                <w:lang w:bidi="ar"/>
              </w:rPr>
            </w:pPr>
            <w:r>
              <w:rPr>
                <w:rFonts w:hint="default" w:ascii="Times New Roman" w:hAnsi="Times New Roman" w:cs="Times New Roman"/>
                <w:bCs/>
                <w:color w:val="auto"/>
                <w:sz w:val="24"/>
                <w:highlight w:val="none"/>
                <w:lang w:bidi="ar"/>
              </w:rPr>
              <w:t>根据《建设项目环境影响报告表编制技术指南（污染影响类）（试行）》要求“引用与建设项目距离近的有效数据，包括近3年的规划环境影响评价的监测数据，所在流域控制单元内国家、地方控制断面监测数据，生态环境主管部门发布的水环境质量数据或地表水达标情况的结论。”根据《韶关市生态环境状况公报（2024年）》，2024 年，韶关市11条主要江河（北江、武江、浈江、南水河、墨江、锦江、马坝河、滃江、新丰江、横石水和大潭河）34个市考以上手工监测断面水质优良率为 100%，与2023年持平，其中Ⅰ类比例为2.9%、Ⅱ类比例为88.2%、Ⅲ类比例为8.8%。</w:t>
            </w:r>
          </w:p>
          <w:p w14:paraId="2A928380">
            <w:pPr>
              <w:adjustRightInd w:val="0"/>
              <w:snapToGrid w:val="0"/>
              <w:spacing w:line="360" w:lineRule="auto"/>
              <w:ind w:firstLine="480" w:firstLineChars="200"/>
              <w:jc w:val="left"/>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lang w:bidi="ar"/>
              </w:rPr>
              <w:t xml:space="preserve">故项目所在地地表水环境质量现状良好，所在区域的地表水环境为达标区。 </w:t>
            </w:r>
          </w:p>
          <w:p w14:paraId="51CB85A4">
            <w:pPr>
              <w:adjustRightInd w:val="0"/>
              <w:snapToGrid w:val="0"/>
              <w:spacing w:line="360" w:lineRule="auto"/>
              <w:ind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三、声环境质量现状</w:t>
            </w:r>
          </w:p>
          <w:p w14:paraId="07D2C1A5">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项目所在地为工业园区内，根据《乐昌市人民政府关于印发乐昌市声环境功能区划方案的通知》（乐府〔2022〕40号），本项目属于声环境功能3类区，声环境功能执行《声环境质量标准》（GB3096-2008）中的3类标准</w:t>
            </w:r>
            <w:r>
              <w:rPr>
                <w:rFonts w:hint="default" w:ascii="Times New Roman" w:hAnsi="Times New Roman" w:cs="Times New Roman"/>
                <w:color w:val="auto"/>
                <w:sz w:val="24"/>
                <w:highlight w:val="none"/>
                <w:lang w:val="zh-CN"/>
              </w:rPr>
              <w:t>（即昼间</w:t>
            </w:r>
            <w:r>
              <w:rPr>
                <w:rFonts w:hint="default" w:ascii="Times New Roman" w:hAnsi="Times New Roman" w:cs="Times New Roman"/>
                <w:color w:val="auto"/>
                <w:sz w:val="24"/>
                <w:highlight w:val="none"/>
              </w:rPr>
              <w:t>65dB(A)</w:t>
            </w:r>
            <w:r>
              <w:rPr>
                <w:rFonts w:hint="default" w:ascii="Times New Roman" w:hAnsi="Times New Roman" w:cs="Times New Roman"/>
                <w:color w:val="auto"/>
                <w:sz w:val="24"/>
                <w:highlight w:val="none"/>
                <w:lang w:val="zh-CN"/>
              </w:rPr>
              <w:t>、夜间</w:t>
            </w:r>
            <w:r>
              <w:rPr>
                <w:rFonts w:hint="default" w:ascii="Times New Roman" w:hAnsi="Times New Roman" w:cs="Times New Roman"/>
                <w:color w:val="auto"/>
                <w:sz w:val="24"/>
                <w:highlight w:val="none"/>
              </w:rPr>
              <w:t>55dB(A)）。</w:t>
            </w:r>
          </w:p>
          <w:p w14:paraId="3B5B7AFC">
            <w:pPr>
              <w:spacing w:line="360" w:lineRule="auto"/>
              <w:ind w:firstLine="480" w:firstLineChars="200"/>
              <w:jc w:val="left"/>
              <w:rPr>
                <w:rFonts w:hint="default" w:ascii="Times New Roman" w:hAnsi="Times New Roman" w:cs="Times New Roman"/>
                <w:bCs/>
                <w:color w:val="auto"/>
                <w:sz w:val="24"/>
                <w:highlight w:val="none"/>
              </w:rPr>
            </w:pPr>
            <w:r>
              <w:rPr>
                <w:rFonts w:hint="default" w:ascii="Times New Roman" w:hAnsi="Times New Roman" w:cs="Times New Roman"/>
                <w:color w:val="auto"/>
                <w:sz w:val="24"/>
                <w:highlight w:val="none"/>
              </w:rPr>
              <w:t>项目厂界外50m内无环境保护目标，故不需进行现状监测。</w:t>
            </w:r>
          </w:p>
          <w:p w14:paraId="3F89D72F">
            <w:pPr>
              <w:adjustRightInd w:val="0"/>
              <w:snapToGrid w:val="0"/>
              <w:spacing w:line="360" w:lineRule="auto"/>
              <w:ind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四、地下水、土壤环境质量现状</w:t>
            </w:r>
          </w:p>
          <w:p w14:paraId="26110469">
            <w:pPr>
              <w:spacing w:line="360" w:lineRule="auto"/>
              <w:ind w:firstLine="480" w:firstLineChars="200"/>
              <w:jc w:val="left"/>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根据《建设项目环境影响报告表编制技术指南（污染影响类）（试行）》，原则上不开展地下水、土壤环境质量现状</w:t>
            </w:r>
            <w:r>
              <w:rPr>
                <w:rFonts w:hint="default" w:ascii="Times New Roman" w:hAnsi="Times New Roman" w:cs="Times New Roman"/>
                <w:color w:val="auto"/>
                <w:sz w:val="24"/>
                <w:highlight w:val="none"/>
              </w:rPr>
              <w:t>调查。本项目在已建厂房进行，厂房内均进行了地面硬底化，不存在大气沉降、地表漫流、地下渗流等土壤污染途径，因此不开展</w:t>
            </w:r>
            <w:r>
              <w:rPr>
                <w:rFonts w:hint="default" w:ascii="Times New Roman" w:hAnsi="Times New Roman" w:cs="Times New Roman"/>
                <w:bCs/>
                <w:color w:val="auto"/>
                <w:sz w:val="24"/>
                <w:highlight w:val="none"/>
              </w:rPr>
              <w:t>土壤环境质量现状调查</w:t>
            </w:r>
            <w:r>
              <w:rPr>
                <w:rFonts w:hint="default" w:ascii="Times New Roman" w:hAnsi="Times New Roman" w:cs="Times New Roman"/>
                <w:color w:val="auto"/>
                <w:sz w:val="24"/>
                <w:highlight w:val="none"/>
              </w:rPr>
              <w:t>。</w:t>
            </w:r>
            <w:r>
              <w:rPr>
                <w:rFonts w:hint="default" w:ascii="Times New Roman" w:hAnsi="Times New Roman" w:cs="Times New Roman"/>
                <w:bCs/>
                <w:color w:val="auto"/>
                <w:sz w:val="24"/>
                <w:highlight w:val="none"/>
              </w:rPr>
              <w:t>本项目</w:t>
            </w:r>
            <w:r>
              <w:rPr>
                <w:rFonts w:hint="default" w:ascii="Times New Roman" w:hAnsi="Times New Roman" w:cs="Times New Roman"/>
                <w:color w:val="auto"/>
                <w:sz w:val="24"/>
                <w:highlight w:val="none"/>
              </w:rPr>
              <w:t>正常情况下</w:t>
            </w:r>
            <w:r>
              <w:rPr>
                <w:rFonts w:hint="default" w:ascii="Times New Roman" w:hAnsi="Times New Roman" w:cs="Times New Roman"/>
                <w:bCs/>
                <w:color w:val="auto"/>
                <w:sz w:val="24"/>
                <w:highlight w:val="none"/>
              </w:rPr>
              <w:t>不存在地下水污染途径，项目所在区域不存在地下水环境保护目标，</w:t>
            </w:r>
            <w:r>
              <w:rPr>
                <w:rFonts w:hint="default" w:ascii="Times New Roman" w:hAnsi="Times New Roman" w:cs="Times New Roman"/>
                <w:color w:val="auto"/>
                <w:sz w:val="24"/>
                <w:highlight w:val="none"/>
              </w:rPr>
              <w:t>因此不开展</w:t>
            </w:r>
            <w:r>
              <w:rPr>
                <w:rFonts w:hint="default" w:ascii="Times New Roman" w:hAnsi="Times New Roman" w:cs="Times New Roman"/>
                <w:bCs/>
                <w:color w:val="auto"/>
                <w:sz w:val="24"/>
                <w:highlight w:val="none"/>
              </w:rPr>
              <w:t>地下水环境质量现状调查</w:t>
            </w:r>
            <w:r>
              <w:rPr>
                <w:rFonts w:hint="default" w:ascii="Times New Roman" w:hAnsi="Times New Roman" w:cs="Times New Roman"/>
                <w:color w:val="auto"/>
                <w:sz w:val="24"/>
                <w:highlight w:val="none"/>
              </w:rPr>
              <w:t>。</w:t>
            </w:r>
          </w:p>
          <w:p w14:paraId="75E2FDEB">
            <w:pPr>
              <w:adjustRightInd w:val="0"/>
              <w:snapToGrid w:val="0"/>
              <w:spacing w:line="360" w:lineRule="auto"/>
              <w:ind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五、生态环境质量现状</w:t>
            </w:r>
          </w:p>
          <w:p w14:paraId="20340F0B">
            <w:pPr>
              <w:adjustRightInd w:val="0"/>
              <w:snapToGrid w:val="0"/>
              <w:spacing w:before="120" w:beforeLines="50"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本项目位于乐昌市乐昌产业转移工业园内，根据现场勘踏和调查，项目用地范围内不含生态环境保护目标，不需进行生态环境调查。</w:t>
            </w:r>
          </w:p>
          <w:p w14:paraId="0831D76A">
            <w:pPr>
              <w:adjustRightInd w:val="0"/>
              <w:snapToGrid w:val="0"/>
              <w:spacing w:before="120" w:beforeLines="50" w:line="360" w:lineRule="auto"/>
              <w:ind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六、电磁辐射</w:t>
            </w:r>
          </w:p>
          <w:p w14:paraId="7B21BCBE">
            <w:pPr>
              <w:adjustRightInd w:val="0"/>
              <w:snapToGrid w:val="0"/>
              <w:spacing w:before="120" w:beforeLines="50" w:line="360" w:lineRule="auto"/>
              <w:ind w:firstLine="48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本项目不属于新建或改建、扩建广播电台、差转台、电视塔台、卫星地球上行站、雷达等电磁辐射类项目，无需对电磁辐射现状开展监测与评价。</w:t>
            </w:r>
          </w:p>
        </w:tc>
      </w:tr>
      <w:tr w14:paraId="46FF29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800" w:type="dxa"/>
            <w:vAlign w:val="center"/>
          </w:tcPr>
          <w:p w14:paraId="7C257FA4">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459EA03A">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保护</w:t>
            </w:r>
          </w:p>
          <w:p w14:paraId="7175AF67">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目标</w:t>
            </w:r>
          </w:p>
        </w:tc>
        <w:tc>
          <w:tcPr>
            <w:tcW w:w="8731" w:type="dxa"/>
            <w:vAlign w:val="center"/>
          </w:tcPr>
          <w:p w14:paraId="4AD6F68E">
            <w:pPr>
              <w:adjustRightInd w:val="0"/>
              <w:snapToGrid w:val="0"/>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本项目的主要环境保护目标是保护好项目所在地周边评价区域环境质量，采取有效的环保措施，使该项目在建设开展和生产运行中能够保持区域原有的大气质量、声环境质量、地下水环境质量、生态环境质量。</w:t>
            </w:r>
          </w:p>
          <w:p w14:paraId="33BD9468">
            <w:pPr>
              <w:adjustRightInd w:val="0"/>
              <w:snapToGrid w:val="0"/>
              <w:spacing w:before="120" w:beforeLines="50" w:line="360" w:lineRule="auto"/>
              <w:ind w:firstLine="482" w:firstLineChars="200"/>
              <w:jc w:val="left"/>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1、大气环境保护目标</w:t>
            </w:r>
          </w:p>
          <w:p w14:paraId="0AF32610">
            <w:pPr>
              <w:adjustRightInd w:val="0"/>
              <w:snapToGrid w:val="0"/>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本项目厂界外500m范围内大气环境敏感点情况如下表所示，敏感点分布图详见附图4。</w:t>
            </w:r>
          </w:p>
          <w:p w14:paraId="2D07E3D8">
            <w:pPr>
              <w:snapToGrid w:val="0"/>
              <w:spacing w:before="120" w:beforeLines="50"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表3-4  大气环境保护目标一览表</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992"/>
              <w:gridCol w:w="785"/>
              <w:gridCol w:w="919"/>
              <w:gridCol w:w="1190"/>
              <w:gridCol w:w="1075"/>
              <w:gridCol w:w="927"/>
              <w:gridCol w:w="1289"/>
            </w:tblGrid>
            <w:tr w14:paraId="05DF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352" w:type="dxa"/>
                  <w:vMerge w:val="restart"/>
                  <w:vAlign w:val="center"/>
                </w:tcPr>
                <w:p w14:paraId="22BC9981">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名称</w:t>
                  </w:r>
                </w:p>
              </w:tc>
              <w:tc>
                <w:tcPr>
                  <w:tcW w:w="1777" w:type="dxa"/>
                  <w:gridSpan w:val="2"/>
                  <w:vAlign w:val="center"/>
                </w:tcPr>
                <w:p w14:paraId="3859C101">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坐标/m</w:t>
                  </w:r>
                </w:p>
              </w:tc>
              <w:tc>
                <w:tcPr>
                  <w:tcW w:w="919" w:type="dxa"/>
                  <w:vMerge w:val="restart"/>
                  <w:vAlign w:val="center"/>
                </w:tcPr>
                <w:p w14:paraId="664E26B7">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保护</w:t>
                  </w:r>
                </w:p>
                <w:p w14:paraId="5F303523">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对象</w:t>
                  </w:r>
                </w:p>
              </w:tc>
              <w:tc>
                <w:tcPr>
                  <w:tcW w:w="1190" w:type="dxa"/>
                  <w:vMerge w:val="restart"/>
                  <w:vAlign w:val="center"/>
                </w:tcPr>
                <w:p w14:paraId="577366D1">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保护</w:t>
                  </w:r>
                </w:p>
                <w:p w14:paraId="013C375F">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内容</w:t>
                  </w:r>
                </w:p>
              </w:tc>
              <w:tc>
                <w:tcPr>
                  <w:tcW w:w="1075" w:type="dxa"/>
                  <w:vMerge w:val="restart"/>
                  <w:vAlign w:val="center"/>
                </w:tcPr>
                <w:p w14:paraId="7E24EA03">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环境功能区划</w:t>
                  </w:r>
                </w:p>
              </w:tc>
              <w:tc>
                <w:tcPr>
                  <w:tcW w:w="927" w:type="dxa"/>
                  <w:vMerge w:val="restart"/>
                  <w:vAlign w:val="center"/>
                </w:tcPr>
                <w:p w14:paraId="69325F43">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相对厂址方位</w:t>
                  </w:r>
                </w:p>
              </w:tc>
              <w:tc>
                <w:tcPr>
                  <w:tcW w:w="1289" w:type="dxa"/>
                  <w:vMerge w:val="restart"/>
                  <w:vAlign w:val="center"/>
                </w:tcPr>
                <w:p w14:paraId="4C7D818E">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相对厂界距离/m</w:t>
                  </w:r>
                </w:p>
              </w:tc>
            </w:tr>
            <w:tr w14:paraId="5E32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352" w:type="dxa"/>
                  <w:vMerge w:val="continue"/>
                  <w:vAlign w:val="center"/>
                </w:tcPr>
                <w:p w14:paraId="7B9B1F80">
                  <w:pPr>
                    <w:snapToGrid w:val="0"/>
                    <w:jc w:val="center"/>
                    <w:rPr>
                      <w:rFonts w:hint="default" w:ascii="Times New Roman" w:hAnsi="Times New Roman" w:cs="Times New Roman"/>
                      <w:color w:val="auto"/>
                      <w:highlight w:val="none"/>
                    </w:rPr>
                  </w:pPr>
                </w:p>
              </w:tc>
              <w:tc>
                <w:tcPr>
                  <w:tcW w:w="992" w:type="dxa"/>
                  <w:vAlign w:val="center"/>
                </w:tcPr>
                <w:p w14:paraId="091476E0">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X</w:t>
                  </w:r>
                </w:p>
              </w:tc>
              <w:tc>
                <w:tcPr>
                  <w:tcW w:w="785" w:type="dxa"/>
                  <w:vAlign w:val="center"/>
                </w:tcPr>
                <w:p w14:paraId="71212F23">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Y</w:t>
                  </w:r>
                </w:p>
              </w:tc>
              <w:tc>
                <w:tcPr>
                  <w:tcW w:w="919" w:type="dxa"/>
                  <w:vMerge w:val="continue"/>
                  <w:vAlign w:val="center"/>
                </w:tcPr>
                <w:p w14:paraId="211A41A9">
                  <w:pPr>
                    <w:snapToGrid w:val="0"/>
                    <w:jc w:val="center"/>
                    <w:rPr>
                      <w:rFonts w:hint="default" w:ascii="Times New Roman" w:hAnsi="Times New Roman" w:cs="Times New Roman"/>
                      <w:color w:val="auto"/>
                      <w:highlight w:val="none"/>
                    </w:rPr>
                  </w:pPr>
                </w:p>
              </w:tc>
              <w:tc>
                <w:tcPr>
                  <w:tcW w:w="1190" w:type="dxa"/>
                  <w:vMerge w:val="continue"/>
                  <w:vAlign w:val="center"/>
                </w:tcPr>
                <w:p w14:paraId="0755B243">
                  <w:pPr>
                    <w:snapToGrid w:val="0"/>
                    <w:jc w:val="center"/>
                    <w:rPr>
                      <w:rFonts w:hint="default" w:ascii="Times New Roman" w:hAnsi="Times New Roman" w:cs="Times New Roman"/>
                      <w:color w:val="auto"/>
                      <w:highlight w:val="none"/>
                    </w:rPr>
                  </w:pPr>
                </w:p>
              </w:tc>
              <w:tc>
                <w:tcPr>
                  <w:tcW w:w="1075" w:type="dxa"/>
                  <w:vMerge w:val="continue"/>
                  <w:vAlign w:val="center"/>
                </w:tcPr>
                <w:p w14:paraId="7DA45AD9">
                  <w:pPr>
                    <w:snapToGrid w:val="0"/>
                    <w:jc w:val="center"/>
                    <w:rPr>
                      <w:rFonts w:hint="default" w:ascii="Times New Roman" w:hAnsi="Times New Roman" w:cs="Times New Roman"/>
                      <w:color w:val="auto"/>
                      <w:highlight w:val="none"/>
                    </w:rPr>
                  </w:pPr>
                </w:p>
              </w:tc>
              <w:tc>
                <w:tcPr>
                  <w:tcW w:w="927" w:type="dxa"/>
                  <w:vMerge w:val="continue"/>
                  <w:vAlign w:val="center"/>
                </w:tcPr>
                <w:p w14:paraId="253E44F9">
                  <w:pPr>
                    <w:snapToGrid w:val="0"/>
                    <w:jc w:val="center"/>
                    <w:rPr>
                      <w:rFonts w:hint="default" w:ascii="Times New Roman" w:hAnsi="Times New Roman" w:cs="Times New Roman"/>
                      <w:color w:val="auto"/>
                      <w:highlight w:val="none"/>
                    </w:rPr>
                  </w:pPr>
                </w:p>
              </w:tc>
              <w:tc>
                <w:tcPr>
                  <w:tcW w:w="1289" w:type="dxa"/>
                  <w:vMerge w:val="continue"/>
                  <w:vAlign w:val="center"/>
                </w:tcPr>
                <w:p w14:paraId="60E8CDF6">
                  <w:pPr>
                    <w:snapToGrid w:val="0"/>
                    <w:jc w:val="center"/>
                    <w:rPr>
                      <w:rFonts w:hint="default" w:ascii="Times New Roman" w:hAnsi="Times New Roman" w:cs="Times New Roman"/>
                      <w:color w:val="auto"/>
                      <w:highlight w:val="none"/>
                    </w:rPr>
                  </w:pPr>
                </w:p>
              </w:tc>
            </w:tr>
            <w:tr w14:paraId="168E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52" w:type="dxa"/>
                  <w:vAlign w:val="center"/>
                </w:tcPr>
                <w:p w14:paraId="47870662">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金德乐</w:t>
                  </w:r>
                  <w:r>
                    <w:rPr>
                      <w:rFonts w:hint="default" w:ascii="Times New Roman" w:hAnsi="Times New Roman" w:cs="Times New Roman"/>
                      <w:color w:val="auto"/>
                      <w:highlight w:val="none"/>
                    </w:rPr>
                    <w:t>小区</w:t>
                  </w:r>
                </w:p>
              </w:tc>
              <w:tc>
                <w:tcPr>
                  <w:tcW w:w="992" w:type="dxa"/>
                  <w:vAlign w:val="center"/>
                </w:tcPr>
                <w:p w14:paraId="220CA6E2">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261</w:t>
                  </w:r>
                </w:p>
              </w:tc>
              <w:tc>
                <w:tcPr>
                  <w:tcW w:w="785" w:type="dxa"/>
                  <w:vAlign w:val="center"/>
                </w:tcPr>
                <w:p w14:paraId="5A6AF84D">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w:t>
                  </w:r>
                </w:p>
              </w:tc>
              <w:tc>
                <w:tcPr>
                  <w:tcW w:w="919" w:type="dxa"/>
                  <w:vAlign w:val="center"/>
                </w:tcPr>
                <w:p w14:paraId="54C497C2">
                  <w:pPr>
                    <w:snapToGrid w:val="0"/>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居</w:t>
                  </w:r>
                  <w:r>
                    <w:rPr>
                      <w:rFonts w:hint="default" w:ascii="Times New Roman" w:hAnsi="Times New Roman" w:cs="Times New Roman"/>
                      <w:color w:val="auto"/>
                      <w:highlight w:val="none"/>
                      <w:lang w:val="en-US" w:eastAsia="zh-CN"/>
                    </w:rPr>
                    <w:t>民</w:t>
                  </w:r>
                  <w:r>
                    <w:rPr>
                      <w:rFonts w:hint="default" w:ascii="Times New Roman" w:hAnsi="Times New Roman" w:cs="Times New Roman"/>
                      <w:color w:val="auto"/>
                      <w:highlight w:val="none"/>
                    </w:rPr>
                    <w:t>区</w:t>
                  </w:r>
                </w:p>
              </w:tc>
              <w:tc>
                <w:tcPr>
                  <w:tcW w:w="1190" w:type="dxa"/>
                  <w:vAlign w:val="center"/>
                </w:tcPr>
                <w:p w14:paraId="14FEDC00">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大气环境</w:t>
                  </w:r>
                </w:p>
              </w:tc>
              <w:tc>
                <w:tcPr>
                  <w:tcW w:w="1075" w:type="dxa"/>
                  <w:vAlign w:val="center"/>
                </w:tcPr>
                <w:p w14:paraId="104A9C68">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环境空气二类</w:t>
                  </w:r>
                </w:p>
              </w:tc>
              <w:tc>
                <w:tcPr>
                  <w:tcW w:w="927" w:type="dxa"/>
                  <w:vAlign w:val="center"/>
                </w:tcPr>
                <w:p w14:paraId="195F024C">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东侧</w:t>
                  </w:r>
                </w:p>
              </w:tc>
              <w:tc>
                <w:tcPr>
                  <w:tcW w:w="1289" w:type="dxa"/>
                  <w:vAlign w:val="center"/>
                </w:tcPr>
                <w:p w14:paraId="6CE7E025">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173</w:t>
                  </w:r>
                </w:p>
              </w:tc>
            </w:tr>
            <w:tr w14:paraId="4B63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52" w:type="dxa"/>
                  <w:vAlign w:val="center"/>
                </w:tcPr>
                <w:p w14:paraId="7FE8193E">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乐园小学</w:t>
                  </w:r>
                </w:p>
              </w:tc>
              <w:tc>
                <w:tcPr>
                  <w:tcW w:w="992" w:type="dxa"/>
                  <w:vAlign w:val="center"/>
                </w:tcPr>
                <w:p w14:paraId="061D59A9">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320</w:t>
                  </w:r>
                </w:p>
              </w:tc>
              <w:tc>
                <w:tcPr>
                  <w:tcW w:w="785" w:type="dxa"/>
                  <w:vAlign w:val="center"/>
                </w:tcPr>
                <w:p w14:paraId="2F055EDE">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140</w:t>
                  </w:r>
                </w:p>
              </w:tc>
              <w:tc>
                <w:tcPr>
                  <w:tcW w:w="919" w:type="dxa"/>
                  <w:vAlign w:val="center"/>
                </w:tcPr>
                <w:p w14:paraId="7C154682">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师生</w:t>
                  </w:r>
                </w:p>
              </w:tc>
              <w:tc>
                <w:tcPr>
                  <w:tcW w:w="1190" w:type="dxa"/>
                  <w:vAlign w:val="center"/>
                </w:tcPr>
                <w:p w14:paraId="573EDD97">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大气环境</w:t>
                  </w:r>
                </w:p>
              </w:tc>
              <w:tc>
                <w:tcPr>
                  <w:tcW w:w="1075" w:type="dxa"/>
                  <w:vAlign w:val="center"/>
                </w:tcPr>
                <w:p w14:paraId="21C7C725">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环境空气二类</w:t>
                  </w:r>
                </w:p>
              </w:tc>
              <w:tc>
                <w:tcPr>
                  <w:tcW w:w="927" w:type="dxa"/>
                  <w:vAlign w:val="center"/>
                </w:tcPr>
                <w:p w14:paraId="082F8F64">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东北侧</w:t>
                  </w:r>
                </w:p>
              </w:tc>
              <w:tc>
                <w:tcPr>
                  <w:tcW w:w="1289" w:type="dxa"/>
                  <w:vAlign w:val="center"/>
                </w:tcPr>
                <w:p w14:paraId="239CA49B">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261</w:t>
                  </w:r>
                </w:p>
              </w:tc>
            </w:tr>
            <w:tr w14:paraId="3F8B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52" w:type="dxa"/>
                  <w:vAlign w:val="center"/>
                </w:tcPr>
                <w:p w14:paraId="444E63FE">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乐园幼儿园</w:t>
                  </w:r>
                </w:p>
              </w:tc>
              <w:tc>
                <w:tcPr>
                  <w:tcW w:w="992" w:type="dxa"/>
                  <w:vAlign w:val="center"/>
                </w:tcPr>
                <w:p w14:paraId="0E5EDE7E">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566</w:t>
                  </w:r>
                </w:p>
              </w:tc>
              <w:tc>
                <w:tcPr>
                  <w:tcW w:w="785" w:type="dxa"/>
                  <w:vAlign w:val="center"/>
                </w:tcPr>
                <w:p w14:paraId="688A4BBB">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919" w:type="dxa"/>
                  <w:vAlign w:val="center"/>
                </w:tcPr>
                <w:p w14:paraId="1C883B79">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师生</w:t>
                  </w:r>
                </w:p>
              </w:tc>
              <w:tc>
                <w:tcPr>
                  <w:tcW w:w="1190" w:type="dxa"/>
                  <w:vAlign w:val="center"/>
                </w:tcPr>
                <w:p w14:paraId="315E5212">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大气环境</w:t>
                  </w:r>
                </w:p>
              </w:tc>
              <w:tc>
                <w:tcPr>
                  <w:tcW w:w="1075" w:type="dxa"/>
                  <w:vAlign w:val="center"/>
                </w:tcPr>
                <w:p w14:paraId="0A7F5076">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环境空气二类</w:t>
                  </w:r>
                </w:p>
              </w:tc>
              <w:tc>
                <w:tcPr>
                  <w:tcW w:w="927" w:type="dxa"/>
                  <w:vAlign w:val="center"/>
                </w:tcPr>
                <w:p w14:paraId="513E8320">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东侧</w:t>
                  </w:r>
                </w:p>
              </w:tc>
              <w:tc>
                <w:tcPr>
                  <w:tcW w:w="1289" w:type="dxa"/>
                  <w:vAlign w:val="center"/>
                </w:tcPr>
                <w:p w14:paraId="66394EAB">
                  <w:pPr>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474</w:t>
                  </w:r>
                </w:p>
              </w:tc>
            </w:tr>
            <w:tr w14:paraId="180D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529" w:type="dxa"/>
                  <w:gridSpan w:val="8"/>
                  <w:vAlign w:val="center"/>
                </w:tcPr>
                <w:p w14:paraId="770864BC">
                  <w:pPr>
                    <w:snapToGrid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注：设厂区所在位置中心坐标（东经113°23’57.961”，北纬25°8’25.007）为原点（0,0），周围敏感点坐标取距离厂区项目最近的位置。</w:t>
                  </w:r>
                </w:p>
              </w:tc>
            </w:tr>
          </w:tbl>
          <w:p w14:paraId="596EFB97">
            <w:pPr>
              <w:spacing w:line="360" w:lineRule="auto"/>
              <w:ind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2、声环境</w:t>
            </w:r>
          </w:p>
          <w:p w14:paraId="11B6B550">
            <w:pPr>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厂界外周边50m范围内不存在声环境保护目标。</w:t>
            </w:r>
          </w:p>
          <w:p w14:paraId="29566F4B">
            <w:pPr>
              <w:spacing w:line="360" w:lineRule="auto"/>
              <w:ind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3、地下水环境</w:t>
            </w:r>
          </w:p>
          <w:p w14:paraId="73F850AE">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本项目厂界外500米范围内无地下水集中式饮用水水源和热水、矿泉水、温泉等特殊地下水资源</w:t>
            </w:r>
            <w:r>
              <w:rPr>
                <w:rFonts w:hint="default" w:ascii="Times New Roman" w:hAnsi="Times New Roman" w:cs="Times New Roman"/>
                <w:color w:val="auto"/>
                <w:kern w:val="0"/>
                <w:sz w:val="24"/>
                <w:highlight w:val="none"/>
              </w:rPr>
              <w:t>，无地下水环境保护目标</w:t>
            </w:r>
            <w:r>
              <w:rPr>
                <w:rFonts w:hint="default" w:ascii="Times New Roman" w:hAnsi="Times New Roman" w:cs="Times New Roman"/>
                <w:color w:val="auto"/>
                <w:sz w:val="24"/>
                <w:highlight w:val="none"/>
              </w:rPr>
              <w:t>。</w:t>
            </w:r>
          </w:p>
          <w:p w14:paraId="183C2B82">
            <w:pPr>
              <w:spacing w:line="360" w:lineRule="auto"/>
              <w:ind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4、生态环境</w:t>
            </w:r>
          </w:p>
          <w:p w14:paraId="575DDD49">
            <w:pPr>
              <w:widowControl/>
              <w:spacing w:line="360" w:lineRule="auto"/>
              <w:ind w:firstLine="480" w:firstLineChars="20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rPr>
              <w:t>本项目位于</w:t>
            </w:r>
            <w:r>
              <w:rPr>
                <w:rFonts w:hint="default" w:ascii="Times New Roman" w:hAnsi="Times New Roman" w:cs="Times New Roman"/>
                <w:color w:val="auto"/>
                <w:sz w:val="24"/>
                <w:highlight w:val="none"/>
              </w:rPr>
              <w:t>乐昌产业转移工业园</w:t>
            </w:r>
            <w:r>
              <w:rPr>
                <w:rFonts w:hint="default" w:ascii="Times New Roman" w:hAnsi="Times New Roman" w:cs="Times New Roman"/>
                <w:color w:val="auto"/>
                <w:kern w:val="0"/>
                <w:sz w:val="24"/>
                <w:highlight w:val="none"/>
              </w:rPr>
              <w:t>内，不属于新增用地，项目周边不存在生态保护目标。</w:t>
            </w:r>
          </w:p>
        </w:tc>
      </w:tr>
      <w:tr w14:paraId="3269C5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800" w:type="dxa"/>
            <w:tcMar>
              <w:left w:w="28" w:type="dxa"/>
              <w:right w:w="28" w:type="dxa"/>
            </w:tcMar>
            <w:vAlign w:val="center"/>
          </w:tcPr>
          <w:p w14:paraId="45DAFC76">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污染</w:t>
            </w:r>
          </w:p>
          <w:p w14:paraId="7D140A4A">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物排</w:t>
            </w:r>
          </w:p>
          <w:p w14:paraId="04DBA768">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放控</w:t>
            </w:r>
          </w:p>
          <w:p w14:paraId="79B1F14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制标</w:t>
            </w:r>
          </w:p>
          <w:p w14:paraId="3A815ED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准</w:t>
            </w:r>
          </w:p>
        </w:tc>
        <w:tc>
          <w:tcPr>
            <w:tcW w:w="8731" w:type="dxa"/>
            <w:vAlign w:val="center"/>
          </w:tcPr>
          <w:p w14:paraId="101F8339">
            <w:pPr>
              <w:numPr>
                <w:ilvl w:val="0"/>
                <w:numId w:val="11"/>
              </w:numPr>
              <w:spacing w:line="360" w:lineRule="auto"/>
              <w:ind w:firstLine="420"/>
              <w:jc w:val="left"/>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水污染物排放标准</w:t>
            </w:r>
          </w:p>
          <w:p w14:paraId="23F9C886">
            <w:pPr>
              <w:pStyle w:val="129"/>
              <w:ind w:firstLine="48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本项目无生产废水产生，本项目从原项目调配人员，不新增员工，不新增生活污水</w:t>
            </w:r>
            <w:r>
              <w:rPr>
                <w:rFonts w:hint="default" w:ascii="Times New Roman" w:hAnsi="Times New Roman" w:cs="Times New Roman"/>
                <w:color w:val="auto"/>
                <w:szCs w:val="22"/>
                <w:highlight w:val="none"/>
              </w:rPr>
              <w:t>。</w:t>
            </w:r>
          </w:p>
          <w:p w14:paraId="408E739A">
            <w:pPr>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2、大气污染物排放标准</w:t>
            </w:r>
          </w:p>
          <w:p w14:paraId="33F5BA41">
            <w:pPr>
              <w:widowControl/>
              <w:spacing w:line="360" w:lineRule="auto"/>
              <w:ind w:firstLine="480" w:firstLineChars="200"/>
              <w:jc w:val="left"/>
              <w:rPr>
                <w:rFonts w:hint="default" w:ascii="Times New Roman" w:hAnsi="Times New Roman" w:cs="Times New Roman"/>
                <w:color w:val="auto"/>
                <w:kern w:val="0"/>
                <w:sz w:val="24"/>
                <w:highlight w:val="none"/>
                <w:lang w:bidi="ar"/>
              </w:rPr>
            </w:pPr>
            <w:r>
              <w:rPr>
                <w:rFonts w:hint="default" w:ascii="Times New Roman" w:hAnsi="Times New Roman" w:cs="Times New Roman"/>
                <w:color w:val="auto"/>
                <w:sz w:val="24"/>
                <w:highlight w:val="none"/>
              </w:rPr>
              <w:t>本项目运营期废气主要为喷粉废气、喷漆（含喷涂、洗枪、风干）废气、烘烤废气。喷粉废气污染因子为颗粒物，喷漆（含喷涂、洗枪、风干）废气污染因子为颗粒物、TVOC、二甲苯，烘烤废气污染因子为TVOC。</w:t>
            </w:r>
          </w:p>
          <w:p w14:paraId="74F72B3F">
            <w:pPr>
              <w:widowControl/>
              <w:spacing w:line="36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kern w:val="0"/>
                <w:sz w:val="24"/>
                <w:szCs w:val="24"/>
                <w:highlight w:val="none"/>
                <w:lang w:val="en-US" w:eastAsia="zh-CN" w:bidi="ar"/>
              </w:rPr>
              <w:t>本项目</w:t>
            </w:r>
            <w:r>
              <w:rPr>
                <w:rFonts w:hint="default" w:ascii="Times New Roman" w:hAnsi="Times New Roman" w:cs="Times New Roman"/>
                <w:color w:val="auto"/>
                <w:sz w:val="24"/>
                <w:highlight w:val="none"/>
              </w:rPr>
              <w:t>对原项目的铸钢件、铸铁件进行喷漆/喷粉，</w:t>
            </w:r>
            <w:r>
              <w:rPr>
                <w:rFonts w:hint="default" w:ascii="Times New Roman" w:hAnsi="Times New Roman" w:cs="Times New Roman"/>
                <w:color w:val="auto"/>
                <w:sz w:val="24"/>
                <w:highlight w:val="none"/>
                <w:lang w:val="en-US" w:eastAsia="zh-CN"/>
              </w:rPr>
              <w:t>因此本项目喷粉、喷漆工序为铸件的表面涂装工序，因此本项目</w:t>
            </w:r>
            <w:r>
              <w:rPr>
                <w:rFonts w:hint="default" w:ascii="Times New Roman" w:hAnsi="Times New Roman" w:cs="Times New Roman"/>
                <w:color w:val="auto"/>
                <w:kern w:val="0"/>
                <w:sz w:val="24"/>
                <w:szCs w:val="24"/>
                <w:highlight w:val="none"/>
                <w:lang w:bidi="ar"/>
              </w:rPr>
              <w:t>有组织废气：颗粒物</w:t>
            </w:r>
            <w:r>
              <w:rPr>
                <w:rFonts w:hint="default" w:ascii="Times New Roman" w:hAnsi="Times New Roman" w:cs="Times New Roman"/>
                <w:color w:val="auto"/>
                <w:kern w:val="0"/>
                <w:sz w:val="24"/>
                <w:szCs w:val="24"/>
                <w:highlight w:val="none"/>
                <w:lang w:eastAsia="zh-CN" w:bidi="ar"/>
              </w:rPr>
              <w:t>、</w:t>
            </w:r>
            <w:r>
              <w:rPr>
                <w:rFonts w:hint="default" w:ascii="Times New Roman" w:hAnsi="Times New Roman" w:cs="Times New Roman"/>
                <w:color w:val="auto"/>
                <w:kern w:val="0"/>
                <w:sz w:val="24"/>
                <w:szCs w:val="24"/>
                <w:highlight w:val="none"/>
                <w:lang w:val="en-US" w:eastAsia="zh-CN" w:bidi="ar"/>
              </w:rPr>
              <w:t>TVOC、二甲苯</w:t>
            </w:r>
            <w:r>
              <w:rPr>
                <w:rFonts w:hint="default" w:ascii="Times New Roman" w:hAnsi="Times New Roman" w:cs="Times New Roman"/>
                <w:color w:val="auto"/>
                <w:kern w:val="0"/>
                <w:sz w:val="24"/>
                <w:szCs w:val="24"/>
                <w:highlight w:val="none"/>
                <w:lang w:bidi="ar"/>
              </w:rPr>
              <w:t>执行</w:t>
            </w:r>
            <w:r>
              <w:rPr>
                <w:rFonts w:hint="default" w:ascii="Times New Roman" w:hAnsi="Times New Roman" w:cs="Times New Roman"/>
                <w:color w:val="auto"/>
                <w:sz w:val="24"/>
                <w:szCs w:val="24"/>
                <w:highlight w:val="none"/>
              </w:rPr>
              <w:t>《铸造工业大气污染物排放标准》（GB 39726—2020）</w:t>
            </w:r>
            <w:r>
              <w:rPr>
                <w:rFonts w:hint="default" w:ascii="Times New Roman" w:hAnsi="Times New Roman" w:cs="Times New Roman"/>
                <w:color w:val="auto"/>
                <w:sz w:val="24"/>
                <w:szCs w:val="24"/>
                <w:highlight w:val="none"/>
                <w:lang w:val="en-US" w:eastAsia="zh-CN"/>
              </w:rPr>
              <w:t>表1大气污染物排放限值</w:t>
            </w:r>
            <w:r>
              <w:rPr>
                <w:rFonts w:hint="default" w:ascii="Times New Roman" w:hAnsi="Times New Roman" w:cs="Times New Roman"/>
                <w:bCs/>
                <w:color w:val="auto"/>
                <w:sz w:val="24"/>
                <w:szCs w:val="24"/>
                <w:highlight w:val="none"/>
              </w:rPr>
              <w:t>。</w:t>
            </w:r>
          </w:p>
          <w:p w14:paraId="494315B5">
            <w:pPr>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无组织废气：厂界颗粒物、</w:t>
            </w:r>
            <w:r>
              <w:rPr>
                <w:rFonts w:hint="default" w:ascii="Times New Roman" w:hAnsi="Times New Roman" w:cs="Times New Roman"/>
                <w:snapToGrid w:val="0"/>
                <w:color w:val="auto"/>
                <w:sz w:val="24"/>
                <w:highlight w:val="none"/>
              </w:rPr>
              <w:t>非甲烷总烃</w:t>
            </w:r>
            <w:r>
              <w:rPr>
                <w:rFonts w:hint="default" w:ascii="Times New Roman" w:hAnsi="Times New Roman" w:cs="Times New Roman"/>
                <w:color w:val="auto"/>
                <w:sz w:val="24"/>
                <w:highlight w:val="none"/>
              </w:rPr>
              <w:t>执行广东省地方标准《大气污染物排放限值》（DB44/27-2001）第二时段无组织排放监控浓度限值。</w:t>
            </w:r>
          </w:p>
          <w:p w14:paraId="2DA4AA7B">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szCs w:val="24"/>
                <w:highlight w:val="none"/>
                <w:lang w:val="en-US" w:eastAsia="zh-CN" w:bidi="ar"/>
              </w:rPr>
              <w:t>本项目</w:t>
            </w:r>
            <w:r>
              <w:rPr>
                <w:rFonts w:hint="default" w:ascii="Times New Roman" w:hAnsi="Times New Roman" w:cs="Times New Roman"/>
                <w:color w:val="auto"/>
                <w:sz w:val="24"/>
                <w:highlight w:val="none"/>
              </w:rPr>
              <w:t>对原项目的铸钢件、铸铁件进行喷漆/喷粉，</w:t>
            </w:r>
            <w:r>
              <w:rPr>
                <w:rFonts w:hint="default" w:ascii="Times New Roman" w:hAnsi="Times New Roman" w:cs="Times New Roman"/>
                <w:color w:val="auto"/>
                <w:sz w:val="24"/>
                <w:highlight w:val="none"/>
                <w:lang w:val="en-US" w:eastAsia="zh-CN"/>
              </w:rPr>
              <w:t>因此本项目喷粉、喷漆工序为铸件的表面涂装工序，因此本项目</w:t>
            </w:r>
            <w:r>
              <w:rPr>
                <w:rStyle w:val="130"/>
                <w:rFonts w:hint="default" w:ascii="Times New Roman" w:hAnsi="Times New Roman" w:cs="Times New Roman"/>
                <w:color w:val="auto"/>
                <w:sz w:val="24"/>
                <w:szCs w:val="24"/>
                <w:highlight w:val="none"/>
              </w:rPr>
              <w:t>厂区内</w:t>
            </w:r>
            <w:r>
              <w:rPr>
                <w:rStyle w:val="130"/>
                <w:rFonts w:hint="default" w:ascii="Times New Roman" w:hAnsi="Times New Roman" w:cs="Times New Roman"/>
                <w:color w:val="auto"/>
                <w:sz w:val="24"/>
                <w:szCs w:val="24"/>
                <w:highlight w:val="none"/>
                <w:lang w:val="en-US" w:eastAsia="zh-CN"/>
              </w:rPr>
              <w:t>无组织颗粒物、NMHC执行《铸造工业大气污染物排放标准》（GB 39726—2020）表A.1厂区内颗粒物、VOCs无组织排放限值。</w:t>
            </w:r>
          </w:p>
          <w:p w14:paraId="212CEF7A">
            <w:pPr>
              <w:widowControl/>
              <w:spacing w:line="360" w:lineRule="auto"/>
              <w:jc w:val="center"/>
              <w:rPr>
                <w:rFonts w:hint="default" w:ascii="Times New Roman" w:hAnsi="Times New Roman" w:cs="Times New Roman"/>
                <w:b/>
                <w:bCs/>
                <w:color w:val="auto"/>
                <w:kern w:val="0"/>
                <w:sz w:val="24"/>
                <w:highlight w:val="none"/>
                <w:lang w:val="ru-RU"/>
              </w:rPr>
            </w:pPr>
            <w:r>
              <w:rPr>
                <w:rFonts w:hint="default" w:ascii="Times New Roman" w:hAnsi="Times New Roman" w:cs="Times New Roman"/>
                <w:b/>
                <w:bCs/>
                <w:color w:val="auto"/>
                <w:kern w:val="0"/>
                <w:sz w:val="24"/>
                <w:highlight w:val="none"/>
                <w:lang w:val="ru-RU"/>
              </w:rPr>
              <w:t>表3-</w:t>
            </w:r>
            <w:r>
              <w:rPr>
                <w:rFonts w:hint="default" w:ascii="Times New Roman" w:hAnsi="Times New Roman" w:cs="Times New Roman"/>
                <w:b/>
                <w:bCs/>
                <w:color w:val="auto"/>
                <w:kern w:val="0"/>
                <w:sz w:val="24"/>
                <w:highlight w:val="none"/>
              </w:rPr>
              <w:t>5</w:t>
            </w:r>
            <w:r>
              <w:rPr>
                <w:rFonts w:hint="default" w:ascii="Times New Roman" w:hAnsi="Times New Roman" w:cs="Times New Roman"/>
                <w:b/>
                <w:bCs/>
                <w:color w:val="auto"/>
                <w:kern w:val="0"/>
                <w:sz w:val="24"/>
                <w:highlight w:val="none"/>
                <w:lang w:val="ru-RU"/>
              </w:rPr>
              <w:t xml:space="preserve">  有组织废气排放标准</w:t>
            </w:r>
          </w:p>
          <w:tbl>
            <w:tblPr>
              <w:tblStyle w:val="26"/>
              <w:tblW w:w="853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804"/>
              <w:gridCol w:w="1252"/>
              <w:gridCol w:w="1992"/>
              <w:gridCol w:w="3486"/>
            </w:tblGrid>
            <w:tr w14:paraId="3126B7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9" w:hRule="atLeast"/>
                <w:jc w:val="center"/>
              </w:trPr>
              <w:tc>
                <w:tcPr>
                  <w:tcW w:w="1804" w:type="dxa"/>
                  <w:vAlign w:val="center"/>
                </w:tcPr>
                <w:p w14:paraId="53EBD70A">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对应排气筒</w:t>
                  </w:r>
                </w:p>
              </w:tc>
              <w:tc>
                <w:tcPr>
                  <w:tcW w:w="1252" w:type="dxa"/>
                  <w:vAlign w:val="center"/>
                </w:tcPr>
                <w:p w14:paraId="19A56B8F">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污染物项目</w:t>
                  </w:r>
                </w:p>
              </w:tc>
              <w:tc>
                <w:tcPr>
                  <w:tcW w:w="1992" w:type="dxa"/>
                  <w:vAlign w:val="center"/>
                </w:tcPr>
                <w:p w14:paraId="7A1C0704">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最高允许排放浓度（mg/m</w:t>
                  </w:r>
                  <w:r>
                    <w:rPr>
                      <w:rFonts w:hint="default" w:ascii="Times New Roman" w:hAnsi="Times New Roman" w:cs="Times New Roman"/>
                      <w:b/>
                      <w:color w:val="auto"/>
                      <w:szCs w:val="21"/>
                      <w:highlight w:val="none"/>
                      <w:vertAlign w:val="superscript"/>
                    </w:rPr>
                    <w:t>3</w:t>
                  </w:r>
                  <w:r>
                    <w:rPr>
                      <w:rFonts w:hint="default" w:ascii="Times New Roman" w:hAnsi="Times New Roman" w:cs="Times New Roman"/>
                      <w:b/>
                      <w:color w:val="auto"/>
                      <w:szCs w:val="21"/>
                      <w:highlight w:val="none"/>
                    </w:rPr>
                    <w:t>）</w:t>
                  </w:r>
                </w:p>
              </w:tc>
              <w:tc>
                <w:tcPr>
                  <w:tcW w:w="3486" w:type="dxa"/>
                  <w:vAlign w:val="center"/>
                </w:tcPr>
                <w:p w14:paraId="3CA8C1FC">
                  <w:pPr>
                    <w:adjustRightInd w:val="0"/>
                    <w:snapToGrid w:val="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标准</w:t>
                  </w:r>
                </w:p>
              </w:tc>
            </w:tr>
            <w:tr w14:paraId="7327E5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5" w:hRule="atLeast"/>
                <w:jc w:val="center"/>
              </w:trPr>
              <w:tc>
                <w:tcPr>
                  <w:tcW w:w="1804" w:type="dxa"/>
                  <w:vMerge w:val="restart"/>
                  <w:vAlign w:val="center"/>
                </w:tcPr>
                <w:p w14:paraId="35535EF1">
                  <w:pPr>
                    <w:adjustRightInd w:val="0"/>
                    <w:snapToGri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喷漆、烘烤和喷粉废气排放口DA00</w:t>
                  </w:r>
                  <w:r>
                    <w:rPr>
                      <w:rFonts w:hint="default" w:ascii="Times New Roman" w:hAnsi="Times New Roman" w:cs="Times New Roman"/>
                      <w:color w:val="auto"/>
                      <w:szCs w:val="21"/>
                      <w:highlight w:val="none"/>
                      <w:lang w:val="en-US" w:eastAsia="zh-CN"/>
                    </w:rPr>
                    <w:t>5</w:t>
                  </w:r>
                </w:p>
              </w:tc>
              <w:tc>
                <w:tcPr>
                  <w:tcW w:w="1252" w:type="dxa"/>
                  <w:vAlign w:val="center"/>
                </w:tcPr>
                <w:p w14:paraId="5A6E061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颗粒物</w:t>
                  </w:r>
                </w:p>
              </w:tc>
              <w:tc>
                <w:tcPr>
                  <w:tcW w:w="1992" w:type="dxa"/>
                  <w:vAlign w:val="center"/>
                </w:tcPr>
                <w:p w14:paraId="49EC5F38">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30</w:t>
                  </w:r>
                </w:p>
              </w:tc>
              <w:tc>
                <w:tcPr>
                  <w:tcW w:w="3486" w:type="dxa"/>
                  <w:vMerge w:val="restart"/>
                  <w:vAlign w:val="center"/>
                </w:tcPr>
                <w:p w14:paraId="09007F7F">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rPr>
                    <w:t>《铸造工业大气污染物排放标准》（GB 39726—2020）</w:t>
                  </w:r>
                  <w:r>
                    <w:rPr>
                      <w:rFonts w:hint="default" w:ascii="Times New Roman" w:hAnsi="Times New Roman" w:cs="Times New Roman"/>
                      <w:color w:val="auto"/>
                      <w:sz w:val="21"/>
                      <w:szCs w:val="21"/>
                      <w:highlight w:val="none"/>
                      <w:lang w:val="en-US" w:eastAsia="zh-CN"/>
                    </w:rPr>
                    <w:t>表1大气污染物排放限值</w:t>
                  </w:r>
                </w:p>
              </w:tc>
            </w:tr>
            <w:tr w14:paraId="5052FB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2" w:hRule="atLeast"/>
                <w:jc w:val="center"/>
              </w:trPr>
              <w:tc>
                <w:tcPr>
                  <w:tcW w:w="1804" w:type="dxa"/>
                  <w:vMerge w:val="continue"/>
                  <w:vAlign w:val="center"/>
                </w:tcPr>
                <w:p w14:paraId="5C9F52AE">
                  <w:pPr>
                    <w:adjustRightInd w:val="0"/>
                    <w:snapToGrid w:val="0"/>
                    <w:jc w:val="center"/>
                    <w:rPr>
                      <w:rFonts w:hint="default" w:ascii="Times New Roman" w:hAnsi="Times New Roman" w:cs="Times New Roman"/>
                      <w:color w:val="auto"/>
                      <w:szCs w:val="21"/>
                      <w:highlight w:val="none"/>
                    </w:rPr>
                  </w:pPr>
                </w:p>
              </w:tc>
              <w:tc>
                <w:tcPr>
                  <w:tcW w:w="1252" w:type="dxa"/>
                  <w:vAlign w:val="center"/>
                </w:tcPr>
                <w:p w14:paraId="6733B70C">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二甲苯</w:t>
                  </w:r>
                  <w:r>
                    <w:rPr>
                      <w:rFonts w:hint="default" w:ascii="Times New Roman" w:hAnsi="Times New Roman" w:cs="Times New Roman"/>
                      <w:color w:val="auto"/>
                      <w:szCs w:val="21"/>
                      <w:highlight w:val="none"/>
                      <w:vertAlign w:val="superscript"/>
                    </w:rPr>
                    <w:t>注</w:t>
                  </w:r>
                  <w:r>
                    <w:rPr>
                      <w:rFonts w:hint="default" w:ascii="Times New Roman" w:hAnsi="Times New Roman" w:cs="Times New Roman"/>
                      <w:color w:val="auto"/>
                      <w:szCs w:val="21"/>
                      <w:highlight w:val="none"/>
                      <w:vertAlign w:val="superscript"/>
                      <w:lang w:val="en-US" w:eastAsia="zh-CN"/>
                    </w:rPr>
                    <w:t>1</w:t>
                  </w:r>
                </w:p>
              </w:tc>
              <w:tc>
                <w:tcPr>
                  <w:tcW w:w="1992" w:type="dxa"/>
                  <w:vAlign w:val="center"/>
                </w:tcPr>
                <w:p w14:paraId="46023F65">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60</w:t>
                  </w:r>
                </w:p>
              </w:tc>
              <w:tc>
                <w:tcPr>
                  <w:tcW w:w="3486" w:type="dxa"/>
                  <w:vMerge w:val="continue"/>
                  <w:vAlign w:val="center"/>
                </w:tcPr>
                <w:p w14:paraId="3CE8F6DB">
                  <w:pPr>
                    <w:adjustRightInd w:val="0"/>
                    <w:snapToGrid w:val="0"/>
                    <w:jc w:val="center"/>
                    <w:rPr>
                      <w:rFonts w:hint="default" w:ascii="Times New Roman" w:hAnsi="Times New Roman" w:cs="Times New Roman"/>
                      <w:color w:val="auto"/>
                      <w:szCs w:val="21"/>
                      <w:highlight w:val="none"/>
                    </w:rPr>
                  </w:pPr>
                </w:p>
              </w:tc>
            </w:tr>
            <w:tr w14:paraId="4252B6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8" w:hRule="atLeast"/>
                <w:jc w:val="center"/>
              </w:trPr>
              <w:tc>
                <w:tcPr>
                  <w:tcW w:w="1804" w:type="dxa"/>
                  <w:vMerge w:val="continue"/>
                  <w:vAlign w:val="center"/>
                </w:tcPr>
                <w:p w14:paraId="1A7FF80B">
                  <w:pPr>
                    <w:adjustRightInd w:val="0"/>
                    <w:snapToGrid w:val="0"/>
                    <w:jc w:val="center"/>
                    <w:rPr>
                      <w:rFonts w:hint="default" w:ascii="Times New Roman" w:hAnsi="Times New Roman" w:cs="Times New Roman"/>
                      <w:color w:val="auto"/>
                      <w:kern w:val="11"/>
                      <w:szCs w:val="21"/>
                      <w:highlight w:val="none"/>
                    </w:rPr>
                  </w:pPr>
                </w:p>
              </w:tc>
              <w:tc>
                <w:tcPr>
                  <w:tcW w:w="1252" w:type="dxa"/>
                  <w:vAlign w:val="center"/>
                </w:tcPr>
                <w:p w14:paraId="3A5B788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w:t>
                  </w:r>
                </w:p>
              </w:tc>
              <w:tc>
                <w:tcPr>
                  <w:tcW w:w="1992" w:type="dxa"/>
                  <w:vAlign w:val="center"/>
                </w:tcPr>
                <w:p w14:paraId="622B3478">
                  <w:pPr>
                    <w:adjustRightInd w:val="0"/>
                    <w:snapToGri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0</w:t>
                  </w:r>
                  <w:r>
                    <w:rPr>
                      <w:rFonts w:hint="default" w:ascii="Times New Roman" w:hAnsi="Times New Roman" w:cs="Times New Roman"/>
                      <w:color w:val="auto"/>
                      <w:szCs w:val="21"/>
                      <w:highlight w:val="none"/>
                      <w:vertAlign w:val="superscript"/>
                    </w:rPr>
                    <w:t>注</w:t>
                  </w:r>
                  <w:r>
                    <w:rPr>
                      <w:rFonts w:hint="default" w:ascii="Times New Roman" w:hAnsi="Times New Roman" w:cs="Times New Roman"/>
                      <w:color w:val="auto"/>
                      <w:szCs w:val="21"/>
                      <w:highlight w:val="none"/>
                      <w:vertAlign w:val="superscript"/>
                      <w:lang w:val="en-US" w:eastAsia="zh-CN"/>
                    </w:rPr>
                    <w:t>2</w:t>
                  </w:r>
                </w:p>
              </w:tc>
              <w:tc>
                <w:tcPr>
                  <w:tcW w:w="3486" w:type="dxa"/>
                  <w:vMerge w:val="continue"/>
                  <w:vAlign w:val="center"/>
                </w:tcPr>
                <w:p w14:paraId="535D6E06">
                  <w:pPr>
                    <w:adjustRightInd w:val="0"/>
                    <w:snapToGrid w:val="0"/>
                    <w:jc w:val="center"/>
                    <w:rPr>
                      <w:rFonts w:hint="default" w:ascii="Times New Roman" w:hAnsi="Times New Roman" w:cs="Times New Roman"/>
                      <w:color w:val="auto"/>
                      <w:szCs w:val="21"/>
                      <w:highlight w:val="none"/>
                    </w:rPr>
                  </w:pPr>
                </w:p>
              </w:tc>
            </w:tr>
            <w:tr w14:paraId="7D1313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3" w:hRule="atLeast"/>
                <w:jc w:val="center"/>
              </w:trPr>
              <w:tc>
                <w:tcPr>
                  <w:tcW w:w="8534" w:type="dxa"/>
                  <w:gridSpan w:val="4"/>
                  <w:vAlign w:val="center"/>
                </w:tcPr>
                <w:p w14:paraId="7A236F3A">
                  <w:pPr>
                    <w:adjustRightInd w:val="0"/>
                    <w:snapToGrid w:val="0"/>
                    <w:jc w:val="left"/>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备注：</w:t>
                  </w:r>
                </w:p>
                <w:p w14:paraId="3C6EFB95">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注1：二甲苯标准限值执行苯系物标准，苯系物包括苯、甲苯、二甲苯、三甲苯、乙苯和苯乙烯。</w:t>
                  </w:r>
                </w:p>
                <w:p w14:paraId="557B7A63">
                  <w:pPr>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注2：TVOC标准限值待国家污染物监测</w:t>
                  </w:r>
                  <w:r>
                    <w:rPr>
                      <w:rFonts w:hint="default" w:ascii="Times New Roman" w:hAnsi="Times New Roman" w:cs="Times New Roman"/>
                      <w:color w:val="auto"/>
                      <w:kern w:val="0"/>
                      <w:szCs w:val="21"/>
                      <w:highlight w:val="none"/>
                      <w:lang w:val="en-US" w:eastAsia="zh-CN"/>
                    </w:rPr>
                    <w:t>技术规定</w:t>
                  </w:r>
                  <w:r>
                    <w:rPr>
                      <w:rFonts w:hint="default" w:ascii="Times New Roman" w:hAnsi="Times New Roman" w:cs="Times New Roman"/>
                      <w:color w:val="auto"/>
                      <w:kern w:val="0"/>
                      <w:szCs w:val="21"/>
                      <w:highlight w:val="none"/>
                    </w:rPr>
                    <w:t>发布后实施。</w:t>
                  </w:r>
                </w:p>
              </w:tc>
            </w:tr>
          </w:tbl>
          <w:p w14:paraId="5FD9AF3E">
            <w:pPr>
              <w:widowControl/>
              <w:spacing w:line="360" w:lineRule="auto"/>
              <w:jc w:val="center"/>
              <w:rPr>
                <w:rFonts w:hint="default" w:ascii="Times New Roman" w:hAnsi="Times New Roman" w:cs="Times New Roman"/>
                <w:b/>
                <w:bCs/>
                <w:color w:val="auto"/>
                <w:kern w:val="0"/>
                <w:sz w:val="24"/>
                <w:highlight w:val="none"/>
                <w:lang w:val="ru-RU"/>
              </w:rPr>
            </w:pPr>
            <w:r>
              <w:rPr>
                <w:rFonts w:hint="default" w:ascii="Times New Roman" w:hAnsi="Times New Roman" w:cs="Times New Roman"/>
                <w:b/>
                <w:bCs/>
                <w:color w:val="auto"/>
                <w:kern w:val="0"/>
                <w:sz w:val="24"/>
                <w:highlight w:val="none"/>
                <w:lang w:val="ru-RU"/>
              </w:rPr>
              <w:t>表3-6 无组织废气排放标准</w:t>
            </w:r>
          </w:p>
          <w:tbl>
            <w:tblPr>
              <w:tblStyle w:val="26"/>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0"/>
              <w:gridCol w:w="989"/>
              <w:gridCol w:w="3073"/>
              <w:gridCol w:w="3085"/>
            </w:tblGrid>
            <w:tr w14:paraId="52C5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30" w:type="dxa"/>
                  <w:vMerge w:val="restart"/>
                  <w:vAlign w:val="center"/>
                </w:tcPr>
                <w:p w14:paraId="3D24D808">
                  <w:pPr>
                    <w:jc w:val="center"/>
                    <w:rPr>
                      <w:rFonts w:hint="default" w:ascii="Times New Roman" w:hAnsi="Times New Roman" w:cs="Times New Roman"/>
                      <w:b/>
                      <w:bCs/>
                      <w:color w:val="auto"/>
                      <w:kern w:val="0"/>
                      <w:szCs w:val="21"/>
                      <w:highlight w:val="none"/>
                      <w:lang w:val="ru-RU"/>
                    </w:rPr>
                  </w:pPr>
                  <w:r>
                    <w:rPr>
                      <w:rFonts w:hint="default" w:ascii="Times New Roman" w:hAnsi="Times New Roman" w:cs="Times New Roman"/>
                      <w:b/>
                      <w:bCs/>
                      <w:color w:val="auto"/>
                      <w:kern w:val="0"/>
                      <w:szCs w:val="21"/>
                      <w:highlight w:val="none"/>
                      <w:lang w:val="ru-RU"/>
                    </w:rPr>
                    <w:t>污染物</w:t>
                  </w:r>
                </w:p>
              </w:tc>
              <w:tc>
                <w:tcPr>
                  <w:tcW w:w="4062" w:type="dxa"/>
                  <w:gridSpan w:val="2"/>
                  <w:vAlign w:val="center"/>
                </w:tcPr>
                <w:p w14:paraId="49808412">
                  <w:pPr>
                    <w:widowControl/>
                    <w:jc w:val="center"/>
                    <w:rPr>
                      <w:rFonts w:hint="default" w:ascii="Times New Roman" w:hAnsi="Times New Roman" w:cs="Times New Roman"/>
                      <w:b/>
                      <w:bCs/>
                      <w:color w:val="auto"/>
                      <w:kern w:val="0"/>
                      <w:szCs w:val="21"/>
                      <w:highlight w:val="none"/>
                      <w:lang w:val="ru-RU"/>
                    </w:rPr>
                  </w:pPr>
                  <w:r>
                    <w:rPr>
                      <w:rFonts w:hint="default" w:ascii="Times New Roman" w:hAnsi="Times New Roman" w:cs="Times New Roman"/>
                      <w:b/>
                      <w:bCs/>
                      <w:color w:val="auto"/>
                      <w:kern w:val="0"/>
                      <w:szCs w:val="21"/>
                      <w:highlight w:val="none"/>
                      <w:lang w:val="ru-RU"/>
                    </w:rPr>
                    <w:t>无组织排放监控浓度限值</w:t>
                  </w:r>
                </w:p>
              </w:tc>
              <w:tc>
                <w:tcPr>
                  <w:tcW w:w="3085" w:type="dxa"/>
                  <w:vMerge w:val="restart"/>
                  <w:vAlign w:val="center"/>
                </w:tcPr>
                <w:p w14:paraId="62578639">
                  <w:pPr>
                    <w:widowControl/>
                    <w:jc w:val="center"/>
                    <w:rPr>
                      <w:rFonts w:hint="default" w:ascii="Times New Roman" w:hAnsi="Times New Roman" w:cs="Times New Roman"/>
                      <w:b/>
                      <w:bCs/>
                      <w:color w:val="auto"/>
                      <w:kern w:val="0"/>
                      <w:szCs w:val="21"/>
                      <w:highlight w:val="none"/>
                      <w:lang w:val="ru-RU"/>
                    </w:rPr>
                  </w:pPr>
                  <w:r>
                    <w:rPr>
                      <w:rFonts w:hint="default" w:ascii="Times New Roman" w:hAnsi="Times New Roman" w:cs="Times New Roman"/>
                      <w:b/>
                      <w:bCs/>
                      <w:color w:val="auto"/>
                      <w:kern w:val="0"/>
                      <w:szCs w:val="21"/>
                      <w:highlight w:val="none"/>
                      <w:lang w:val="ru-RU"/>
                    </w:rPr>
                    <w:t>标准来源</w:t>
                  </w:r>
                </w:p>
              </w:tc>
            </w:tr>
            <w:tr w14:paraId="39F4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430" w:type="dxa"/>
                  <w:vMerge w:val="continue"/>
                  <w:vAlign w:val="center"/>
                </w:tcPr>
                <w:p w14:paraId="6D233981">
                  <w:pPr>
                    <w:widowControl/>
                    <w:jc w:val="center"/>
                    <w:rPr>
                      <w:rFonts w:hint="default" w:ascii="Times New Roman" w:hAnsi="Times New Roman" w:cs="Times New Roman"/>
                      <w:b/>
                      <w:bCs/>
                      <w:color w:val="auto"/>
                      <w:kern w:val="0"/>
                      <w:szCs w:val="21"/>
                      <w:highlight w:val="none"/>
                      <w:lang w:val="ru-RU"/>
                    </w:rPr>
                  </w:pPr>
                </w:p>
              </w:tc>
              <w:tc>
                <w:tcPr>
                  <w:tcW w:w="989" w:type="dxa"/>
                  <w:vAlign w:val="center"/>
                </w:tcPr>
                <w:p w14:paraId="7B61F54F">
                  <w:pPr>
                    <w:widowControl/>
                    <w:jc w:val="center"/>
                    <w:rPr>
                      <w:rFonts w:hint="default" w:ascii="Times New Roman" w:hAnsi="Times New Roman" w:cs="Times New Roman"/>
                      <w:b/>
                      <w:bCs/>
                      <w:color w:val="auto"/>
                      <w:kern w:val="0"/>
                      <w:szCs w:val="21"/>
                      <w:highlight w:val="none"/>
                      <w:lang w:val="ru-RU"/>
                    </w:rPr>
                  </w:pPr>
                  <w:r>
                    <w:rPr>
                      <w:rFonts w:hint="default" w:ascii="Times New Roman" w:hAnsi="Times New Roman" w:cs="Times New Roman"/>
                      <w:b/>
                      <w:bCs/>
                      <w:color w:val="auto"/>
                      <w:kern w:val="0"/>
                      <w:szCs w:val="21"/>
                      <w:highlight w:val="none"/>
                      <w:lang w:val="ru-RU"/>
                    </w:rPr>
                    <w:t>监测点</w:t>
                  </w:r>
                </w:p>
              </w:tc>
              <w:tc>
                <w:tcPr>
                  <w:tcW w:w="3073" w:type="dxa"/>
                  <w:vAlign w:val="center"/>
                </w:tcPr>
                <w:p w14:paraId="780CC3D1">
                  <w:pPr>
                    <w:widowControl/>
                    <w:jc w:val="center"/>
                    <w:rPr>
                      <w:rFonts w:hint="default" w:ascii="Times New Roman" w:hAnsi="Times New Roman" w:cs="Times New Roman"/>
                      <w:b/>
                      <w:bCs/>
                      <w:color w:val="auto"/>
                      <w:kern w:val="0"/>
                      <w:szCs w:val="21"/>
                      <w:highlight w:val="none"/>
                      <w:lang w:val="ru-RU"/>
                    </w:rPr>
                  </w:pPr>
                  <w:r>
                    <w:rPr>
                      <w:rFonts w:hint="default" w:ascii="Times New Roman" w:hAnsi="Times New Roman" w:cs="Times New Roman"/>
                      <w:b/>
                      <w:bCs/>
                      <w:color w:val="auto"/>
                      <w:kern w:val="0"/>
                      <w:szCs w:val="21"/>
                      <w:highlight w:val="none"/>
                      <w:lang w:val="ru-RU"/>
                    </w:rPr>
                    <w:t>最高允许排放浓度mg/m</w:t>
                  </w:r>
                  <w:r>
                    <w:rPr>
                      <w:rFonts w:hint="default" w:ascii="Times New Roman" w:hAnsi="Times New Roman" w:cs="Times New Roman"/>
                      <w:b/>
                      <w:bCs/>
                      <w:color w:val="auto"/>
                      <w:kern w:val="0"/>
                      <w:szCs w:val="21"/>
                      <w:highlight w:val="none"/>
                      <w:vertAlign w:val="superscript"/>
                      <w:lang w:val="ru-RU"/>
                    </w:rPr>
                    <w:t>3</w:t>
                  </w:r>
                </w:p>
              </w:tc>
              <w:tc>
                <w:tcPr>
                  <w:tcW w:w="3085" w:type="dxa"/>
                  <w:vMerge w:val="continue"/>
                  <w:vAlign w:val="center"/>
                </w:tcPr>
                <w:p w14:paraId="1CC12D54">
                  <w:pPr>
                    <w:widowControl/>
                    <w:jc w:val="center"/>
                    <w:rPr>
                      <w:rFonts w:hint="default" w:ascii="Times New Roman" w:hAnsi="Times New Roman" w:cs="Times New Roman"/>
                      <w:b/>
                      <w:bCs/>
                      <w:color w:val="auto"/>
                      <w:kern w:val="0"/>
                      <w:szCs w:val="21"/>
                      <w:highlight w:val="none"/>
                      <w:lang w:val="ru-RU"/>
                    </w:rPr>
                  </w:pPr>
                </w:p>
              </w:tc>
            </w:tr>
            <w:tr w14:paraId="3976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430" w:type="dxa"/>
                  <w:vAlign w:val="center"/>
                </w:tcPr>
                <w:p w14:paraId="78E43E87">
                  <w:pPr>
                    <w:widowControl/>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kern w:val="0"/>
                      <w:szCs w:val="21"/>
                      <w:highlight w:val="none"/>
                      <w:lang w:val="ru-RU"/>
                    </w:rPr>
                    <w:t>颗粒物</w:t>
                  </w:r>
                </w:p>
              </w:tc>
              <w:tc>
                <w:tcPr>
                  <w:tcW w:w="989" w:type="dxa"/>
                  <w:vMerge w:val="restart"/>
                  <w:vAlign w:val="center"/>
                </w:tcPr>
                <w:p w14:paraId="673FC67D">
                  <w:pPr>
                    <w:widowControl/>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kern w:val="0"/>
                      <w:szCs w:val="21"/>
                      <w:highlight w:val="none"/>
                      <w:lang w:val="ru-RU"/>
                    </w:rPr>
                    <w:t>厂界</w:t>
                  </w:r>
                </w:p>
              </w:tc>
              <w:tc>
                <w:tcPr>
                  <w:tcW w:w="3073" w:type="dxa"/>
                  <w:vAlign w:val="center"/>
                </w:tcPr>
                <w:p w14:paraId="14AE9695">
                  <w:pPr>
                    <w:widowControl/>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kern w:val="0"/>
                      <w:szCs w:val="21"/>
                      <w:highlight w:val="none"/>
                      <w:lang w:val="ru-RU"/>
                    </w:rPr>
                    <w:t>1.0</w:t>
                  </w:r>
                </w:p>
              </w:tc>
              <w:tc>
                <w:tcPr>
                  <w:tcW w:w="3085" w:type="dxa"/>
                  <w:vMerge w:val="restart"/>
                  <w:vAlign w:val="center"/>
                </w:tcPr>
                <w:p w14:paraId="08D39E8F">
                  <w:pPr>
                    <w:widowControl/>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kern w:val="0"/>
                      <w:szCs w:val="21"/>
                      <w:highlight w:val="none"/>
                      <w:lang w:val="ru-RU"/>
                    </w:rPr>
                    <w:t>广东省《大气污染物排放限值》（DB44/27-2001）第二时段无组织排放监控浓度限值</w:t>
                  </w:r>
                </w:p>
              </w:tc>
            </w:tr>
            <w:tr w14:paraId="6C8D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430" w:type="dxa"/>
                  <w:vAlign w:val="center"/>
                </w:tcPr>
                <w:p w14:paraId="14C8A02B">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非甲烷总烃</w:t>
                  </w:r>
                </w:p>
              </w:tc>
              <w:tc>
                <w:tcPr>
                  <w:tcW w:w="989" w:type="dxa"/>
                  <w:vMerge w:val="continue"/>
                  <w:vAlign w:val="center"/>
                </w:tcPr>
                <w:p w14:paraId="6FB54325">
                  <w:pPr>
                    <w:widowControl/>
                    <w:jc w:val="center"/>
                    <w:rPr>
                      <w:rFonts w:hint="default" w:ascii="Times New Roman" w:hAnsi="Times New Roman" w:cs="Times New Roman"/>
                      <w:color w:val="auto"/>
                      <w:kern w:val="0"/>
                      <w:szCs w:val="21"/>
                      <w:highlight w:val="none"/>
                      <w:lang w:val="ru-RU"/>
                    </w:rPr>
                  </w:pPr>
                </w:p>
              </w:tc>
              <w:tc>
                <w:tcPr>
                  <w:tcW w:w="3073" w:type="dxa"/>
                  <w:vAlign w:val="center"/>
                </w:tcPr>
                <w:p w14:paraId="17DDE51E">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w:t>
                  </w:r>
                </w:p>
              </w:tc>
              <w:tc>
                <w:tcPr>
                  <w:tcW w:w="3085" w:type="dxa"/>
                  <w:vMerge w:val="continue"/>
                  <w:vAlign w:val="center"/>
                </w:tcPr>
                <w:p w14:paraId="36AB8159">
                  <w:pPr>
                    <w:widowControl/>
                    <w:jc w:val="center"/>
                    <w:rPr>
                      <w:rFonts w:hint="default" w:ascii="Times New Roman" w:hAnsi="Times New Roman" w:cs="Times New Roman"/>
                      <w:color w:val="auto"/>
                      <w:kern w:val="0"/>
                      <w:szCs w:val="21"/>
                      <w:highlight w:val="none"/>
                    </w:rPr>
                  </w:pPr>
                </w:p>
              </w:tc>
            </w:tr>
            <w:tr w14:paraId="37E6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30" w:type="dxa"/>
                  <w:vMerge w:val="restart"/>
                  <w:vAlign w:val="center"/>
                </w:tcPr>
                <w:p w14:paraId="1D68E784">
                  <w:pPr>
                    <w:widowControl/>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kern w:val="0"/>
                      <w:szCs w:val="21"/>
                      <w:highlight w:val="none"/>
                      <w:lang w:val="ru-RU"/>
                    </w:rPr>
                    <w:t>NMHC</w:t>
                  </w:r>
                </w:p>
              </w:tc>
              <w:tc>
                <w:tcPr>
                  <w:tcW w:w="989" w:type="dxa"/>
                  <w:vMerge w:val="restart"/>
                  <w:vAlign w:val="center"/>
                </w:tcPr>
                <w:p w14:paraId="5C867DA8">
                  <w:pPr>
                    <w:widowControl/>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kern w:val="0"/>
                      <w:szCs w:val="21"/>
                      <w:highlight w:val="none"/>
                      <w:lang w:val="ru-RU"/>
                    </w:rPr>
                    <w:t>厂区内</w:t>
                  </w:r>
                </w:p>
              </w:tc>
              <w:tc>
                <w:tcPr>
                  <w:tcW w:w="3073" w:type="dxa"/>
                  <w:vAlign w:val="center"/>
                </w:tcPr>
                <w:p w14:paraId="2E8F738B">
                  <w:pPr>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szCs w:val="21"/>
                      <w:highlight w:val="none"/>
                      <w:lang w:val="en-US" w:eastAsia="zh-CN"/>
                    </w:rPr>
                    <w:t>10</w:t>
                  </w:r>
                  <w:r>
                    <w:rPr>
                      <w:rFonts w:hint="default" w:ascii="Times New Roman" w:hAnsi="Times New Roman" w:cs="Times New Roman"/>
                      <w:color w:val="auto"/>
                      <w:szCs w:val="21"/>
                      <w:highlight w:val="none"/>
                    </w:rPr>
                    <w:t>（监控点处1h平均浓度值）</w:t>
                  </w:r>
                </w:p>
              </w:tc>
              <w:tc>
                <w:tcPr>
                  <w:tcW w:w="3085" w:type="dxa"/>
                  <w:vMerge w:val="restart"/>
                  <w:vAlign w:val="center"/>
                </w:tcPr>
                <w:p w14:paraId="50506959">
                  <w:pPr>
                    <w:jc w:val="center"/>
                    <w:rPr>
                      <w:rFonts w:hint="default" w:ascii="Times New Roman" w:hAnsi="Times New Roman" w:cs="Times New Roman"/>
                      <w:color w:val="auto"/>
                      <w:szCs w:val="21"/>
                      <w:highlight w:val="none"/>
                    </w:rPr>
                  </w:pPr>
                  <w:r>
                    <w:rPr>
                      <w:rStyle w:val="130"/>
                      <w:rFonts w:hint="default" w:ascii="Times New Roman" w:hAnsi="Times New Roman" w:cs="Times New Roman"/>
                      <w:color w:val="auto"/>
                      <w:sz w:val="21"/>
                      <w:szCs w:val="21"/>
                      <w:highlight w:val="none"/>
                      <w:lang w:val="en-US" w:eastAsia="zh-CN"/>
                    </w:rPr>
                    <w:t>《铸造工业大气污染物排放标准》（GB 39726—2020）表A.1厂区内颗粒物、VOCs无组织排放限值</w:t>
                  </w:r>
                </w:p>
              </w:tc>
            </w:tr>
            <w:tr w14:paraId="73BD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430" w:type="dxa"/>
                  <w:vMerge w:val="continue"/>
                  <w:vAlign w:val="center"/>
                </w:tcPr>
                <w:p w14:paraId="18C8FCE5">
                  <w:pPr>
                    <w:widowControl/>
                    <w:jc w:val="center"/>
                    <w:rPr>
                      <w:rFonts w:hint="default" w:ascii="Times New Roman" w:hAnsi="Times New Roman" w:cs="Times New Roman"/>
                      <w:color w:val="auto"/>
                      <w:kern w:val="0"/>
                      <w:szCs w:val="21"/>
                      <w:highlight w:val="none"/>
                      <w:lang w:val="ru-RU"/>
                    </w:rPr>
                  </w:pPr>
                </w:p>
              </w:tc>
              <w:tc>
                <w:tcPr>
                  <w:tcW w:w="989" w:type="dxa"/>
                  <w:vMerge w:val="continue"/>
                  <w:vAlign w:val="center"/>
                </w:tcPr>
                <w:p w14:paraId="719A95D6">
                  <w:pPr>
                    <w:widowControl/>
                    <w:jc w:val="center"/>
                    <w:rPr>
                      <w:rFonts w:hint="default" w:ascii="Times New Roman" w:hAnsi="Times New Roman" w:cs="Times New Roman"/>
                      <w:color w:val="auto"/>
                      <w:kern w:val="0"/>
                      <w:szCs w:val="21"/>
                      <w:highlight w:val="none"/>
                      <w:lang w:val="ru-RU"/>
                    </w:rPr>
                  </w:pPr>
                </w:p>
              </w:tc>
              <w:tc>
                <w:tcPr>
                  <w:tcW w:w="3073" w:type="dxa"/>
                  <w:vAlign w:val="center"/>
                </w:tcPr>
                <w:p w14:paraId="527318DE">
                  <w:pPr>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0（监控点处任意一次浓度值）</w:t>
                  </w:r>
                </w:p>
              </w:tc>
              <w:tc>
                <w:tcPr>
                  <w:tcW w:w="3085" w:type="dxa"/>
                  <w:vMerge w:val="continue"/>
                  <w:vAlign w:val="center"/>
                </w:tcPr>
                <w:p w14:paraId="248DECAB">
                  <w:pPr>
                    <w:jc w:val="center"/>
                    <w:rPr>
                      <w:rFonts w:hint="default" w:ascii="Times New Roman" w:hAnsi="Times New Roman" w:cs="Times New Roman"/>
                      <w:color w:val="auto"/>
                      <w:szCs w:val="21"/>
                      <w:highlight w:val="none"/>
                    </w:rPr>
                  </w:pPr>
                </w:p>
              </w:tc>
            </w:tr>
            <w:tr w14:paraId="2A00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430" w:type="dxa"/>
                  <w:vAlign w:val="center"/>
                </w:tcPr>
                <w:p w14:paraId="22AAC122">
                  <w:pPr>
                    <w:widowControl/>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颗粒物</w:t>
                  </w:r>
                </w:p>
              </w:tc>
              <w:tc>
                <w:tcPr>
                  <w:tcW w:w="989" w:type="dxa"/>
                  <w:vMerge w:val="continue"/>
                  <w:vAlign w:val="center"/>
                </w:tcPr>
                <w:p w14:paraId="035D5E24">
                  <w:pPr>
                    <w:widowControl/>
                    <w:jc w:val="center"/>
                    <w:rPr>
                      <w:rFonts w:hint="default" w:ascii="Times New Roman" w:hAnsi="Times New Roman" w:cs="Times New Roman"/>
                      <w:color w:val="auto"/>
                      <w:kern w:val="0"/>
                      <w:szCs w:val="21"/>
                      <w:highlight w:val="none"/>
                      <w:lang w:val="ru-RU"/>
                    </w:rPr>
                  </w:pPr>
                </w:p>
              </w:tc>
              <w:tc>
                <w:tcPr>
                  <w:tcW w:w="3073" w:type="dxa"/>
                  <w:vAlign w:val="center"/>
                </w:tcPr>
                <w:p w14:paraId="6FFEF6EA">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（监控点处1h平均浓度值）</w:t>
                  </w:r>
                </w:p>
              </w:tc>
              <w:tc>
                <w:tcPr>
                  <w:tcW w:w="3085" w:type="dxa"/>
                  <w:vMerge w:val="continue"/>
                  <w:vAlign w:val="center"/>
                </w:tcPr>
                <w:p w14:paraId="67A84AFE">
                  <w:pPr>
                    <w:jc w:val="center"/>
                    <w:rPr>
                      <w:rFonts w:hint="default" w:ascii="Times New Roman" w:hAnsi="Times New Roman" w:cs="Times New Roman"/>
                      <w:color w:val="auto"/>
                      <w:szCs w:val="21"/>
                      <w:highlight w:val="none"/>
                    </w:rPr>
                  </w:pPr>
                </w:p>
              </w:tc>
            </w:tr>
          </w:tbl>
          <w:p w14:paraId="3A39ADA8">
            <w:pPr>
              <w:spacing w:line="360" w:lineRule="auto"/>
              <w:ind w:firstLine="482" w:firstLineChars="200"/>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3、噪声</w:t>
            </w:r>
          </w:p>
          <w:p w14:paraId="51C7D022">
            <w:pPr>
              <w:snapToGrid w:val="0"/>
              <w:spacing w:before="120" w:beforeLines="50" w:line="360" w:lineRule="auto"/>
              <w:ind w:firstLine="480" w:firstLineChars="200"/>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本项目运营期厂界执行《工业企业厂界环境噪声排放标准》（GB12348-2008）中的3类标准。具体标准值见表3-7。</w:t>
            </w:r>
          </w:p>
          <w:p w14:paraId="79889AD7">
            <w:pPr>
              <w:snapToGrid w:val="0"/>
              <w:spacing w:before="120" w:beforeLines="50"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表3-7  工业企业厂界环境噪声排放标准  单位：Leq dB(A)</w:t>
            </w:r>
          </w:p>
          <w:tbl>
            <w:tblPr>
              <w:tblStyle w:val="26"/>
              <w:tblW w:w="8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57"/>
              <w:gridCol w:w="2389"/>
              <w:gridCol w:w="2417"/>
            </w:tblGrid>
            <w:tr w14:paraId="2EC3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3757" w:type="dxa"/>
                  <w:vAlign w:val="center"/>
                </w:tcPr>
                <w:p w14:paraId="08A918EE">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厂界外声环境功能区类别</w:t>
                  </w:r>
                </w:p>
              </w:tc>
              <w:tc>
                <w:tcPr>
                  <w:tcW w:w="2389" w:type="dxa"/>
                  <w:vAlign w:val="center"/>
                </w:tcPr>
                <w:p w14:paraId="5A2E0873">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昼间</w:t>
                  </w:r>
                </w:p>
              </w:tc>
              <w:tc>
                <w:tcPr>
                  <w:tcW w:w="2417" w:type="dxa"/>
                  <w:vAlign w:val="center"/>
                </w:tcPr>
                <w:p w14:paraId="33070124">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夜间</w:t>
                  </w:r>
                </w:p>
              </w:tc>
            </w:tr>
            <w:tr w14:paraId="073F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3757" w:type="dxa"/>
                  <w:vAlign w:val="center"/>
                </w:tcPr>
                <w:p w14:paraId="1D5EC4CB">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3类</w:t>
                  </w:r>
                </w:p>
              </w:tc>
              <w:tc>
                <w:tcPr>
                  <w:tcW w:w="2389" w:type="dxa"/>
                  <w:vAlign w:val="center"/>
                </w:tcPr>
                <w:p w14:paraId="57B05937">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65</w:t>
                  </w:r>
                </w:p>
              </w:tc>
              <w:tc>
                <w:tcPr>
                  <w:tcW w:w="2417" w:type="dxa"/>
                  <w:vAlign w:val="center"/>
                </w:tcPr>
                <w:p w14:paraId="235B7909">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55</w:t>
                  </w:r>
                </w:p>
              </w:tc>
            </w:tr>
          </w:tbl>
          <w:p w14:paraId="197773F0">
            <w:pPr>
              <w:spacing w:line="360" w:lineRule="auto"/>
              <w:ind w:firstLine="482" w:firstLineChars="200"/>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4、固体废物</w:t>
            </w:r>
          </w:p>
          <w:p w14:paraId="16A77CC1">
            <w:pPr>
              <w:adjustRightInd w:val="0"/>
              <w:snapToGrid w:val="0"/>
              <w:spacing w:line="360" w:lineRule="auto"/>
              <w:ind w:firstLine="480"/>
              <w:rPr>
                <w:rFonts w:hint="default" w:ascii="Times New Roman" w:hAnsi="Times New Roman" w:cs="Times New Roman"/>
                <w:color w:val="auto"/>
                <w:kern w:val="0"/>
                <w:szCs w:val="21"/>
                <w:highlight w:val="none"/>
              </w:rPr>
            </w:pPr>
            <w:r>
              <w:rPr>
                <w:rFonts w:hint="default" w:ascii="Times New Roman" w:hAnsi="Times New Roman" w:cs="Times New Roman"/>
                <w:color w:val="auto"/>
                <w:sz w:val="24"/>
                <w:highlight w:val="none"/>
              </w:rPr>
              <w:t>固体废物管理遵照《中华人民共和国固体废物污染环境防治法》、《广东省固体废物污染环境防治条例》执行，一般固体废物执行《一般工业固体废物贮存和填埋污染控制标准》（GB18599-2020）。危险废物执行《危险废物贮存污染控制标准》（GB18597-2023）。</w:t>
            </w:r>
          </w:p>
        </w:tc>
      </w:tr>
      <w:tr w14:paraId="250F8A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800" w:type="dxa"/>
            <w:vAlign w:val="center"/>
          </w:tcPr>
          <w:p w14:paraId="1EC2852C">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总量</w:t>
            </w:r>
          </w:p>
          <w:p w14:paraId="277BA1E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控制</w:t>
            </w:r>
          </w:p>
          <w:p w14:paraId="4D00031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指标</w:t>
            </w:r>
          </w:p>
        </w:tc>
        <w:tc>
          <w:tcPr>
            <w:tcW w:w="8731" w:type="dxa"/>
            <w:vAlign w:val="center"/>
          </w:tcPr>
          <w:p w14:paraId="1483B58B">
            <w:pPr>
              <w:widowControl/>
              <w:spacing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根据《韶关市生态环境保护“十四五”规划》（韶府办[2022]1号，纳入总量控制的污染物为化学需氧量（CODcr）、氨氮（NH3-N）、氮氧化物（NOx）、挥发性有机物（TVOC）。</w:t>
            </w:r>
          </w:p>
          <w:p w14:paraId="1270E79A">
            <w:pPr>
              <w:widowControl/>
              <w:spacing w:line="360" w:lineRule="auto"/>
              <w:ind w:firstLine="480" w:firstLineChars="200"/>
              <w:jc w:val="left"/>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sz w:val="24"/>
                <w:highlight w:val="none"/>
              </w:rPr>
              <w:t>本项目排放的挥发性有机物的排放量为</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eastAsia="zh-CN" w:bidi="ar"/>
              </w:rPr>
              <w:t>0.</w:t>
            </w:r>
            <w:r>
              <w:rPr>
                <w:rFonts w:hint="default" w:ascii="Times New Roman" w:hAnsi="Times New Roman" w:cs="Times New Roman"/>
                <w:color w:val="auto"/>
                <w:kern w:val="0"/>
                <w:sz w:val="24"/>
                <w:highlight w:val="none"/>
                <w:lang w:val="en-US" w:eastAsia="zh-CN" w:bidi="ar"/>
              </w:rPr>
              <w:t>343</w:t>
            </w:r>
            <w:r>
              <w:rPr>
                <w:rFonts w:hint="default" w:ascii="Times New Roman" w:hAnsi="Times New Roman" w:cs="Times New Roman"/>
                <w:color w:val="auto"/>
                <w:kern w:val="0"/>
                <w:sz w:val="24"/>
                <w:highlight w:val="none"/>
              </w:rPr>
              <w:t>t/a（有组织排放量</w:t>
            </w:r>
            <w:r>
              <w:rPr>
                <w:rFonts w:hint="default" w:ascii="Times New Roman" w:hAnsi="Times New Roman" w:cs="Times New Roman"/>
                <w:color w:val="auto"/>
                <w:kern w:val="0"/>
                <w:sz w:val="24"/>
                <w:highlight w:val="none"/>
                <w:lang w:bidi="ar"/>
              </w:rPr>
              <w:t>0.</w:t>
            </w:r>
            <w:r>
              <w:rPr>
                <w:rFonts w:hint="default" w:ascii="Times New Roman" w:hAnsi="Times New Roman" w:cs="Times New Roman"/>
                <w:color w:val="auto"/>
                <w:kern w:val="0"/>
                <w:sz w:val="24"/>
                <w:highlight w:val="none"/>
                <w:lang w:val="en-US" w:eastAsia="zh-CN" w:bidi="ar"/>
              </w:rPr>
              <w:t>180</w:t>
            </w:r>
            <w:r>
              <w:rPr>
                <w:rFonts w:hint="default" w:ascii="Times New Roman" w:hAnsi="Times New Roman" w:cs="Times New Roman"/>
                <w:color w:val="auto"/>
                <w:kern w:val="0"/>
                <w:sz w:val="24"/>
                <w:highlight w:val="none"/>
              </w:rPr>
              <w:t>t/a，无组织排放量</w:t>
            </w:r>
            <w:r>
              <w:rPr>
                <w:rFonts w:hint="default" w:ascii="Times New Roman" w:hAnsi="Times New Roman" w:cs="Times New Roman"/>
                <w:color w:val="auto"/>
                <w:kern w:val="0"/>
                <w:sz w:val="24"/>
                <w:highlight w:val="none"/>
                <w:lang w:bidi="ar"/>
              </w:rPr>
              <w:t>0.</w:t>
            </w:r>
            <w:r>
              <w:rPr>
                <w:rFonts w:hint="default" w:ascii="Times New Roman" w:hAnsi="Times New Roman" w:cs="Times New Roman"/>
                <w:color w:val="auto"/>
                <w:kern w:val="0"/>
                <w:sz w:val="24"/>
                <w:highlight w:val="none"/>
                <w:lang w:val="en-US" w:eastAsia="zh-CN" w:bidi="ar"/>
              </w:rPr>
              <w:t>163</w:t>
            </w:r>
            <w:r>
              <w:rPr>
                <w:rFonts w:hint="default" w:ascii="Times New Roman" w:hAnsi="Times New Roman" w:cs="Times New Roman"/>
                <w:color w:val="auto"/>
                <w:kern w:val="0"/>
                <w:sz w:val="24"/>
                <w:highlight w:val="none"/>
                <w:lang w:bidi="ar"/>
              </w:rPr>
              <w:t>t</w:t>
            </w:r>
            <w:r>
              <w:rPr>
                <w:rFonts w:hint="default" w:ascii="Times New Roman" w:hAnsi="Times New Roman" w:cs="Times New Roman"/>
                <w:color w:val="auto"/>
                <w:kern w:val="0"/>
                <w:sz w:val="24"/>
                <w:highlight w:val="none"/>
              </w:rPr>
              <w:t>/a）</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根据</w:t>
            </w:r>
            <w:r>
              <w:rPr>
                <w:rFonts w:hint="default" w:ascii="Times New Roman" w:hAnsi="Times New Roman" w:cs="Times New Roman"/>
                <w:color w:val="auto"/>
                <w:sz w:val="24"/>
                <w:highlight w:val="none"/>
              </w:rPr>
              <w:t>《韶关市“三线一单”生态环境分区管控方案》（韶府[2021]10号）、《韶关市人民政府关于印发韶关市生态环境分区管控动态更新成果的通知》（韶环[2024]103号）</w:t>
            </w:r>
            <w:r>
              <w:rPr>
                <w:rFonts w:hint="default" w:ascii="Times New Roman" w:hAnsi="Times New Roman" w:cs="Times New Roman"/>
                <w:color w:val="auto"/>
                <w:kern w:val="0"/>
                <w:sz w:val="24"/>
                <w:highlight w:val="none"/>
              </w:rPr>
              <w:t>要求</w:t>
            </w:r>
            <w:r>
              <w:rPr>
                <w:rFonts w:hint="default" w:ascii="Times New Roman" w:hAnsi="Times New Roman" w:cs="Times New Roman"/>
                <w:color w:val="auto"/>
                <w:sz w:val="24"/>
                <w:highlight w:val="none"/>
              </w:rPr>
              <w:t>：“</w:t>
            </w:r>
            <w:r>
              <w:rPr>
                <w:rFonts w:hint="default" w:ascii="Times New Roman" w:hAnsi="Times New Roman" w:cs="Times New Roman"/>
                <w:color w:val="auto"/>
                <w:kern w:val="0"/>
                <w:sz w:val="24"/>
                <w:highlight w:val="none"/>
              </w:rPr>
              <w:t>新建项目原则上实施氮氧化物、挥发性有机物排放量等量替代”</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根据前文</w:t>
            </w:r>
            <w:r>
              <w:rPr>
                <w:rFonts w:hint="default" w:ascii="Times New Roman" w:hAnsi="Times New Roman" w:cs="Times New Roman"/>
                <w:color w:val="auto"/>
                <w:kern w:val="0"/>
                <w:sz w:val="24"/>
                <w:szCs w:val="24"/>
                <w:highlight w:val="none"/>
                <w:lang w:val="en-US" w:eastAsia="zh-CN"/>
              </w:rPr>
              <w:t>“</w:t>
            </w:r>
            <w:r>
              <w:rPr>
                <w:rFonts w:hint="default" w:ascii="Times New Roman" w:hAnsi="Times New Roman" w:cs="Times New Roman"/>
                <w:bCs/>
                <w:color w:val="auto"/>
                <w:kern w:val="2"/>
                <w:sz w:val="24"/>
                <w:szCs w:val="24"/>
                <w:highlight w:val="none"/>
              </w:rPr>
              <w:t>与项目有关的原有环境污染问题</w:t>
            </w:r>
            <w:r>
              <w:rPr>
                <w:rFonts w:hint="default" w:ascii="Times New Roman" w:hAnsi="Times New Roman" w:cs="Times New Roman"/>
                <w:bCs/>
                <w:color w:val="auto"/>
                <w:kern w:val="2"/>
                <w:sz w:val="24"/>
                <w:szCs w:val="24"/>
                <w:highlight w:val="none"/>
                <w:lang w:eastAsia="zh-CN"/>
              </w:rPr>
              <w:t>”</w:t>
            </w:r>
            <w:r>
              <w:rPr>
                <w:rFonts w:hint="default" w:ascii="Times New Roman" w:hAnsi="Times New Roman" w:cs="Times New Roman"/>
                <w:bCs/>
                <w:color w:val="auto"/>
                <w:kern w:val="2"/>
                <w:sz w:val="24"/>
                <w:szCs w:val="24"/>
                <w:highlight w:val="none"/>
                <w:lang w:val="en-US" w:eastAsia="zh-CN"/>
              </w:rPr>
              <w:t>分析，</w:t>
            </w:r>
            <w:r>
              <w:rPr>
                <w:rFonts w:hint="default" w:ascii="Times New Roman" w:hAnsi="Times New Roman" w:cs="Times New Roman"/>
                <w:b w:val="0"/>
                <w:bCs w:val="0"/>
                <w:color w:val="auto"/>
                <w:sz w:val="24"/>
                <w:szCs w:val="24"/>
                <w:lang w:val="en-US" w:eastAsia="zh-CN"/>
              </w:rPr>
              <w:t>取消原计划中的五期树脂砂铸造生产线（产能：铸铁件4000t/a）的工程建设内容后可削减0.4075t/a（0.35+0.0575=0.4075）的挥发性有机物总量，</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以新带老”削减挥发性有机物排放量为0.059t/a，综上，原项目共削减挥发性有机物总量0.4665t/a（0.4075+0.059=0.4665）。本项目新增挥发性有机物排放量为0.343t/a，通过取消原计划工程及“以新带老”措施共计可获得0.4665t/a的挥发性有机物替代总量指标。由于0.4665t/a&gt;0.343t/a，本项目挥发性有机物排放总量指标来源明确、充足，满足“等量替代”要求，无需额外申请总量指标。</w:t>
            </w:r>
          </w:p>
          <w:p w14:paraId="45C83CB6">
            <w:pPr>
              <w:jc w:val="center"/>
              <w:rPr>
                <w:rFonts w:hint="default" w:ascii="Times New Roman" w:hAnsi="Times New Roman" w:eastAsia="宋体" w:cs="Times New Roman"/>
                <w:b/>
                <w:color w:val="auto"/>
                <w:sz w:val="24"/>
                <w:szCs w:val="24"/>
                <w:lang w:val="en-US" w:eastAsia="zh-CN"/>
              </w:rPr>
            </w:pPr>
            <w:r>
              <w:rPr>
                <w:rFonts w:hint="default" w:ascii="Times New Roman" w:hAnsi="Times New Roman" w:cs="Times New Roman"/>
                <w:b/>
                <w:bCs/>
                <w:color w:val="auto"/>
                <w:kern w:val="0"/>
                <w:sz w:val="24"/>
                <w:szCs w:val="24"/>
              </w:rPr>
              <w:t>表</w:t>
            </w:r>
            <w:r>
              <w:rPr>
                <w:rFonts w:hint="default" w:ascii="Times New Roman" w:hAnsi="Times New Roman" w:cs="Times New Roman"/>
                <w:b/>
                <w:bCs/>
                <w:color w:val="auto"/>
                <w:kern w:val="0"/>
                <w:sz w:val="24"/>
                <w:szCs w:val="24"/>
                <w:lang w:val="en-US" w:eastAsia="zh-CN"/>
              </w:rPr>
              <w:t>3-8</w:t>
            </w:r>
            <w:r>
              <w:rPr>
                <w:rFonts w:hint="default" w:ascii="Times New Roman" w:hAnsi="Times New Roman" w:cs="Times New Roman"/>
                <w:b/>
                <w:color w:val="auto"/>
                <w:sz w:val="24"/>
                <w:szCs w:val="24"/>
              </w:rPr>
              <w:t xml:space="preserve"> 本项目</w:t>
            </w:r>
            <w:r>
              <w:rPr>
                <w:rFonts w:hint="default" w:ascii="Times New Roman" w:hAnsi="Times New Roman" w:cs="Times New Roman"/>
                <w:b/>
                <w:color w:val="auto"/>
                <w:sz w:val="24"/>
                <w:szCs w:val="24"/>
                <w:lang w:val="en-US" w:eastAsia="zh-CN"/>
              </w:rPr>
              <w:t>挥发性有机物</w:t>
            </w:r>
            <w:r>
              <w:rPr>
                <w:rFonts w:hint="default" w:ascii="Times New Roman" w:hAnsi="Times New Roman" w:cs="Times New Roman"/>
                <w:b/>
                <w:color w:val="auto"/>
                <w:sz w:val="24"/>
                <w:szCs w:val="24"/>
              </w:rPr>
              <w:t>总量控制指标</w:t>
            </w:r>
            <w:r>
              <w:rPr>
                <w:rFonts w:hint="default" w:ascii="Times New Roman" w:hAnsi="Times New Roman" w:cs="Times New Roman"/>
                <w:b/>
                <w:color w:val="auto"/>
                <w:sz w:val="24"/>
                <w:szCs w:val="24"/>
                <w:lang w:val="en-US" w:eastAsia="zh-CN"/>
              </w:rPr>
              <w:t xml:space="preserve"> （单位：t/a）</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945"/>
              <w:gridCol w:w="900"/>
              <w:gridCol w:w="738"/>
              <w:gridCol w:w="927"/>
              <w:gridCol w:w="915"/>
              <w:gridCol w:w="733"/>
              <w:gridCol w:w="827"/>
              <w:gridCol w:w="825"/>
              <w:gridCol w:w="794"/>
            </w:tblGrid>
            <w:tr w14:paraId="3A55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Merge w:val="restart"/>
                  <w:vAlign w:val="center"/>
                </w:tcPr>
                <w:p w14:paraId="7414587C">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污染物</w:t>
                  </w:r>
                </w:p>
              </w:tc>
              <w:tc>
                <w:tcPr>
                  <w:tcW w:w="1518" w:type="pct"/>
                  <w:gridSpan w:val="3"/>
                  <w:vAlign w:val="center"/>
                </w:tcPr>
                <w:p w14:paraId="548B756C">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原有项目</w:t>
                  </w:r>
                </w:p>
              </w:tc>
              <w:tc>
                <w:tcPr>
                  <w:tcW w:w="1513" w:type="pct"/>
                  <w:gridSpan w:val="3"/>
                  <w:vAlign w:val="center"/>
                </w:tcPr>
                <w:p w14:paraId="0D6A6192">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本</w:t>
                  </w:r>
                  <w:r>
                    <w:rPr>
                      <w:rFonts w:hint="default" w:ascii="Times New Roman" w:hAnsi="Times New Roman" w:cs="Times New Roman"/>
                      <w:b/>
                      <w:bCs/>
                      <w:color w:val="auto"/>
                      <w:szCs w:val="21"/>
                      <w:lang w:val="en-US" w:eastAsia="zh-CN"/>
                    </w:rPr>
                    <w:t>技改</w:t>
                  </w:r>
                  <w:r>
                    <w:rPr>
                      <w:rFonts w:hint="default" w:ascii="Times New Roman" w:hAnsi="Times New Roman" w:cs="Times New Roman"/>
                      <w:b/>
                      <w:bCs/>
                      <w:color w:val="auto"/>
                      <w:szCs w:val="21"/>
                    </w:rPr>
                    <w:t>项目</w:t>
                  </w:r>
                </w:p>
              </w:tc>
              <w:tc>
                <w:tcPr>
                  <w:tcW w:w="486" w:type="pct"/>
                  <w:vMerge w:val="restart"/>
                  <w:vAlign w:val="center"/>
                </w:tcPr>
                <w:p w14:paraId="2E5BA5AC">
                  <w:pPr>
                    <w:pStyle w:val="11"/>
                    <w:widowControl/>
                    <w:snapToGrid w:val="0"/>
                    <w:spacing w:after="0"/>
                    <w:ind w:right="113"/>
                    <w:jc w:val="center"/>
                    <w:rPr>
                      <w:rFonts w:hint="default" w:ascii="Times New Roman" w:hAnsi="Times New Roman" w:eastAsia="宋体" w:cs="Times New Roman"/>
                      <w:b/>
                      <w:bCs/>
                      <w:color w:val="auto"/>
                      <w:szCs w:val="21"/>
                      <w:lang w:val="en-US" w:eastAsia="zh-CN"/>
                    </w:rPr>
                  </w:pPr>
                  <w:r>
                    <w:rPr>
                      <w:rFonts w:hint="default" w:ascii="Times New Roman" w:hAnsi="Times New Roman" w:cs="Times New Roman"/>
                      <w:b/>
                      <w:bCs/>
                      <w:color w:val="auto"/>
                      <w:szCs w:val="21"/>
                    </w:rPr>
                    <w:t>削减量</w:t>
                  </w:r>
                  <w:r>
                    <w:rPr>
                      <w:rFonts w:hint="default" w:ascii="Times New Roman" w:hAnsi="Times New Roman" w:cs="Times New Roman"/>
                      <w:b/>
                      <w:bCs/>
                      <w:color w:val="auto"/>
                      <w:szCs w:val="21"/>
                      <w:lang w:val="en-US" w:eastAsia="zh-CN"/>
                    </w:rPr>
                    <w:t>*</w:t>
                  </w:r>
                </w:p>
              </w:tc>
              <w:tc>
                <w:tcPr>
                  <w:tcW w:w="485" w:type="pct"/>
                  <w:vMerge w:val="restart"/>
                  <w:vAlign w:val="center"/>
                </w:tcPr>
                <w:p w14:paraId="5900A4F6">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全厂总计</w:t>
                  </w:r>
                </w:p>
              </w:tc>
              <w:tc>
                <w:tcPr>
                  <w:tcW w:w="466" w:type="pct"/>
                  <w:vMerge w:val="restart"/>
                  <w:vAlign w:val="center"/>
                </w:tcPr>
                <w:p w14:paraId="7C6C26A5">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申请总量控制指标</w:t>
                  </w:r>
                </w:p>
              </w:tc>
            </w:tr>
            <w:tr w14:paraId="28B6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29" w:type="pct"/>
                  <w:vMerge w:val="continue"/>
                  <w:vAlign w:val="center"/>
                </w:tcPr>
                <w:p w14:paraId="274B4125">
                  <w:pPr>
                    <w:pStyle w:val="11"/>
                    <w:widowControl/>
                    <w:snapToGrid w:val="0"/>
                    <w:spacing w:after="0"/>
                    <w:ind w:right="113"/>
                    <w:jc w:val="center"/>
                    <w:rPr>
                      <w:rFonts w:hint="default" w:ascii="Times New Roman" w:hAnsi="Times New Roman" w:cs="Times New Roman"/>
                      <w:b/>
                      <w:bCs/>
                      <w:color w:val="auto"/>
                      <w:szCs w:val="21"/>
                    </w:rPr>
                  </w:pPr>
                </w:p>
              </w:tc>
              <w:tc>
                <w:tcPr>
                  <w:tcW w:w="555" w:type="pct"/>
                  <w:vAlign w:val="center"/>
                </w:tcPr>
                <w:p w14:paraId="13D62F2C">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有组织排放量</w:t>
                  </w:r>
                </w:p>
              </w:tc>
              <w:tc>
                <w:tcPr>
                  <w:tcW w:w="529" w:type="pct"/>
                  <w:vAlign w:val="center"/>
                </w:tcPr>
                <w:p w14:paraId="57FE8493">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无组织排放量</w:t>
                  </w:r>
                </w:p>
              </w:tc>
              <w:tc>
                <w:tcPr>
                  <w:tcW w:w="433" w:type="pct"/>
                  <w:vAlign w:val="center"/>
                </w:tcPr>
                <w:p w14:paraId="01B5AD28">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总计</w:t>
                  </w:r>
                </w:p>
              </w:tc>
              <w:tc>
                <w:tcPr>
                  <w:tcW w:w="544" w:type="pct"/>
                  <w:vAlign w:val="center"/>
                </w:tcPr>
                <w:p w14:paraId="01D0E1D0">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有组织排放量</w:t>
                  </w:r>
                </w:p>
              </w:tc>
              <w:tc>
                <w:tcPr>
                  <w:tcW w:w="537" w:type="pct"/>
                  <w:vAlign w:val="center"/>
                </w:tcPr>
                <w:p w14:paraId="5037F9FD">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无组织排放量</w:t>
                  </w:r>
                </w:p>
              </w:tc>
              <w:tc>
                <w:tcPr>
                  <w:tcW w:w="430" w:type="pct"/>
                  <w:vAlign w:val="center"/>
                </w:tcPr>
                <w:p w14:paraId="7CE35D17">
                  <w:pPr>
                    <w:pStyle w:val="11"/>
                    <w:widowControl/>
                    <w:snapToGrid w:val="0"/>
                    <w:spacing w:after="0"/>
                    <w:ind w:right="113"/>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总计</w:t>
                  </w:r>
                </w:p>
              </w:tc>
              <w:tc>
                <w:tcPr>
                  <w:tcW w:w="486" w:type="pct"/>
                  <w:vMerge w:val="continue"/>
                  <w:vAlign w:val="center"/>
                </w:tcPr>
                <w:p w14:paraId="2FD1DB58">
                  <w:pPr>
                    <w:pStyle w:val="11"/>
                    <w:widowControl/>
                    <w:snapToGrid w:val="0"/>
                    <w:spacing w:after="0"/>
                    <w:ind w:right="113"/>
                    <w:jc w:val="center"/>
                    <w:rPr>
                      <w:rFonts w:hint="default" w:ascii="Times New Roman" w:hAnsi="Times New Roman" w:cs="Times New Roman"/>
                      <w:b/>
                      <w:bCs/>
                      <w:color w:val="auto"/>
                      <w:szCs w:val="21"/>
                    </w:rPr>
                  </w:pPr>
                </w:p>
              </w:tc>
              <w:tc>
                <w:tcPr>
                  <w:tcW w:w="485" w:type="pct"/>
                  <w:vMerge w:val="continue"/>
                  <w:vAlign w:val="center"/>
                </w:tcPr>
                <w:p w14:paraId="599D60F0">
                  <w:pPr>
                    <w:pStyle w:val="11"/>
                    <w:widowControl/>
                    <w:snapToGrid w:val="0"/>
                    <w:spacing w:after="0"/>
                    <w:ind w:right="113"/>
                    <w:jc w:val="center"/>
                    <w:rPr>
                      <w:rFonts w:hint="default" w:ascii="Times New Roman" w:hAnsi="Times New Roman" w:cs="Times New Roman"/>
                      <w:b/>
                      <w:bCs/>
                      <w:color w:val="auto"/>
                      <w:szCs w:val="21"/>
                    </w:rPr>
                  </w:pPr>
                </w:p>
              </w:tc>
              <w:tc>
                <w:tcPr>
                  <w:tcW w:w="466" w:type="pct"/>
                  <w:vMerge w:val="continue"/>
                  <w:vAlign w:val="center"/>
                </w:tcPr>
                <w:p w14:paraId="6E9B2631">
                  <w:pPr>
                    <w:pStyle w:val="11"/>
                    <w:widowControl/>
                    <w:snapToGrid w:val="0"/>
                    <w:spacing w:after="0"/>
                    <w:ind w:right="113"/>
                    <w:jc w:val="center"/>
                    <w:rPr>
                      <w:rFonts w:hint="default" w:ascii="Times New Roman" w:hAnsi="Times New Roman" w:cs="Times New Roman"/>
                      <w:b/>
                      <w:bCs/>
                      <w:color w:val="auto"/>
                      <w:szCs w:val="21"/>
                    </w:rPr>
                  </w:pPr>
                </w:p>
              </w:tc>
            </w:tr>
            <w:tr w14:paraId="5163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29" w:type="pct"/>
                  <w:vAlign w:val="center"/>
                </w:tcPr>
                <w:p w14:paraId="752A4EA6">
                  <w:pPr>
                    <w:pStyle w:val="11"/>
                    <w:widowControl/>
                    <w:snapToGrid w:val="0"/>
                    <w:spacing w:after="0"/>
                    <w:ind w:right="113"/>
                    <w:jc w:val="center"/>
                    <w:rPr>
                      <w:rFonts w:hint="default" w:ascii="Times New Roman" w:hAnsi="Times New Roman" w:eastAsia="宋体" w:cs="Times New Roman"/>
                      <w:bCs/>
                      <w:color w:val="auto"/>
                      <w:szCs w:val="21"/>
                      <w:lang w:val="en-US" w:eastAsia="zh-CN"/>
                    </w:rPr>
                  </w:pPr>
                  <w:r>
                    <w:rPr>
                      <w:rFonts w:hint="default" w:ascii="Times New Roman" w:hAnsi="Times New Roman" w:cs="Times New Roman"/>
                      <w:bCs/>
                      <w:color w:val="auto"/>
                      <w:szCs w:val="21"/>
                      <w:lang w:val="en-US" w:eastAsia="zh-CN"/>
                    </w:rPr>
                    <w:t>挥发性有机物</w:t>
                  </w:r>
                </w:p>
              </w:tc>
              <w:tc>
                <w:tcPr>
                  <w:tcW w:w="555" w:type="pct"/>
                  <w:vAlign w:val="center"/>
                </w:tcPr>
                <w:p w14:paraId="34A47931">
                  <w:pPr>
                    <w:pStyle w:val="133"/>
                    <w:ind w:left="0" w:leftChars="0" w:right="0" w:rightChars="0" w:firstLine="0" w:firstLineChars="0"/>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0.248</w:t>
                  </w:r>
                </w:p>
              </w:tc>
              <w:tc>
                <w:tcPr>
                  <w:tcW w:w="529" w:type="pct"/>
                  <w:vAlign w:val="center"/>
                </w:tcPr>
                <w:p w14:paraId="1BB9C499">
                  <w:pPr>
                    <w:pStyle w:val="133"/>
                    <w:ind w:left="0" w:leftChars="0" w:right="0" w:rightChars="0" w:firstLine="0" w:firstLineChars="0"/>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1.52</w:t>
                  </w:r>
                </w:p>
              </w:tc>
              <w:tc>
                <w:tcPr>
                  <w:tcW w:w="433" w:type="pct"/>
                  <w:vAlign w:val="center"/>
                </w:tcPr>
                <w:p w14:paraId="7B4E99A8">
                  <w:pPr>
                    <w:pStyle w:val="133"/>
                    <w:ind w:left="0" w:leftChars="0" w:right="0" w:rightChars="0" w:firstLine="0" w:firstLineChars="0"/>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1.768</w:t>
                  </w:r>
                </w:p>
              </w:tc>
              <w:tc>
                <w:tcPr>
                  <w:tcW w:w="544" w:type="pct"/>
                  <w:vAlign w:val="center"/>
                </w:tcPr>
                <w:p w14:paraId="4ACC65F5">
                  <w:pPr>
                    <w:pStyle w:val="133"/>
                    <w:ind w:left="0" w:leftChars="0" w:right="0" w:rightChars="0" w:firstLine="0" w:firstLineChars="0"/>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0.18</w:t>
                  </w:r>
                </w:p>
              </w:tc>
              <w:tc>
                <w:tcPr>
                  <w:tcW w:w="537" w:type="pct"/>
                  <w:vAlign w:val="center"/>
                </w:tcPr>
                <w:p w14:paraId="3B874526">
                  <w:pPr>
                    <w:pStyle w:val="133"/>
                    <w:ind w:left="0" w:leftChars="0" w:right="0" w:rightChars="0" w:firstLine="0" w:firstLineChars="0"/>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0.163</w:t>
                  </w:r>
                </w:p>
              </w:tc>
              <w:tc>
                <w:tcPr>
                  <w:tcW w:w="430" w:type="pct"/>
                  <w:vAlign w:val="center"/>
                </w:tcPr>
                <w:p w14:paraId="71A0F95E">
                  <w:pPr>
                    <w:pStyle w:val="133"/>
                    <w:ind w:left="0" w:leftChars="0" w:right="0" w:rightChars="0" w:firstLine="0" w:firstLineChars="0"/>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0.343</w:t>
                  </w:r>
                </w:p>
              </w:tc>
              <w:tc>
                <w:tcPr>
                  <w:tcW w:w="486" w:type="pct"/>
                  <w:vAlign w:val="center"/>
                </w:tcPr>
                <w:p w14:paraId="2852C474">
                  <w:pPr>
                    <w:pStyle w:val="133"/>
                    <w:ind w:left="0" w:leftChars="0" w:right="0" w:rightChars="0" w:firstLine="0" w:firstLineChars="0"/>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0.4665</w:t>
                  </w:r>
                </w:p>
              </w:tc>
              <w:tc>
                <w:tcPr>
                  <w:tcW w:w="485" w:type="pct"/>
                  <w:vAlign w:val="center"/>
                </w:tcPr>
                <w:p w14:paraId="5341A845">
                  <w:pPr>
                    <w:pStyle w:val="133"/>
                    <w:ind w:left="0" w:leftChars="0" w:right="0" w:rightChars="0" w:firstLine="0" w:firstLineChars="0"/>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1.6445</w:t>
                  </w:r>
                </w:p>
              </w:tc>
              <w:tc>
                <w:tcPr>
                  <w:tcW w:w="466" w:type="pct"/>
                  <w:vAlign w:val="center"/>
                </w:tcPr>
                <w:p w14:paraId="2A333B80">
                  <w:pPr>
                    <w:pStyle w:val="133"/>
                    <w:ind w:left="0" w:leftChars="0" w:right="0" w:rightChars="0" w:firstLine="0" w:firstLineChars="0"/>
                    <w:rPr>
                      <w:rFonts w:hint="default" w:ascii="Times New Roman" w:hAnsi="Times New Roman" w:eastAsia="宋体" w:cs="Times New Roman"/>
                      <w:color w:val="auto"/>
                      <w:szCs w:val="21"/>
                      <w:lang w:eastAsia="zh-CN"/>
                    </w:rPr>
                  </w:pPr>
                  <w:r>
                    <w:rPr>
                      <w:rFonts w:hint="default" w:ascii="Times New Roman" w:hAnsi="Times New Roman" w:cs="Times New Roman"/>
                      <w:color w:val="auto"/>
                      <w:szCs w:val="21"/>
                      <w:lang w:val="en-US" w:eastAsia="zh-CN"/>
                    </w:rPr>
                    <w:t>0</w:t>
                  </w:r>
                </w:p>
              </w:tc>
            </w:tr>
            <w:tr w14:paraId="2FF7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000" w:type="pct"/>
                  <w:gridSpan w:val="10"/>
                  <w:vAlign w:val="center"/>
                </w:tcPr>
                <w:p w14:paraId="01F4E47A">
                  <w:pPr>
                    <w:pStyle w:val="133"/>
                    <w:ind w:left="0" w:leftChars="0" w:right="0" w:rightChars="0" w:firstLine="0" w:firstLineChars="0"/>
                    <w:rPr>
                      <w:rFonts w:hint="default" w:ascii="Times New Roman" w:hAnsi="Times New Roman" w:cs="Times New Roman"/>
                      <w:color w:val="auto"/>
                      <w:szCs w:val="21"/>
                      <w:lang w:val="en-US" w:eastAsia="zh-CN"/>
                    </w:rPr>
                  </w:pPr>
                  <w:r>
                    <w:rPr>
                      <w:rFonts w:hint="default" w:ascii="Times New Roman" w:hAnsi="Times New Roman" w:cs="Times New Roman"/>
                      <w:color w:val="auto"/>
                      <w:sz w:val="21"/>
                      <w:szCs w:val="21"/>
                      <w:lang w:val="en-US" w:eastAsia="zh-CN"/>
                    </w:rPr>
                    <w:t>备注：削减量为取消原计划五期</w:t>
                  </w:r>
                  <w:r>
                    <w:rPr>
                      <w:rFonts w:hint="default" w:ascii="Times New Roman" w:hAnsi="Times New Roman" w:cs="Times New Roman"/>
                      <w:b w:val="0"/>
                      <w:bCs w:val="0"/>
                      <w:color w:val="auto"/>
                      <w:sz w:val="21"/>
                      <w:szCs w:val="21"/>
                      <w:lang w:val="en-US" w:eastAsia="zh-CN"/>
                    </w:rPr>
                    <w:t>树脂砂铸造生产线、“以新带老”的合计削减量</w:t>
                  </w:r>
                  <w:r>
                    <w:rPr>
                      <w:rFonts w:hint="default" w:ascii="Times New Roman" w:hAnsi="Times New Roman" w:cs="Times New Roman"/>
                      <w:b w:val="0"/>
                      <w:bCs w:val="0"/>
                      <w:color w:val="auto"/>
                      <w:sz w:val="24"/>
                      <w:szCs w:val="24"/>
                      <w:lang w:val="en-US" w:eastAsia="zh-CN"/>
                    </w:rPr>
                    <w:t>。</w:t>
                  </w:r>
                </w:p>
              </w:tc>
            </w:tr>
          </w:tbl>
          <w:p w14:paraId="15E81E57">
            <w:pPr>
              <w:pStyle w:val="2"/>
              <w:rPr>
                <w:rFonts w:hint="default" w:ascii="Times New Roman" w:hAnsi="Times New Roman" w:cs="Times New Roman"/>
                <w:color w:val="auto"/>
                <w:kern w:val="0"/>
                <w:sz w:val="24"/>
                <w:highlight w:val="none"/>
                <w:lang w:val="en-US" w:eastAsia="zh-CN"/>
              </w:rPr>
            </w:pPr>
          </w:p>
          <w:p w14:paraId="55CFEEF8">
            <w:pPr>
              <w:widowControl/>
              <w:spacing w:line="360" w:lineRule="auto"/>
              <w:ind w:firstLine="48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 xml:space="preserve"> </w:t>
            </w:r>
            <w:r>
              <w:rPr>
                <w:rFonts w:hint="default" w:ascii="Times New Roman" w:hAnsi="Times New Roman" w:cs="Times New Roman"/>
                <w:color w:val="auto"/>
                <w:sz w:val="24"/>
                <w:highlight w:val="none"/>
              </w:rPr>
              <w:t>本项目从原项目调配人员，不新增员工，不新增生活污水</w:t>
            </w:r>
            <w:r>
              <w:rPr>
                <w:rFonts w:hint="default" w:ascii="Times New Roman" w:hAnsi="Times New Roman" w:cs="Times New Roman"/>
                <w:color w:val="auto"/>
                <w:kern w:val="0"/>
                <w:sz w:val="24"/>
                <w:highlight w:val="none"/>
              </w:rPr>
              <w:t>，无需进行水污染物总量申请</w:t>
            </w:r>
            <w:r>
              <w:rPr>
                <w:rFonts w:hint="default" w:ascii="Times New Roman" w:hAnsi="Times New Roman" w:cs="Times New Roman"/>
                <w:color w:val="auto"/>
                <w:sz w:val="24"/>
                <w:highlight w:val="none"/>
                <w:lang w:val="zh-CN"/>
              </w:rPr>
              <w:t>。</w:t>
            </w:r>
          </w:p>
        </w:tc>
      </w:tr>
    </w:tbl>
    <w:p w14:paraId="603DFB0B">
      <w:pPr>
        <w:pStyle w:val="23"/>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6"/>
          <w:szCs w:val="36"/>
          <w:highlight w:val="none"/>
        </w:rPr>
        <w:br w:type="page"/>
      </w:r>
      <w:r>
        <w:rPr>
          <w:rFonts w:hint="default" w:ascii="Times New Roman" w:hAnsi="Times New Roman" w:eastAsia="黑体" w:cs="Times New Roman"/>
          <w:snapToGrid w:val="0"/>
          <w:color w:val="auto"/>
          <w:sz w:val="30"/>
          <w:szCs w:val="30"/>
          <w:highlight w:val="none"/>
        </w:rPr>
        <w:t>四、主要环境影响和保护措施</w:t>
      </w:r>
    </w:p>
    <w:tbl>
      <w:tblPr>
        <w:tblStyle w:val="26"/>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2"/>
        <w:gridCol w:w="8970"/>
      </w:tblGrid>
      <w:tr w14:paraId="3619D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612" w:type="dxa"/>
            <w:tcMar>
              <w:left w:w="28" w:type="dxa"/>
              <w:right w:w="28" w:type="dxa"/>
            </w:tcMar>
            <w:vAlign w:val="center"/>
          </w:tcPr>
          <w:p w14:paraId="44D4BC79">
            <w:pPr>
              <w:pStyle w:val="23"/>
              <w:adjustRightInd w:val="0"/>
              <w:snapToGrid w:val="0"/>
              <w:spacing w:before="0" w:beforeAutospacing="0" w:after="0" w:afterAutospacing="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施工</w:t>
            </w:r>
          </w:p>
          <w:p w14:paraId="304F41E1">
            <w:pPr>
              <w:pStyle w:val="23"/>
              <w:adjustRightInd w:val="0"/>
              <w:snapToGrid w:val="0"/>
              <w:spacing w:before="0" w:beforeAutospacing="0" w:after="0" w:afterAutospacing="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期环</w:t>
            </w:r>
          </w:p>
          <w:p w14:paraId="6B9F18FF">
            <w:pPr>
              <w:pStyle w:val="23"/>
              <w:adjustRightInd w:val="0"/>
              <w:snapToGrid w:val="0"/>
              <w:spacing w:before="0" w:beforeAutospacing="0" w:after="0" w:afterAutospacing="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境保</w:t>
            </w:r>
          </w:p>
          <w:p w14:paraId="518EDAAF">
            <w:pPr>
              <w:pStyle w:val="23"/>
              <w:adjustRightInd w:val="0"/>
              <w:snapToGrid w:val="0"/>
              <w:spacing w:before="0" w:beforeAutospacing="0" w:after="0" w:afterAutospacing="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护措</w:t>
            </w:r>
          </w:p>
          <w:p w14:paraId="706842B7">
            <w:pPr>
              <w:pStyle w:val="23"/>
              <w:adjustRightInd w:val="0"/>
              <w:snapToGrid w:val="0"/>
              <w:spacing w:before="0" w:beforeAutospacing="0" w:after="0" w:afterAutospacing="0"/>
              <w:jc w:val="center"/>
              <w:rPr>
                <w:rFonts w:hint="default" w:ascii="Times New Roman" w:hAnsi="Times New Roman" w:cs="Times New Roman"/>
                <w:bCs/>
                <w:color w:val="auto"/>
                <w:kern w:val="2"/>
                <w:sz w:val="21"/>
                <w:szCs w:val="21"/>
                <w:highlight w:val="none"/>
              </w:rPr>
            </w:pPr>
            <w:r>
              <w:rPr>
                <w:rFonts w:hint="default" w:ascii="Times New Roman" w:hAnsi="Times New Roman" w:cs="Times New Roman"/>
                <w:color w:val="auto"/>
                <w:kern w:val="2"/>
                <w:sz w:val="21"/>
                <w:szCs w:val="21"/>
                <w:highlight w:val="none"/>
              </w:rPr>
              <w:t>施</w:t>
            </w:r>
          </w:p>
        </w:tc>
        <w:tc>
          <w:tcPr>
            <w:tcW w:w="8970" w:type="dxa"/>
            <w:vAlign w:val="center"/>
          </w:tcPr>
          <w:p w14:paraId="6AD449D5">
            <w:pPr>
              <w:adjustRightInd w:val="0"/>
              <w:snapToGrid w:val="0"/>
              <w:spacing w:before="120" w:beforeLines="50" w:line="360" w:lineRule="auto"/>
              <w:ind w:firstLine="440" w:firstLineChars="200"/>
              <w:rPr>
                <w:rFonts w:hint="default" w:ascii="Times New Roman" w:hAnsi="Times New Roman" w:cs="Times New Roman"/>
                <w:color w:val="auto"/>
                <w:sz w:val="24"/>
                <w:highlight w:val="none"/>
              </w:rPr>
            </w:pPr>
            <w:r>
              <w:rPr>
                <w:rFonts w:hint="default" w:ascii="Times New Roman" w:hAnsi="Times New Roman" w:cs="Times New Roman"/>
                <w:bCs/>
                <w:color w:val="auto"/>
                <w:spacing w:val="-10"/>
                <w:sz w:val="24"/>
                <w:highlight w:val="none"/>
              </w:rPr>
              <w:t>本项目在现有厂房的空置区域进行，施工期主要工程内容为设备安装，工程量较小。施工过程不涉及土建，</w:t>
            </w:r>
            <w:r>
              <w:rPr>
                <w:rFonts w:hint="default" w:ascii="Times New Roman" w:hAnsi="Times New Roman" w:cs="Times New Roman"/>
                <w:color w:val="auto"/>
                <w:sz w:val="24"/>
                <w:highlight w:val="none"/>
              </w:rPr>
              <w:t>所以，本项目施工期主要的环境影响为设备安装过程中产生的施工噪声对外界环境的影响。</w:t>
            </w:r>
          </w:p>
          <w:p w14:paraId="6D216B2F">
            <w:pPr>
              <w:pStyle w:val="4"/>
              <w:spacing w:line="360" w:lineRule="auto"/>
              <w:ind w:left="0" w:firstLine="480" w:firstLineChars="200"/>
              <w:rPr>
                <w:rFonts w:hint="default" w:ascii="Times New Roman" w:hAnsi="Times New Roman" w:cs="Times New Roman"/>
                <w:color w:val="auto"/>
                <w:spacing w:val="-10"/>
                <w:szCs w:val="21"/>
                <w:highlight w:val="none"/>
              </w:rPr>
            </w:pPr>
            <w:r>
              <w:rPr>
                <w:rFonts w:hint="default" w:ascii="Times New Roman" w:hAnsi="Times New Roman" w:eastAsia="宋体" w:cs="Times New Roman"/>
                <w:b w:val="0"/>
                <w:bCs w:val="0"/>
                <w:color w:val="auto"/>
                <w:sz w:val="24"/>
                <w:highlight w:val="none"/>
              </w:rPr>
              <w:t>由于施工仅为设备安装，不需大型机械的参与，产生的噪声较小，加上厂房隔声，施工噪声不会对外界环境造成明显不良影响。</w:t>
            </w:r>
          </w:p>
        </w:tc>
      </w:tr>
    </w:tbl>
    <w:p w14:paraId="19940AAF">
      <w:pPr>
        <w:adjustRightInd w:val="0"/>
        <w:snapToGrid w:val="0"/>
        <w:jc w:val="center"/>
        <w:rPr>
          <w:rFonts w:hint="default" w:ascii="Times New Roman" w:hAnsi="Times New Roman" w:cs="Times New Roman"/>
          <w:bCs/>
          <w:color w:val="auto"/>
          <w:szCs w:val="21"/>
          <w:highlight w:val="none"/>
        </w:rPr>
        <w:sectPr>
          <w:pgSz w:w="11907" w:h="16840"/>
          <w:pgMar w:top="1134" w:right="1134" w:bottom="1134" w:left="1134" w:header="851" w:footer="851" w:gutter="0"/>
          <w:cols w:space="720" w:num="1"/>
          <w:docGrid w:linePitch="312" w:charSpace="0"/>
        </w:sectPr>
      </w:pPr>
    </w:p>
    <w:tbl>
      <w:tblPr>
        <w:tblStyle w:val="26"/>
        <w:tblW w:w="96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8"/>
        <w:gridCol w:w="8961"/>
      </w:tblGrid>
      <w:tr w14:paraId="5B6B5A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48" w:hRule="atLeast"/>
          <w:jc w:val="center"/>
        </w:trPr>
        <w:tc>
          <w:tcPr>
            <w:tcW w:w="658" w:type="dxa"/>
            <w:tcMar>
              <w:left w:w="28" w:type="dxa"/>
              <w:right w:w="28" w:type="dxa"/>
            </w:tcMar>
            <w:vAlign w:val="center"/>
          </w:tcPr>
          <w:p w14:paraId="5F6A91AC">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运营</w:t>
            </w:r>
          </w:p>
          <w:p w14:paraId="166352DF">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期环</w:t>
            </w:r>
          </w:p>
          <w:p w14:paraId="7B6EF140">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境影</w:t>
            </w:r>
          </w:p>
          <w:p w14:paraId="6A2A25F3">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响和</w:t>
            </w:r>
          </w:p>
          <w:p w14:paraId="6DFEC54C">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保护</w:t>
            </w:r>
          </w:p>
          <w:p w14:paraId="61E3F5A2">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 w:val="24"/>
                <w:highlight w:val="none"/>
              </w:rPr>
              <w:t>措施</w:t>
            </w:r>
          </w:p>
        </w:tc>
        <w:tc>
          <w:tcPr>
            <w:tcW w:w="8961" w:type="dxa"/>
            <w:vAlign w:val="center"/>
          </w:tcPr>
          <w:p w14:paraId="01533FF7">
            <w:pPr>
              <w:numPr>
                <w:ilvl w:val="0"/>
                <w:numId w:val="12"/>
              </w:numPr>
              <w:adjustRightInd w:val="0"/>
              <w:snapToGrid w:val="0"/>
              <w:spacing w:line="360" w:lineRule="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废气</w:t>
            </w:r>
          </w:p>
          <w:p w14:paraId="71C9A0B9">
            <w:pPr>
              <w:adjustRightInd w:val="0"/>
              <w:snapToGrid w:val="0"/>
              <w:spacing w:line="360" w:lineRule="auto"/>
              <w:ind w:firstLine="480" w:firstLineChars="200"/>
              <w:rPr>
                <w:rFonts w:hint="default" w:ascii="Times New Roman" w:hAnsi="Times New Roman" w:cs="Times New Roman"/>
                <w:color w:val="auto"/>
                <w:sz w:val="24"/>
                <w:highlight w:val="none"/>
                <w:lang w:bidi="ar"/>
              </w:rPr>
            </w:pPr>
            <w:r>
              <w:rPr>
                <w:rFonts w:hint="default" w:ascii="Times New Roman" w:hAnsi="Times New Roman" w:cs="Times New Roman"/>
                <w:color w:val="auto"/>
                <w:sz w:val="24"/>
                <w:highlight w:val="none"/>
                <w:lang w:bidi="ar"/>
              </w:rPr>
              <w:t>本项目运营期废气主要为喷漆工序产生的喷漆废气</w:t>
            </w:r>
            <w:r>
              <w:rPr>
                <w:rFonts w:hint="default" w:ascii="Times New Roman" w:hAnsi="Times New Roman" w:cs="Times New Roman"/>
                <w:color w:val="auto"/>
                <w:sz w:val="24"/>
                <w:highlight w:val="none"/>
              </w:rPr>
              <w:t>（含喷涂、洗枪、风干）</w:t>
            </w:r>
            <w:r>
              <w:rPr>
                <w:rFonts w:hint="default" w:ascii="Times New Roman" w:hAnsi="Times New Roman" w:cs="Times New Roman"/>
                <w:color w:val="auto"/>
                <w:sz w:val="24"/>
                <w:highlight w:val="none"/>
                <w:lang w:bidi="ar"/>
              </w:rPr>
              <w:t>、喷粉工序产生的喷粉废气、烘烤废气。</w:t>
            </w:r>
          </w:p>
          <w:p w14:paraId="5F27C9AD">
            <w:pPr>
              <w:pStyle w:val="14"/>
              <w:numPr>
                <w:ilvl w:val="0"/>
                <w:numId w:val="13"/>
              </w:numPr>
              <w:autoSpaceDE w:val="0"/>
              <w:adjustRightInd w:val="0"/>
              <w:snapToGrid w:val="0"/>
              <w:spacing w:line="360" w:lineRule="auto"/>
              <w:ind w:left="600"/>
              <w:jc w:val="left"/>
              <w:rPr>
                <w:rFonts w:hint="default" w:ascii="Times New Roman" w:hAnsi="Times New Roman" w:cs="Times New Roman"/>
                <w:b/>
                <w:bCs/>
                <w:color w:val="auto"/>
                <w:sz w:val="24"/>
                <w:highlight w:val="none"/>
                <w:lang w:bidi="ar"/>
              </w:rPr>
            </w:pPr>
            <w:r>
              <w:rPr>
                <w:rFonts w:hint="default" w:ascii="Times New Roman" w:hAnsi="Times New Roman" w:cs="Times New Roman"/>
                <w:b/>
                <w:bCs/>
                <w:color w:val="auto"/>
                <w:sz w:val="24"/>
                <w:highlight w:val="none"/>
                <w:lang w:bidi="ar"/>
              </w:rPr>
              <w:t>喷漆工序废气与烘烤工序废气</w:t>
            </w:r>
          </w:p>
          <w:p w14:paraId="1470C997">
            <w:pPr>
              <w:pStyle w:val="102"/>
              <w:spacing w:before="50"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本项目</w:t>
            </w:r>
            <w:r>
              <w:rPr>
                <w:rFonts w:hint="default" w:ascii="Times New Roman" w:hAnsi="Times New Roman" w:cs="Times New Roman"/>
                <w:color w:val="auto"/>
                <w:sz w:val="24"/>
                <w:highlight w:val="none"/>
                <w:lang w:bidi="ar"/>
              </w:rPr>
              <w:t>喷漆工序在喷涂、风干、洗枪过程均产生废气，</w:t>
            </w:r>
            <w:r>
              <w:rPr>
                <w:rFonts w:hint="default" w:ascii="Times New Roman" w:hAnsi="Times New Roman" w:cs="Times New Roman"/>
                <w:color w:val="auto"/>
                <w:sz w:val="24"/>
                <w:szCs w:val="24"/>
                <w:highlight w:val="none"/>
              </w:rPr>
              <w:t>喷涂</w:t>
            </w:r>
            <w:r>
              <w:rPr>
                <w:rFonts w:hint="default" w:ascii="Times New Roman" w:hAnsi="Times New Roman" w:cs="Times New Roman"/>
                <w:color w:val="auto"/>
                <w:sz w:val="24"/>
                <w:szCs w:val="24"/>
                <w:highlight w:val="none"/>
                <w:lang w:val="en-US" w:eastAsia="zh-CN"/>
              </w:rPr>
              <w:t>时</w:t>
            </w:r>
            <w:r>
              <w:rPr>
                <w:rFonts w:hint="default" w:ascii="Times New Roman" w:hAnsi="Times New Roman" w:cs="Times New Roman"/>
                <w:color w:val="auto"/>
                <w:sz w:val="24"/>
                <w:szCs w:val="24"/>
                <w:highlight w:val="none"/>
              </w:rPr>
              <w:t>废气污染物主要为漆雾和有机废气（TVOC、二甲苯），风干、洗枪产生的废气污染物主要为有机废气（TVOC、二甲苯）；喷粉烘烤产生的废气污染物主要为有机废气（TVOC）。本项目喷漆、烘烤工序废气经收集处理后由1根15m排气筒（DA005）排放。</w:t>
            </w:r>
          </w:p>
          <w:p w14:paraId="45F2743B">
            <w:pPr>
              <w:widowControl/>
              <w:spacing w:line="360" w:lineRule="auto"/>
              <w:ind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①</w:t>
            </w:r>
            <w:r>
              <w:rPr>
                <w:rFonts w:hint="default" w:ascii="Times New Roman" w:hAnsi="Times New Roman" w:cs="Times New Roman"/>
                <w:b/>
                <w:bCs/>
                <w:color w:val="auto"/>
                <w:sz w:val="24"/>
                <w:highlight w:val="none"/>
                <w:lang w:val="en-US" w:eastAsia="zh-CN"/>
              </w:rPr>
              <w:t>喷漆废气</w:t>
            </w:r>
            <w:r>
              <w:rPr>
                <w:rFonts w:hint="default" w:ascii="Times New Roman" w:hAnsi="Times New Roman" w:cs="Times New Roman"/>
                <w:b/>
                <w:bCs/>
                <w:color w:val="auto"/>
                <w:sz w:val="24"/>
                <w:highlight w:val="none"/>
              </w:rPr>
              <w:t>源强分析</w:t>
            </w:r>
          </w:p>
          <w:p w14:paraId="0161D520">
            <w:pPr>
              <w:widowControl/>
              <w:spacing w:line="360" w:lineRule="auto"/>
              <w:ind w:firstLine="482" w:firstLineChars="200"/>
              <w:jc w:val="left"/>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lang w:bidi="ar"/>
              </w:rPr>
              <w:t>喷涂、风干工序废气的产生情况分析</w:t>
            </w:r>
          </w:p>
          <w:p w14:paraId="2139F05D">
            <w:pPr>
              <w:widowControl/>
              <w:spacing w:line="360" w:lineRule="auto"/>
              <w:ind w:firstLine="480" w:firstLineChars="200"/>
              <w:jc w:val="left"/>
              <w:rPr>
                <w:rFonts w:hint="default" w:ascii="Times New Roman" w:hAnsi="Times New Roman" w:cs="Times New Roman"/>
                <w:color w:val="auto"/>
                <w:kern w:val="0"/>
                <w:sz w:val="24"/>
                <w:highlight w:val="none"/>
                <w:lang w:bidi="ar"/>
              </w:rPr>
            </w:pPr>
            <w:r>
              <w:rPr>
                <w:rFonts w:hint="default" w:ascii="Times New Roman" w:hAnsi="Times New Roman" w:cs="Times New Roman"/>
                <w:color w:val="auto"/>
                <w:sz w:val="24"/>
                <w:highlight w:val="none"/>
              </w:rPr>
              <w:t>喷漆涂料耐高温漆和稀释剂按4:1（质量比）的比例混合，调配后油性漆用量4.9</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t/a，</w:t>
            </w:r>
            <w:r>
              <w:rPr>
                <w:rFonts w:hint="default" w:ascii="Times New Roman" w:hAnsi="Times New Roman" w:cs="Times New Roman"/>
                <w:color w:val="auto"/>
                <w:kern w:val="0"/>
                <w:sz w:val="24"/>
                <w:highlight w:val="none"/>
                <w:lang w:bidi="ar"/>
              </w:rPr>
              <w:t>调配后的油性漆VOCs含量为384g/L，折算VOCs含量为32.93%，则喷</w:t>
            </w:r>
            <w:r>
              <w:rPr>
                <w:rFonts w:hint="default" w:ascii="Times New Roman" w:hAnsi="Times New Roman" w:cs="Times New Roman"/>
                <w:color w:val="auto"/>
                <w:kern w:val="0"/>
                <w:sz w:val="24"/>
                <w:highlight w:val="none"/>
                <w:lang w:val="en-US" w:eastAsia="zh-CN" w:bidi="ar"/>
              </w:rPr>
              <w:t>涂</w:t>
            </w:r>
            <w:r>
              <w:rPr>
                <w:rFonts w:hint="default" w:ascii="Times New Roman" w:hAnsi="Times New Roman" w:cs="Times New Roman"/>
                <w:color w:val="auto"/>
                <w:kern w:val="0"/>
                <w:sz w:val="24"/>
                <w:highlight w:val="none"/>
                <w:lang w:bidi="ar"/>
              </w:rPr>
              <w:t>工序产生TVOC量为1.62t/a。</w:t>
            </w:r>
          </w:p>
          <w:p w14:paraId="46C6DB0E">
            <w:pPr>
              <w:widowControl/>
              <w:spacing w:line="360" w:lineRule="auto"/>
              <w:ind w:firstLine="480" w:firstLineChars="200"/>
              <w:jc w:val="left"/>
              <w:rPr>
                <w:rFonts w:hint="default" w:ascii="Times New Roman" w:hAnsi="Times New Roman" w:cs="Times New Roman"/>
                <w:color w:val="auto"/>
                <w:sz w:val="24"/>
                <w:szCs w:val="22"/>
                <w:highlight w:val="none"/>
              </w:rPr>
            </w:pPr>
            <w:r>
              <w:rPr>
                <w:rFonts w:hint="default" w:ascii="Times New Roman" w:hAnsi="Times New Roman" w:cs="Times New Roman"/>
                <w:color w:val="auto"/>
                <w:kern w:val="0"/>
                <w:sz w:val="24"/>
                <w:highlight w:val="none"/>
                <w:lang w:bidi="ar"/>
              </w:rPr>
              <w:t>喷涂、风干过程均产生废气</w:t>
            </w:r>
            <w:r>
              <w:rPr>
                <w:rFonts w:hint="default" w:ascii="Times New Roman" w:hAnsi="Times New Roman" w:cs="Times New Roman"/>
                <w:color w:val="auto"/>
                <w:kern w:val="0"/>
                <w:sz w:val="24"/>
                <w:highlight w:val="none"/>
                <w:lang w:eastAsia="zh-CN" w:bidi="ar"/>
              </w:rPr>
              <w:t>，</w:t>
            </w:r>
            <w:r>
              <w:rPr>
                <w:rFonts w:hint="default" w:ascii="Times New Roman" w:hAnsi="Times New Roman" w:cs="Times New Roman"/>
                <w:color w:val="auto"/>
                <w:sz w:val="24"/>
                <w:highlight w:val="none"/>
              </w:rPr>
              <w:t>根据企业提供资料，项目喷涂过程中，油漆在高压下由于喷枪喷出而雾化产生漆雾，主要污染物为颗粒物。漆雾主要是固体组分，在高压作用下雾化成颗粒，大部分被喷射在产品上，剩余部分随气流弥散形成漆雾。根据《涂装工艺学》（张学敏编著）以及《涂装技术实用手册》（叶杨祥、番肇基主编），高压喷涂油漆利用率为60%～85%，故本项目附着率按均值</w:t>
            </w:r>
            <w:r>
              <w:rPr>
                <w:rFonts w:hint="default" w:ascii="Times New Roman" w:hAnsi="Times New Roman" w:cs="Times New Roman"/>
                <w:color w:val="auto"/>
                <w:sz w:val="24"/>
                <w:highlight w:val="none"/>
                <w:lang w:val="en-US" w:eastAsia="zh-CN"/>
              </w:rPr>
              <w:t>60</w:t>
            </w:r>
            <w:r>
              <w:rPr>
                <w:rFonts w:hint="default" w:ascii="Times New Roman" w:hAnsi="Times New Roman" w:cs="Times New Roman"/>
                <w:color w:val="auto"/>
                <w:sz w:val="24"/>
                <w:highlight w:val="none"/>
              </w:rPr>
              <w:t>%计算，则喷涂过程中约</w:t>
            </w:r>
            <w:r>
              <w:rPr>
                <w:rFonts w:hint="default" w:ascii="Times New Roman" w:hAnsi="Times New Roman" w:cs="Times New Roman"/>
                <w:color w:val="auto"/>
                <w:sz w:val="24"/>
                <w:highlight w:val="none"/>
                <w:lang w:val="en-US" w:eastAsia="zh-CN"/>
              </w:rPr>
              <w:t>60</w:t>
            </w:r>
            <w:r>
              <w:rPr>
                <w:rFonts w:hint="default" w:ascii="Times New Roman" w:hAnsi="Times New Roman" w:cs="Times New Roman"/>
                <w:color w:val="auto"/>
                <w:sz w:val="24"/>
                <w:highlight w:val="none"/>
              </w:rPr>
              <w:t>%的涂料黏附在成品表面，另外</w:t>
            </w:r>
            <w:r>
              <w:rPr>
                <w:rFonts w:hint="default" w:ascii="Times New Roman" w:hAnsi="Times New Roman" w:cs="Times New Roman"/>
                <w:color w:val="auto"/>
                <w:sz w:val="24"/>
                <w:highlight w:val="none"/>
                <w:lang w:val="en-US" w:eastAsia="zh-CN"/>
              </w:rPr>
              <w:t>40</w:t>
            </w:r>
            <w:r>
              <w:rPr>
                <w:rFonts w:hint="default" w:ascii="Times New Roman" w:hAnsi="Times New Roman" w:cs="Times New Roman"/>
                <w:color w:val="auto"/>
                <w:sz w:val="24"/>
                <w:highlight w:val="none"/>
              </w:rPr>
              <w:t>%的涂料将在喷涂过程中形成漆雾；根据前文分析，调配后油性漆用量为</w:t>
            </w:r>
            <w:r>
              <w:rPr>
                <w:rFonts w:hint="default" w:ascii="Times New Roman" w:hAnsi="Times New Roman" w:cs="Times New Roman"/>
                <w:color w:val="auto"/>
                <w:sz w:val="24"/>
                <w:highlight w:val="none"/>
                <w:lang w:eastAsia="zh-CN"/>
              </w:rPr>
              <w:t>4.92</w:t>
            </w:r>
            <w:r>
              <w:rPr>
                <w:rFonts w:hint="default" w:ascii="Times New Roman" w:hAnsi="Times New Roman" w:cs="Times New Roman"/>
                <w:color w:val="auto"/>
                <w:sz w:val="24"/>
                <w:highlight w:val="none"/>
              </w:rPr>
              <w:t>t/a，固体份含量为67.07%。故漆雾产生情况为</w:t>
            </w:r>
            <w:r>
              <w:rPr>
                <w:rFonts w:hint="default" w:ascii="Times New Roman" w:hAnsi="Times New Roman" w:cs="Times New Roman"/>
                <w:color w:val="auto"/>
                <w:sz w:val="24"/>
                <w:highlight w:val="none"/>
                <w:lang w:eastAsia="zh-CN"/>
              </w:rPr>
              <w:t>4.92</w:t>
            </w:r>
            <w:r>
              <w:rPr>
                <w:rFonts w:hint="default" w:ascii="Times New Roman" w:hAnsi="Times New Roman" w:cs="Times New Roman"/>
                <w:color w:val="auto"/>
                <w:sz w:val="24"/>
                <w:highlight w:val="none"/>
              </w:rPr>
              <w:t>t/a×67.07%×</w:t>
            </w:r>
            <w:r>
              <w:rPr>
                <w:rFonts w:hint="default" w:ascii="Times New Roman" w:hAnsi="Times New Roman" w:cs="Times New Roman"/>
                <w:color w:val="auto"/>
                <w:sz w:val="24"/>
                <w:highlight w:val="none"/>
                <w:lang w:val="en-US" w:eastAsia="zh-CN"/>
              </w:rPr>
              <w:t>40</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1.32</w:t>
            </w:r>
            <w:r>
              <w:rPr>
                <w:rFonts w:hint="default" w:ascii="Times New Roman" w:hAnsi="Times New Roman" w:cs="Times New Roman"/>
                <w:color w:val="auto"/>
                <w:sz w:val="24"/>
                <w:highlight w:val="none"/>
              </w:rPr>
              <w:t>t/a。</w:t>
            </w:r>
            <w:r>
              <w:rPr>
                <w:rFonts w:hint="default" w:ascii="Times New Roman" w:hAnsi="Times New Roman" w:cs="Times New Roman"/>
                <w:color w:val="auto"/>
                <w:sz w:val="24"/>
                <w:szCs w:val="22"/>
                <w:highlight w:val="none"/>
              </w:rPr>
              <w:t>参考《广东省表面涂装（汽车制造业）挥发性有机废气治理技术指南》（粤环[2015] 4号），约有80~90%的TVOC在喷涂和流平过程排放，10~20%的TVOC在自然风干工序排放，故本项目喷涂过程有机废气产生量的占比取值85%，油漆风干过程有机废气产生量的占比取值15%，则喷涂过程TVOC产生量为1.3</w:t>
            </w:r>
            <w:r>
              <w:rPr>
                <w:rFonts w:hint="default" w:ascii="Times New Roman" w:hAnsi="Times New Roman" w:cs="Times New Roman"/>
                <w:color w:val="auto"/>
                <w:sz w:val="24"/>
                <w:szCs w:val="22"/>
                <w:highlight w:val="none"/>
                <w:lang w:val="en-US" w:eastAsia="zh-CN"/>
              </w:rPr>
              <w:t>77</w:t>
            </w:r>
            <w:r>
              <w:rPr>
                <w:rFonts w:hint="default" w:ascii="Times New Roman" w:hAnsi="Times New Roman" w:cs="Times New Roman"/>
                <w:color w:val="auto"/>
                <w:sz w:val="24"/>
                <w:szCs w:val="22"/>
                <w:highlight w:val="none"/>
              </w:rPr>
              <w:t>t/a；油漆风干过程中TVOC的产生量为0.24</w:t>
            </w:r>
            <w:r>
              <w:rPr>
                <w:rFonts w:hint="default" w:ascii="Times New Roman" w:hAnsi="Times New Roman" w:cs="Times New Roman"/>
                <w:color w:val="auto"/>
                <w:sz w:val="24"/>
                <w:szCs w:val="22"/>
                <w:highlight w:val="none"/>
                <w:lang w:val="en-US" w:eastAsia="zh-CN"/>
              </w:rPr>
              <w:t>3</w:t>
            </w:r>
            <w:r>
              <w:rPr>
                <w:rFonts w:hint="default" w:ascii="Times New Roman" w:hAnsi="Times New Roman" w:cs="Times New Roman"/>
                <w:color w:val="auto"/>
                <w:sz w:val="24"/>
                <w:szCs w:val="22"/>
                <w:highlight w:val="none"/>
              </w:rPr>
              <w:t>t/a。根据表2-5漆料组分含量一览表可以，耐高温漆和稀释剂中含有二甲苯，根据二甲苯及挥发分的质量比例，经计算得出二甲苯占挥发分的重量百分数为63.</w:t>
            </w:r>
            <w:r>
              <w:rPr>
                <w:rFonts w:hint="default" w:ascii="Times New Roman" w:hAnsi="Times New Roman" w:cs="Times New Roman"/>
                <w:color w:val="auto"/>
                <w:sz w:val="24"/>
                <w:szCs w:val="22"/>
                <w:highlight w:val="none"/>
                <w:lang w:val="en-US" w:eastAsia="zh-CN"/>
              </w:rPr>
              <w:t>75</w:t>
            </w:r>
            <w:r>
              <w:rPr>
                <w:rFonts w:hint="default" w:ascii="Times New Roman" w:hAnsi="Times New Roman" w:cs="Times New Roman"/>
                <w:color w:val="auto"/>
                <w:sz w:val="24"/>
                <w:szCs w:val="22"/>
                <w:highlight w:val="none"/>
              </w:rPr>
              <w:t>%（8%*3.9</w:t>
            </w:r>
            <w:r>
              <w:rPr>
                <w:rFonts w:hint="default" w:ascii="Times New Roman" w:hAnsi="Times New Roman" w:cs="Times New Roman"/>
                <w:color w:val="auto"/>
                <w:sz w:val="24"/>
                <w:szCs w:val="22"/>
                <w:highlight w:val="none"/>
                <w:lang w:val="en-US" w:eastAsia="zh-CN"/>
              </w:rPr>
              <w:t>36</w:t>
            </w:r>
            <w:r>
              <w:rPr>
                <w:rFonts w:hint="default" w:ascii="Times New Roman" w:hAnsi="Times New Roman" w:cs="Times New Roman"/>
                <w:color w:val="auto"/>
                <w:sz w:val="24"/>
                <w:szCs w:val="22"/>
                <w:highlight w:val="none"/>
              </w:rPr>
              <w:t>+70%*0.</w:t>
            </w:r>
            <w:r>
              <w:rPr>
                <w:rFonts w:hint="default" w:ascii="Times New Roman" w:hAnsi="Times New Roman" w:cs="Times New Roman"/>
                <w:color w:val="auto"/>
                <w:sz w:val="24"/>
                <w:szCs w:val="22"/>
                <w:highlight w:val="none"/>
                <w:lang w:val="en-US" w:eastAsia="zh-CN"/>
              </w:rPr>
              <w:t>984</w:t>
            </w:r>
            <w:r>
              <w:rPr>
                <w:rFonts w:hint="default" w:ascii="Times New Roman" w:hAnsi="Times New Roman" w:cs="Times New Roman"/>
                <w:color w:val="auto"/>
                <w:sz w:val="24"/>
                <w:szCs w:val="22"/>
                <w:highlight w:val="none"/>
              </w:rPr>
              <w:t>)/(15%*3.9</w:t>
            </w:r>
            <w:r>
              <w:rPr>
                <w:rFonts w:hint="default" w:ascii="Times New Roman" w:hAnsi="Times New Roman" w:cs="Times New Roman"/>
                <w:color w:val="auto"/>
                <w:sz w:val="24"/>
                <w:szCs w:val="22"/>
                <w:highlight w:val="none"/>
                <w:lang w:val="en-US" w:eastAsia="zh-CN"/>
              </w:rPr>
              <w:t>36</w:t>
            </w:r>
            <w:r>
              <w:rPr>
                <w:rFonts w:hint="default" w:ascii="Times New Roman" w:hAnsi="Times New Roman" w:cs="Times New Roman"/>
                <w:color w:val="auto"/>
                <w:sz w:val="24"/>
                <w:szCs w:val="22"/>
                <w:highlight w:val="none"/>
              </w:rPr>
              <w:t>+100%*0.9</w:t>
            </w:r>
            <w:r>
              <w:rPr>
                <w:rFonts w:hint="default" w:ascii="Times New Roman" w:hAnsi="Times New Roman" w:cs="Times New Roman"/>
                <w:color w:val="auto"/>
                <w:sz w:val="24"/>
                <w:szCs w:val="22"/>
                <w:highlight w:val="none"/>
                <w:lang w:val="en-US" w:eastAsia="zh-CN"/>
              </w:rPr>
              <w:t>84</w:t>
            </w:r>
            <w:r>
              <w:rPr>
                <w:rFonts w:hint="default" w:ascii="Times New Roman" w:hAnsi="Times New Roman" w:cs="Times New Roman"/>
                <w:color w:val="auto"/>
                <w:sz w:val="24"/>
                <w:szCs w:val="22"/>
                <w:highlight w:val="none"/>
                <w:lang w:eastAsia="zh-CN"/>
              </w:rPr>
              <w:t>）</w:t>
            </w:r>
            <w:r>
              <w:rPr>
                <w:rFonts w:hint="default" w:ascii="Times New Roman" w:hAnsi="Times New Roman" w:cs="Times New Roman"/>
                <w:color w:val="auto"/>
                <w:sz w:val="24"/>
                <w:szCs w:val="22"/>
                <w:highlight w:val="none"/>
              </w:rPr>
              <w:t>=63.</w:t>
            </w:r>
            <w:r>
              <w:rPr>
                <w:rFonts w:hint="default" w:ascii="Times New Roman" w:hAnsi="Times New Roman" w:cs="Times New Roman"/>
                <w:color w:val="auto"/>
                <w:sz w:val="24"/>
                <w:szCs w:val="22"/>
                <w:highlight w:val="none"/>
                <w:lang w:val="en-US" w:eastAsia="zh-CN"/>
              </w:rPr>
              <w:t>75</w:t>
            </w:r>
            <w:r>
              <w:rPr>
                <w:rFonts w:hint="default" w:ascii="Times New Roman" w:hAnsi="Times New Roman" w:cs="Times New Roman"/>
                <w:color w:val="auto"/>
                <w:sz w:val="24"/>
                <w:szCs w:val="22"/>
                <w:highlight w:val="none"/>
              </w:rPr>
              <w:t>%，则二甲苯在喷涂过程中的产生量为0.8</w:t>
            </w:r>
            <w:r>
              <w:rPr>
                <w:rFonts w:hint="default" w:ascii="Times New Roman" w:hAnsi="Times New Roman" w:cs="Times New Roman"/>
                <w:color w:val="auto"/>
                <w:sz w:val="24"/>
                <w:szCs w:val="22"/>
                <w:highlight w:val="none"/>
                <w:lang w:val="en-US" w:eastAsia="zh-CN"/>
              </w:rPr>
              <w:t>78</w:t>
            </w:r>
            <w:r>
              <w:rPr>
                <w:rFonts w:hint="default" w:ascii="Times New Roman" w:hAnsi="Times New Roman" w:cs="Times New Roman"/>
                <w:color w:val="auto"/>
                <w:sz w:val="24"/>
                <w:szCs w:val="22"/>
                <w:highlight w:val="none"/>
              </w:rPr>
              <w:t>t/a；二甲苯在风干过程的产生量为0.15</w:t>
            </w:r>
            <w:r>
              <w:rPr>
                <w:rFonts w:hint="default" w:ascii="Times New Roman" w:hAnsi="Times New Roman" w:cs="Times New Roman"/>
                <w:color w:val="auto"/>
                <w:sz w:val="24"/>
                <w:szCs w:val="22"/>
                <w:highlight w:val="none"/>
                <w:lang w:val="en-US" w:eastAsia="zh-CN"/>
              </w:rPr>
              <w:t>5</w:t>
            </w:r>
            <w:r>
              <w:rPr>
                <w:rFonts w:hint="default" w:ascii="Times New Roman" w:hAnsi="Times New Roman" w:cs="Times New Roman"/>
                <w:color w:val="auto"/>
                <w:sz w:val="24"/>
                <w:szCs w:val="22"/>
                <w:highlight w:val="none"/>
              </w:rPr>
              <w:t>t/a。</w:t>
            </w:r>
          </w:p>
          <w:p w14:paraId="55CE8110">
            <w:pPr>
              <w:pStyle w:val="131"/>
              <w:widowControl w:val="0"/>
              <w:snapToGrid w:val="0"/>
              <w:spacing w:line="360" w:lineRule="auto"/>
              <w:ind w:firstLine="482"/>
              <w:rPr>
                <w:rFonts w:hint="default" w:ascii="Times New Roman" w:hAnsi="Times New Roman" w:cs="Times New Roman"/>
                <w:b/>
                <w:color w:val="auto"/>
                <w:szCs w:val="24"/>
                <w:highlight w:val="none"/>
              </w:rPr>
            </w:pPr>
            <w:r>
              <w:rPr>
                <w:rFonts w:hint="default" w:ascii="Times New Roman" w:hAnsi="Times New Roman" w:cs="Times New Roman"/>
                <w:b/>
                <w:color w:val="auto"/>
                <w:szCs w:val="24"/>
                <w:highlight w:val="none"/>
              </w:rPr>
              <w:t>洗枪工序废气的产生情况分析</w:t>
            </w:r>
          </w:p>
          <w:p w14:paraId="6E3A2437">
            <w:pPr>
              <w:pStyle w:val="131"/>
              <w:widowControl w:val="0"/>
              <w:snapToGrid w:val="0"/>
              <w:spacing w:line="360" w:lineRule="auto"/>
              <w:rPr>
                <w:rFonts w:hint="default" w:ascii="Times New Roman" w:hAnsi="Times New Roman" w:cs="Times New Roman"/>
                <w:color w:val="auto"/>
                <w:szCs w:val="24"/>
                <w:highlight w:val="none"/>
              </w:rPr>
            </w:pPr>
            <w:r>
              <w:rPr>
                <w:rFonts w:hint="default" w:ascii="Times New Roman" w:hAnsi="Times New Roman" w:cs="Times New Roman"/>
                <w:bCs/>
                <w:color w:val="auto"/>
                <w:szCs w:val="24"/>
                <w:highlight w:val="none"/>
              </w:rPr>
              <w:t>本项目设置1把喷枪，每天工作结束后需在喷漆柜内使用稀释剂对喷漆枪的零件部位进行擦拭、清理，喷漆枪清理一次需使用稀释剂30ml，年工作300天，</w:t>
            </w:r>
            <w:r>
              <w:rPr>
                <w:rFonts w:hint="default" w:ascii="Times New Roman" w:hAnsi="Times New Roman" w:cs="Times New Roman"/>
                <w:snapToGrid w:val="0"/>
                <w:color w:val="auto"/>
                <w:highlight w:val="none"/>
              </w:rPr>
              <w:t>则清洗用稀释剂总用量约为0.009t/a（0.03×1.049×10</w:t>
            </w:r>
            <w:r>
              <w:rPr>
                <w:rFonts w:hint="default" w:ascii="Times New Roman" w:hAnsi="Times New Roman" w:cs="Times New Roman"/>
                <w:snapToGrid w:val="0"/>
                <w:color w:val="auto"/>
                <w:highlight w:val="none"/>
                <w:vertAlign w:val="superscript"/>
              </w:rPr>
              <w:t>-3</w:t>
            </w:r>
            <w:r>
              <w:rPr>
                <w:rFonts w:hint="default" w:ascii="Times New Roman" w:hAnsi="Times New Roman" w:cs="Times New Roman"/>
                <w:snapToGrid w:val="0"/>
                <w:color w:val="auto"/>
                <w:highlight w:val="none"/>
              </w:rPr>
              <w:t>×300=0.009）</w:t>
            </w:r>
            <w:r>
              <w:rPr>
                <w:rFonts w:hint="default" w:ascii="Times New Roman" w:hAnsi="Times New Roman" w:cs="Times New Roman"/>
                <w:bCs/>
                <w:color w:val="auto"/>
                <w:szCs w:val="24"/>
                <w:highlight w:val="none"/>
              </w:rPr>
              <w:t>。稀释剂挥发量以100%计，</w:t>
            </w:r>
            <w:r>
              <w:rPr>
                <w:rFonts w:hint="default" w:ascii="Times New Roman" w:hAnsi="Times New Roman" w:cs="Times New Roman"/>
                <w:color w:val="auto"/>
                <w:szCs w:val="24"/>
                <w:highlight w:val="none"/>
              </w:rPr>
              <w:t>则TVOC产生量为0.009t/a，其中二甲苯产生量为0.009*0.7=0.006t/a。</w:t>
            </w:r>
          </w:p>
          <w:p w14:paraId="478C5747">
            <w:pPr>
              <w:pStyle w:val="131"/>
              <w:widowControl w:val="0"/>
              <w:snapToGrid w:val="0"/>
              <w:spacing w:line="360" w:lineRule="auto"/>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综上所述，喷漆工序产生的TVOC量为0.24</w:t>
            </w:r>
            <w:r>
              <w:rPr>
                <w:rFonts w:hint="default" w:ascii="Times New Roman" w:hAnsi="Times New Roman" w:cs="Times New Roman"/>
                <w:color w:val="auto"/>
                <w:szCs w:val="24"/>
                <w:highlight w:val="none"/>
                <w:lang w:val="en-US" w:eastAsia="zh-CN"/>
              </w:rPr>
              <w:t>3</w:t>
            </w:r>
            <w:r>
              <w:rPr>
                <w:rFonts w:hint="default" w:ascii="Times New Roman" w:hAnsi="Times New Roman" w:cs="Times New Roman"/>
                <w:color w:val="auto"/>
                <w:szCs w:val="24"/>
                <w:highlight w:val="none"/>
              </w:rPr>
              <w:t>+1.3</w:t>
            </w:r>
            <w:r>
              <w:rPr>
                <w:rFonts w:hint="default" w:ascii="Times New Roman" w:hAnsi="Times New Roman" w:cs="Times New Roman"/>
                <w:color w:val="auto"/>
                <w:szCs w:val="24"/>
                <w:highlight w:val="none"/>
                <w:lang w:val="en-US" w:eastAsia="zh-CN"/>
              </w:rPr>
              <w:t>77</w:t>
            </w:r>
            <w:r>
              <w:rPr>
                <w:rFonts w:hint="default" w:ascii="Times New Roman" w:hAnsi="Times New Roman" w:cs="Times New Roman"/>
                <w:color w:val="auto"/>
                <w:szCs w:val="24"/>
                <w:highlight w:val="none"/>
              </w:rPr>
              <w:t>+0.009=1.6</w:t>
            </w:r>
            <w:r>
              <w:rPr>
                <w:rFonts w:hint="default" w:ascii="Times New Roman" w:hAnsi="Times New Roman" w:cs="Times New Roman"/>
                <w:color w:val="auto"/>
                <w:szCs w:val="24"/>
                <w:highlight w:val="none"/>
                <w:lang w:val="en-US" w:eastAsia="zh-CN"/>
              </w:rPr>
              <w:t>29</w:t>
            </w:r>
            <w:r>
              <w:rPr>
                <w:rFonts w:hint="default" w:ascii="Times New Roman" w:hAnsi="Times New Roman" w:cs="Times New Roman"/>
                <w:color w:val="auto"/>
                <w:szCs w:val="24"/>
                <w:highlight w:val="none"/>
              </w:rPr>
              <w:t>t/a，其中二甲苯的产生量为1.0</w:t>
            </w:r>
            <w:r>
              <w:rPr>
                <w:rFonts w:hint="default" w:ascii="Times New Roman" w:hAnsi="Times New Roman" w:cs="Times New Roman"/>
                <w:color w:val="auto"/>
                <w:szCs w:val="24"/>
                <w:highlight w:val="none"/>
                <w:lang w:val="en-US" w:eastAsia="zh-CN"/>
              </w:rPr>
              <w:t>39</w:t>
            </w:r>
            <w:r>
              <w:rPr>
                <w:rFonts w:hint="default" w:ascii="Times New Roman" w:hAnsi="Times New Roman" w:cs="Times New Roman"/>
                <w:color w:val="auto"/>
                <w:szCs w:val="24"/>
                <w:highlight w:val="none"/>
              </w:rPr>
              <w:t>t/a。（0.8</w:t>
            </w:r>
            <w:r>
              <w:rPr>
                <w:rFonts w:hint="default" w:ascii="Times New Roman" w:hAnsi="Times New Roman" w:cs="Times New Roman"/>
                <w:color w:val="auto"/>
                <w:szCs w:val="24"/>
                <w:highlight w:val="none"/>
                <w:lang w:val="en-US" w:eastAsia="zh-CN"/>
              </w:rPr>
              <w:t>78</w:t>
            </w:r>
            <w:r>
              <w:rPr>
                <w:rFonts w:hint="default" w:ascii="Times New Roman" w:hAnsi="Times New Roman" w:cs="Times New Roman"/>
                <w:color w:val="auto"/>
                <w:szCs w:val="24"/>
                <w:highlight w:val="none"/>
              </w:rPr>
              <w:t>+0.15</w:t>
            </w:r>
            <w:r>
              <w:rPr>
                <w:rFonts w:hint="default" w:ascii="Times New Roman" w:hAnsi="Times New Roman" w:cs="Times New Roman"/>
                <w:color w:val="auto"/>
                <w:szCs w:val="24"/>
                <w:highlight w:val="none"/>
                <w:lang w:val="en-US" w:eastAsia="zh-CN"/>
              </w:rPr>
              <w:t>5</w:t>
            </w:r>
            <w:r>
              <w:rPr>
                <w:rFonts w:hint="default" w:ascii="Times New Roman" w:hAnsi="Times New Roman" w:cs="Times New Roman"/>
                <w:color w:val="auto"/>
                <w:szCs w:val="24"/>
                <w:highlight w:val="none"/>
              </w:rPr>
              <w:t>+0.006=1.0</w:t>
            </w:r>
            <w:r>
              <w:rPr>
                <w:rFonts w:hint="default" w:ascii="Times New Roman" w:hAnsi="Times New Roman" w:cs="Times New Roman"/>
                <w:color w:val="auto"/>
                <w:szCs w:val="24"/>
                <w:highlight w:val="none"/>
                <w:lang w:val="en-US" w:eastAsia="zh-CN"/>
              </w:rPr>
              <w:t>39</w:t>
            </w:r>
            <w:r>
              <w:rPr>
                <w:rFonts w:hint="default" w:ascii="Times New Roman" w:hAnsi="Times New Roman" w:cs="Times New Roman"/>
                <w:color w:val="auto"/>
                <w:szCs w:val="24"/>
                <w:highlight w:val="none"/>
              </w:rPr>
              <w:t>）；喷漆工序颗粒物产生量为</w:t>
            </w:r>
            <w:r>
              <w:rPr>
                <w:rFonts w:hint="default" w:ascii="Times New Roman" w:hAnsi="Times New Roman" w:cs="Times New Roman"/>
                <w:color w:val="auto"/>
                <w:szCs w:val="24"/>
                <w:highlight w:val="none"/>
                <w:lang w:val="en-US" w:eastAsia="zh-CN"/>
              </w:rPr>
              <w:t>1.32</w:t>
            </w:r>
            <w:r>
              <w:rPr>
                <w:rFonts w:hint="default" w:ascii="Times New Roman" w:hAnsi="Times New Roman" w:cs="Times New Roman"/>
                <w:color w:val="auto"/>
                <w:szCs w:val="24"/>
                <w:highlight w:val="none"/>
              </w:rPr>
              <w:t>t/a。</w:t>
            </w:r>
          </w:p>
          <w:p w14:paraId="6DFD1E06">
            <w:pPr>
              <w:widowControl/>
              <w:spacing w:line="360" w:lineRule="auto"/>
              <w:ind w:firstLine="482" w:firstLineChars="200"/>
              <w:jc w:val="left"/>
              <w:rPr>
                <w:rFonts w:hint="default" w:ascii="Times New Roman" w:hAnsi="Times New Roman" w:eastAsia="宋体" w:cs="Times New Roman"/>
                <w:b/>
                <w:bCs/>
                <w:color w:val="auto"/>
                <w:spacing w:val="-10"/>
                <w:sz w:val="24"/>
                <w:highlight w:val="none"/>
                <w:lang w:val="en-US" w:eastAsia="zh-CN"/>
              </w:rPr>
            </w:pPr>
            <w:r>
              <w:rPr>
                <w:rFonts w:hint="default" w:ascii="Times New Roman" w:hAnsi="Times New Roman" w:cs="Times New Roman"/>
                <w:b/>
                <w:color w:val="auto"/>
                <w:sz w:val="24"/>
                <w:highlight w:val="none"/>
              </w:rPr>
              <w:t>②</w:t>
            </w:r>
            <w:r>
              <w:rPr>
                <w:rFonts w:hint="default" w:ascii="Times New Roman" w:hAnsi="Times New Roman" w:cs="Times New Roman"/>
                <w:b/>
                <w:bCs/>
                <w:color w:val="auto"/>
                <w:sz w:val="24"/>
                <w:highlight w:val="none"/>
              </w:rPr>
              <w:t>烘烤</w:t>
            </w:r>
            <w:r>
              <w:rPr>
                <w:rFonts w:hint="default" w:ascii="Times New Roman" w:hAnsi="Times New Roman" w:cs="Times New Roman"/>
                <w:b/>
                <w:bCs/>
                <w:color w:val="auto"/>
                <w:sz w:val="24"/>
                <w:highlight w:val="none"/>
                <w:lang w:bidi="ar"/>
              </w:rPr>
              <w:t>废气</w:t>
            </w:r>
            <w:r>
              <w:rPr>
                <w:rFonts w:hint="default" w:ascii="Times New Roman" w:hAnsi="Times New Roman" w:cs="Times New Roman"/>
                <w:b/>
                <w:bCs/>
                <w:color w:val="auto"/>
                <w:sz w:val="24"/>
                <w:highlight w:val="none"/>
                <w:lang w:val="en-US" w:eastAsia="zh-CN" w:bidi="ar"/>
              </w:rPr>
              <w:t>源强分析</w:t>
            </w:r>
          </w:p>
          <w:p w14:paraId="2275C737">
            <w:pPr>
              <w:pStyle w:val="63"/>
              <w:ind w:firstLine="440"/>
              <w:rPr>
                <w:rFonts w:hint="default" w:ascii="Times New Roman" w:hAnsi="Times New Roman" w:eastAsia="宋体" w:cs="Times New Roman"/>
                <w:bCs/>
                <w:color w:val="auto"/>
                <w:spacing w:val="-10"/>
                <w:sz w:val="24"/>
                <w:highlight w:val="none"/>
              </w:rPr>
            </w:pPr>
            <w:r>
              <w:rPr>
                <w:rFonts w:hint="default" w:ascii="Times New Roman" w:hAnsi="Times New Roman" w:eastAsia="宋体" w:cs="Times New Roman"/>
                <w:bCs/>
                <w:color w:val="auto"/>
                <w:spacing w:val="-10"/>
                <w:sz w:val="24"/>
                <w:highlight w:val="none"/>
              </w:rPr>
              <w:t>本项目部分工件进行热固性粉末涂料喷</w:t>
            </w:r>
            <w:r>
              <w:rPr>
                <w:rFonts w:hint="default" w:ascii="Times New Roman" w:hAnsi="Times New Roman" w:eastAsia="宋体" w:cs="Times New Roman"/>
                <w:bCs/>
                <w:color w:val="auto"/>
                <w:spacing w:val="-10"/>
                <w:sz w:val="24"/>
                <w:highlight w:val="none"/>
                <w:lang w:val="en-US" w:eastAsia="zh-CN"/>
              </w:rPr>
              <w:t>粉</w:t>
            </w:r>
            <w:r>
              <w:rPr>
                <w:rFonts w:hint="default" w:ascii="Times New Roman" w:hAnsi="Times New Roman" w:eastAsia="宋体" w:cs="Times New Roman"/>
                <w:bCs/>
                <w:color w:val="auto"/>
                <w:spacing w:val="-10"/>
                <w:sz w:val="24"/>
                <w:highlight w:val="none"/>
              </w:rPr>
              <w:t>，工件喷热固性粉末涂料完毕后需进行烘烤固化，烘烤固化过程中会有挥发性有机物产生，根据《排放源统计调查产排污核算方法和系数手册》（公告</w:t>
            </w:r>
            <w:r>
              <w:rPr>
                <w:rFonts w:hint="default" w:ascii="Times New Roman" w:hAnsi="Times New Roman" w:cs="Times New Roman"/>
                <w:bCs/>
                <w:color w:val="auto"/>
                <w:spacing w:val="-10"/>
                <w:sz w:val="24"/>
                <w:highlight w:val="none"/>
              </w:rPr>
              <w:t>2021</w:t>
            </w:r>
            <w:r>
              <w:rPr>
                <w:rFonts w:hint="default" w:ascii="Times New Roman" w:hAnsi="Times New Roman" w:eastAsia="宋体" w:cs="Times New Roman"/>
                <w:bCs/>
                <w:color w:val="auto"/>
                <w:spacing w:val="-10"/>
                <w:sz w:val="24"/>
                <w:highlight w:val="none"/>
              </w:rPr>
              <w:t>年第</w:t>
            </w:r>
            <w:r>
              <w:rPr>
                <w:rFonts w:hint="default" w:ascii="Times New Roman" w:hAnsi="Times New Roman" w:cs="Times New Roman"/>
                <w:bCs/>
                <w:color w:val="auto"/>
                <w:spacing w:val="-10"/>
                <w:sz w:val="24"/>
                <w:highlight w:val="none"/>
              </w:rPr>
              <w:t>24</w:t>
            </w:r>
            <w:r>
              <w:rPr>
                <w:rFonts w:hint="default" w:ascii="Times New Roman" w:hAnsi="Times New Roman" w:eastAsia="宋体" w:cs="Times New Roman"/>
                <w:bCs/>
                <w:color w:val="auto"/>
                <w:spacing w:val="-10"/>
                <w:sz w:val="24"/>
                <w:highlight w:val="none"/>
              </w:rPr>
              <w:t>号）中《</w:t>
            </w:r>
            <w:r>
              <w:rPr>
                <w:rFonts w:hint="default" w:ascii="Times New Roman" w:hAnsi="Times New Roman" w:cs="Times New Roman"/>
                <w:bCs/>
                <w:color w:val="auto"/>
                <w:spacing w:val="-10"/>
                <w:sz w:val="24"/>
                <w:highlight w:val="none"/>
              </w:rPr>
              <w:t xml:space="preserve">34 </w:t>
            </w:r>
            <w:r>
              <w:rPr>
                <w:rFonts w:hint="default" w:ascii="Times New Roman" w:hAnsi="Times New Roman" w:eastAsia="宋体" w:cs="Times New Roman"/>
                <w:bCs/>
                <w:color w:val="auto"/>
                <w:spacing w:val="-10"/>
                <w:sz w:val="24"/>
                <w:highlight w:val="none"/>
              </w:rPr>
              <w:t>通用设备制造行业系数手册》中的</w:t>
            </w:r>
            <w:r>
              <w:rPr>
                <w:rFonts w:hint="default" w:ascii="Times New Roman" w:hAnsi="Times New Roman" w:cs="Times New Roman"/>
                <w:bCs/>
                <w:color w:val="auto"/>
                <w:spacing w:val="-10"/>
                <w:sz w:val="24"/>
                <w:highlight w:val="none"/>
              </w:rPr>
              <w:t>14</w:t>
            </w:r>
            <w:r>
              <w:rPr>
                <w:rFonts w:hint="default" w:ascii="Times New Roman" w:hAnsi="Times New Roman" w:eastAsia="宋体" w:cs="Times New Roman"/>
                <w:bCs/>
                <w:color w:val="auto"/>
                <w:spacing w:val="-10"/>
                <w:sz w:val="24"/>
                <w:highlight w:val="none"/>
              </w:rPr>
              <w:t>涂装</w:t>
            </w:r>
            <w:r>
              <w:rPr>
                <w:rFonts w:hint="default" w:ascii="Times New Roman" w:hAnsi="Times New Roman" w:cs="Times New Roman"/>
                <w:bCs/>
                <w:color w:val="auto"/>
                <w:spacing w:val="-10"/>
                <w:sz w:val="24"/>
                <w:highlight w:val="none"/>
              </w:rPr>
              <w:t>“</w:t>
            </w:r>
            <w:r>
              <w:rPr>
                <w:rFonts w:hint="default" w:ascii="Times New Roman" w:hAnsi="Times New Roman" w:eastAsia="宋体" w:cs="Times New Roman"/>
                <w:bCs/>
                <w:color w:val="auto"/>
                <w:spacing w:val="-10"/>
                <w:sz w:val="24"/>
                <w:highlight w:val="none"/>
              </w:rPr>
              <w:t>粉末涂料</w:t>
            </w:r>
            <w:r>
              <w:rPr>
                <w:rFonts w:hint="default" w:ascii="Times New Roman" w:hAnsi="Times New Roman" w:cs="Times New Roman"/>
                <w:bCs/>
                <w:color w:val="auto"/>
                <w:spacing w:val="-10"/>
                <w:sz w:val="24"/>
                <w:highlight w:val="none"/>
              </w:rPr>
              <w:t xml:space="preserve"> </w:t>
            </w:r>
            <w:r>
              <w:rPr>
                <w:rFonts w:hint="default" w:ascii="Times New Roman" w:hAnsi="Times New Roman" w:eastAsia="宋体" w:cs="Times New Roman"/>
                <w:bCs/>
                <w:color w:val="auto"/>
                <w:spacing w:val="-10"/>
                <w:sz w:val="24"/>
                <w:highlight w:val="none"/>
              </w:rPr>
              <w:t>喷塑后烘干</w:t>
            </w:r>
            <w:r>
              <w:rPr>
                <w:rFonts w:hint="default" w:ascii="Times New Roman" w:hAnsi="Times New Roman" w:cs="Times New Roman"/>
                <w:bCs/>
                <w:color w:val="auto"/>
                <w:spacing w:val="-10"/>
                <w:sz w:val="24"/>
                <w:highlight w:val="none"/>
              </w:rPr>
              <w:t>”</w:t>
            </w:r>
            <w:r>
              <w:rPr>
                <w:rFonts w:hint="default" w:ascii="Times New Roman" w:hAnsi="Times New Roman" w:eastAsia="宋体" w:cs="Times New Roman"/>
                <w:bCs/>
                <w:color w:val="auto"/>
                <w:spacing w:val="-10"/>
                <w:sz w:val="24"/>
                <w:highlight w:val="none"/>
              </w:rPr>
              <w:t>挥发性有机物的产污系数为</w:t>
            </w:r>
            <w:r>
              <w:rPr>
                <w:rFonts w:hint="default" w:ascii="Times New Roman" w:hAnsi="Times New Roman" w:cs="Times New Roman"/>
                <w:bCs/>
                <w:color w:val="auto"/>
                <w:spacing w:val="-10"/>
                <w:sz w:val="24"/>
                <w:highlight w:val="none"/>
              </w:rPr>
              <w:t>1.2kg/t-</w:t>
            </w:r>
            <w:r>
              <w:rPr>
                <w:rFonts w:hint="default" w:ascii="Times New Roman" w:hAnsi="Times New Roman" w:eastAsia="宋体" w:cs="Times New Roman"/>
                <w:bCs/>
                <w:color w:val="auto"/>
                <w:spacing w:val="-10"/>
                <w:sz w:val="24"/>
                <w:highlight w:val="none"/>
              </w:rPr>
              <w:t>原料。根据建设单位提供资料，本项目热固性粉末涂料的使用量为1.997</w:t>
            </w:r>
            <w:r>
              <w:rPr>
                <w:rFonts w:hint="default" w:ascii="Times New Roman" w:hAnsi="Times New Roman" w:cs="Times New Roman"/>
                <w:bCs/>
                <w:color w:val="auto"/>
                <w:spacing w:val="-10"/>
                <w:sz w:val="24"/>
                <w:highlight w:val="none"/>
              </w:rPr>
              <w:t>t/a</w:t>
            </w:r>
            <w:r>
              <w:rPr>
                <w:rFonts w:hint="default" w:ascii="Times New Roman" w:hAnsi="Times New Roman" w:eastAsia="宋体" w:cs="Times New Roman"/>
                <w:bCs/>
                <w:color w:val="auto"/>
                <w:spacing w:val="-10"/>
                <w:sz w:val="24"/>
                <w:highlight w:val="none"/>
              </w:rPr>
              <w:t>，则热固性粉末涂料烘烤固化时挥发性有机物TVOC的产生量为</w:t>
            </w:r>
            <w:r>
              <w:rPr>
                <w:rFonts w:hint="default" w:ascii="Times New Roman" w:hAnsi="Times New Roman" w:cs="Times New Roman"/>
                <w:bCs/>
                <w:color w:val="auto"/>
                <w:spacing w:val="-10"/>
                <w:sz w:val="24"/>
                <w:highlight w:val="none"/>
              </w:rPr>
              <w:t>0.0</w:t>
            </w:r>
            <w:r>
              <w:rPr>
                <w:rFonts w:hint="default" w:ascii="Times New Roman" w:hAnsi="Times New Roman" w:eastAsia="宋体" w:cs="Times New Roman"/>
                <w:bCs/>
                <w:color w:val="auto"/>
                <w:spacing w:val="-10"/>
                <w:sz w:val="24"/>
                <w:highlight w:val="none"/>
              </w:rPr>
              <w:t>024</w:t>
            </w:r>
            <w:r>
              <w:rPr>
                <w:rFonts w:hint="default" w:ascii="Times New Roman" w:hAnsi="Times New Roman" w:cs="Times New Roman"/>
                <w:bCs/>
                <w:color w:val="auto"/>
                <w:spacing w:val="-10"/>
                <w:sz w:val="24"/>
                <w:highlight w:val="none"/>
              </w:rPr>
              <w:t>t/a</w:t>
            </w:r>
            <w:r>
              <w:rPr>
                <w:rFonts w:hint="default" w:ascii="Times New Roman" w:hAnsi="Times New Roman" w:eastAsia="宋体" w:cs="Times New Roman"/>
                <w:bCs/>
                <w:color w:val="auto"/>
                <w:spacing w:val="-10"/>
                <w:sz w:val="24"/>
                <w:highlight w:val="none"/>
              </w:rPr>
              <w:t>。</w:t>
            </w:r>
          </w:p>
          <w:p w14:paraId="1B684659">
            <w:pPr>
              <w:adjustRightInd w:val="0"/>
              <w:snapToGrid w:val="0"/>
              <w:spacing w:before="120" w:beforeLines="50"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pacing w:val="-10"/>
                <w:sz w:val="24"/>
                <w:highlight w:val="none"/>
              </w:rPr>
              <w:t xml:space="preserve">     </w:t>
            </w:r>
            <w:r>
              <w:rPr>
                <w:rFonts w:hint="default" w:ascii="Times New Roman" w:hAnsi="Times New Roman" w:cs="Times New Roman"/>
                <w:b/>
                <w:color w:val="auto"/>
                <w:sz w:val="24"/>
                <w:highlight w:val="none"/>
              </w:rPr>
              <w:t>③废气收集排放方案</w:t>
            </w:r>
          </w:p>
          <w:p w14:paraId="0A5F951C">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喷涂、洗枪工序在喷漆柜内进行，采用相对负压排风状态保持喷漆柜内空气的TVOC浓度，喷漆柜的换风系统末端接入废气处理系统；喷漆工件风干在密闭的风干房内进行，采用通风自然风干，建设单位在风干房设置排风口，将废气排入废气处理系统；喷粉烘烤工序在密闭烤箱内进行，采用电加热，建设单位拟在烤箱排气口上方设置集气罩抽风的方式收集逸散废气，收集后接入废气处理系统。</w:t>
            </w:r>
          </w:p>
          <w:p w14:paraId="0FE7FF4F">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项目喷涂、洗枪废气收集后经 “水帘柜+除雾+二级活性炭吸附装置”处理后由15m排气筒DA005高空排放；烘烤工序废气、风干工序废气，产生的有机废气收集后引入喷涂、洗枪废气处理装置中的 “二级活性炭吸附装置”处理后由15m排气筒DA005高空排放。</w:t>
            </w:r>
          </w:p>
          <w:p w14:paraId="523A2CA6">
            <w:pPr>
              <w:pStyle w:val="102"/>
              <w:spacing w:before="120" w:beforeLines="50"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喷涂、洗枪废气收集方案</w:t>
            </w:r>
          </w:p>
          <w:p w14:paraId="1CCFC9ED">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为降低本项目喷涂工序产生的废气对区域大气环境的影响，本项目喷漆、洗枪工序在喷漆柜内进行，</w:t>
            </w:r>
            <w:r>
              <w:rPr>
                <w:rFonts w:hint="default" w:ascii="Times New Roman" w:hAnsi="Times New Roman" w:cs="Times New Roman"/>
                <w:color w:val="auto"/>
                <w:sz w:val="24"/>
                <w:szCs w:val="24"/>
                <w:highlight w:val="none"/>
                <w:lang w:val="en-US" w:eastAsia="zh-CN"/>
              </w:rPr>
              <w:t>喷漆柜设置在密闭喷漆房内，</w:t>
            </w:r>
            <w:r>
              <w:rPr>
                <w:rFonts w:hint="default" w:ascii="Times New Roman" w:hAnsi="Times New Roman" w:cs="Times New Roman"/>
                <w:color w:val="auto"/>
                <w:sz w:val="24"/>
                <w:szCs w:val="24"/>
                <w:highlight w:val="none"/>
              </w:rPr>
              <w:t>根据建设单位提供的资料可知，本项目设有1个喷漆柜。建设单位拟采用喷漆柜整体密闭负压抽风加喷漆水帘柜连接抽风管抽风方式对喷涂废气进行收集。</w:t>
            </w:r>
          </w:p>
          <w:p w14:paraId="6A8258F8">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密闭设施所需风量：参考《广东省表面涂装（汽车制造业）挥发性有机废气治理技术指南》（粤环[2015] 4号）中3.2.2废气捕集率评价方法：按照车间空间体积和60次/小时换气次数计算新风量。本项目喷漆</w:t>
            </w:r>
            <w:r>
              <w:rPr>
                <w:rFonts w:hint="default" w:ascii="Times New Roman" w:hAnsi="Times New Roman" w:cs="Times New Roman"/>
                <w:color w:val="auto"/>
                <w:sz w:val="24"/>
                <w:szCs w:val="24"/>
                <w:highlight w:val="none"/>
                <w:lang w:val="en-US" w:eastAsia="zh-CN"/>
              </w:rPr>
              <w:t>房</w:t>
            </w:r>
            <w:r>
              <w:rPr>
                <w:rFonts w:hint="default" w:ascii="Times New Roman" w:hAnsi="Times New Roman" w:cs="Times New Roman"/>
                <w:color w:val="auto"/>
                <w:sz w:val="24"/>
                <w:szCs w:val="24"/>
                <w:highlight w:val="none"/>
              </w:rPr>
              <w:t>的尺寸</w:t>
            </w:r>
            <w:r>
              <w:rPr>
                <w:rFonts w:hint="default" w:ascii="Times New Roman" w:hAnsi="Times New Roman" w:cs="Times New Roman"/>
                <w:color w:val="auto"/>
                <w:sz w:val="24"/>
                <w:szCs w:val="24"/>
                <w:highlight w:val="none"/>
                <w:lang w:val="en-US" w:eastAsia="zh-CN"/>
              </w:rPr>
              <w:t>约</w:t>
            </w:r>
            <w:r>
              <w:rPr>
                <w:rFonts w:hint="default" w:ascii="Times New Roman" w:hAnsi="Times New Roman" w:cs="Times New Roman"/>
                <w:color w:val="auto"/>
                <w:sz w:val="24"/>
                <w:szCs w:val="24"/>
                <w:highlight w:val="none"/>
              </w:rPr>
              <w:t>为</w:t>
            </w:r>
            <w:r>
              <w:rPr>
                <w:rFonts w:hint="default"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m，换气次数按60次/h计，具体收集风量计算如下表所示。</w:t>
            </w:r>
          </w:p>
          <w:p w14:paraId="259C1410">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表4-1 喷漆</w:t>
            </w:r>
            <w:r>
              <w:rPr>
                <w:rFonts w:hint="default" w:ascii="Times New Roman" w:hAnsi="Times New Roman" w:cs="Times New Roman"/>
                <w:b/>
                <w:color w:val="auto"/>
                <w:sz w:val="24"/>
                <w:highlight w:val="none"/>
                <w:lang w:val="en-US" w:eastAsia="zh-CN"/>
              </w:rPr>
              <w:t>房</w:t>
            </w:r>
            <w:r>
              <w:rPr>
                <w:rFonts w:hint="default" w:ascii="Times New Roman" w:hAnsi="Times New Roman" w:cs="Times New Roman"/>
                <w:b/>
                <w:color w:val="auto"/>
                <w:sz w:val="24"/>
                <w:highlight w:val="none"/>
              </w:rPr>
              <w:t>废气收集风量计算</w:t>
            </w:r>
          </w:p>
          <w:tbl>
            <w:tblPr>
              <w:tblStyle w:val="26"/>
              <w:tblW w:w="50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877"/>
              <w:gridCol w:w="1059"/>
              <w:gridCol w:w="1065"/>
              <w:gridCol w:w="1363"/>
              <w:gridCol w:w="1523"/>
              <w:gridCol w:w="1951"/>
            </w:tblGrid>
            <w:tr w14:paraId="0F57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trPr>
              <w:tc>
                <w:tcPr>
                  <w:tcW w:w="553" w:type="pct"/>
                  <w:vAlign w:val="center"/>
                </w:tcPr>
                <w:p w14:paraId="6FBA67DA">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项目</w:t>
                  </w:r>
                </w:p>
              </w:tc>
              <w:tc>
                <w:tcPr>
                  <w:tcW w:w="497" w:type="pct"/>
                  <w:vAlign w:val="center"/>
                </w:tcPr>
                <w:p w14:paraId="5D2EFF51">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长</w:t>
                  </w:r>
                </w:p>
                <w:p w14:paraId="6F05C0A2">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（m）</w:t>
                  </w:r>
                </w:p>
              </w:tc>
              <w:tc>
                <w:tcPr>
                  <w:tcW w:w="601" w:type="pct"/>
                  <w:vAlign w:val="center"/>
                </w:tcPr>
                <w:p w14:paraId="4ABBEA82">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宽</w:t>
                  </w:r>
                </w:p>
                <w:p w14:paraId="2620472F">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（m）</w:t>
                  </w:r>
                </w:p>
              </w:tc>
              <w:tc>
                <w:tcPr>
                  <w:tcW w:w="604" w:type="pct"/>
                  <w:vAlign w:val="center"/>
                </w:tcPr>
                <w:p w14:paraId="3F579444">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高</w:t>
                  </w:r>
                </w:p>
                <w:p w14:paraId="1DDFC567">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（m）</w:t>
                  </w:r>
                </w:p>
              </w:tc>
              <w:tc>
                <w:tcPr>
                  <w:tcW w:w="773" w:type="pct"/>
                  <w:vAlign w:val="center"/>
                </w:tcPr>
                <w:p w14:paraId="2CA4CBF2">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计算体积</w:t>
                  </w:r>
                </w:p>
                <w:p w14:paraId="4930E059">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（m</w:t>
                  </w:r>
                  <w:r>
                    <w:rPr>
                      <w:rFonts w:hint="default" w:ascii="Times New Roman" w:hAnsi="Times New Roman" w:cs="Times New Roman"/>
                      <w:b/>
                      <w:bCs/>
                      <w:color w:val="auto"/>
                      <w:szCs w:val="21"/>
                      <w:highlight w:val="none"/>
                      <w:vertAlign w:val="superscript"/>
                    </w:rPr>
                    <w:t>3</w:t>
                  </w:r>
                  <w:r>
                    <w:rPr>
                      <w:rFonts w:hint="default" w:ascii="Times New Roman" w:hAnsi="Times New Roman" w:cs="Times New Roman"/>
                      <w:b/>
                      <w:bCs/>
                      <w:color w:val="auto"/>
                      <w:szCs w:val="21"/>
                      <w:highlight w:val="none"/>
                    </w:rPr>
                    <w:t>）</w:t>
                  </w:r>
                </w:p>
              </w:tc>
              <w:tc>
                <w:tcPr>
                  <w:tcW w:w="862" w:type="pct"/>
                  <w:vAlign w:val="center"/>
                </w:tcPr>
                <w:p w14:paraId="731BA393">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换气次数</w:t>
                  </w:r>
                </w:p>
                <w:p w14:paraId="065F382A">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（次/h）</w:t>
                  </w:r>
                </w:p>
              </w:tc>
              <w:tc>
                <w:tcPr>
                  <w:tcW w:w="1107" w:type="pct"/>
                  <w:vAlign w:val="center"/>
                </w:tcPr>
                <w:p w14:paraId="0DFA5D2E">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废气收集风量</w:t>
                  </w:r>
                </w:p>
                <w:p w14:paraId="58D570D8">
                  <w:pPr>
                    <w:kinsoku w:val="0"/>
                    <w:overflowPunct w:val="0"/>
                    <w:autoSpaceDE w:val="0"/>
                    <w:autoSpaceDN w:val="0"/>
                    <w:adjustRightIn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m</w:t>
                  </w:r>
                  <w:r>
                    <w:rPr>
                      <w:rFonts w:hint="default" w:ascii="Times New Roman" w:hAnsi="Times New Roman" w:cs="Times New Roman"/>
                      <w:b/>
                      <w:bCs/>
                      <w:color w:val="auto"/>
                      <w:szCs w:val="21"/>
                      <w:highlight w:val="none"/>
                      <w:vertAlign w:val="superscript"/>
                    </w:rPr>
                    <w:t>3</w:t>
                  </w:r>
                  <w:r>
                    <w:rPr>
                      <w:rFonts w:hint="default" w:ascii="Times New Roman" w:hAnsi="Times New Roman" w:cs="Times New Roman"/>
                      <w:b/>
                      <w:bCs/>
                      <w:color w:val="auto"/>
                      <w:szCs w:val="21"/>
                      <w:highlight w:val="none"/>
                    </w:rPr>
                    <w:t>/h</w:t>
                  </w:r>
                </w:p>
              </w:tc>
            </w:tr>
            <w:tr w14:paraId="4788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553" w:type="pct"/>
                  <w:vAlign w:val="center"/>
                </w:tcPr>
                <w:p w14:paraId="186ABEB6">
                  <w:pPr>
                    <w:kinsoku w:val="0"/>
                    <w:overflowPunct w:val="0"/>
                    <w:autoSpaceDE w:val="0"/>
                    <w:autoSpaceDN w:val="0"/>
                    <w:adjustRightIn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喷漆</w:t>
                  </w:r>
                  <w:r>
                    <w:rPr>
                      <w:rFonts w:hint="default" w:ascii="Times New Roman" w:hAnsi="Times New Roman" w:cs="Times New Roman"/>
                      <w:color w:val="auto"/>
                      <w:szCs w:val="21"/>
                      <w:highlight w:val="none"/>
                      <w:lang w:val="en-US" w:eastAsia="zh-CN"/>
                    </w:rPr>
                    <w:t>房</w:t>
                  </w:r>
                </w:p>
              </w:tc>
              <w:tc>
                <w:tcPr>
                  <w:tcW w:w="497" w:type="pct"/>
                  <w:vAlign w:val="center"/>
                </w:tcPr>
                <w:p w14:paraId="52231BEA">
                  <w:pPr>
                    <w:kinsoku w:val="0"/>
                    <w:overflowPunct w:val="0"/>
                    <w:autoSpaceDE w:val="0"/>
                    <w:autoSpaceDN w:val="0"/>
                    <w:adjustRightIn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6</w:t>
                  </w:r>
                </w:p>
              </w:tc>
              <w:tc>
                <w:tcPr>
                  <w:tcW w:w="601" w:type="pct"/>
                  <w:vAlign w:val="center"/>
                </w:tcPr>
                <w:p w14:paraId="27F2CB02">
                  <w:pPr>
                    <w:kinsoku w:val="0"/>
                    <w:overflowPunct w:val="0"/>
                    <w:autoSpaceDE w:val="0"/>
                    <w:autoSpaceDN w:val="0"/>
                    <w:adjustRightIn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w:t>
                  </w:r>
                </w:p>
              </w:tc>
              <w:tc>
                <w:tcPr>
                  <w:tcW w:w="604" w:type="pct"/>
                  <w:vAlign w:val="center"/>
                </w:tcPr>
                <w:p w14:paraId="2862CDE4">
                  <w:pPr>
                    <w:kinsoku w:val="0"/>
                    <w:overflowPunct w:val="0"/>
                    <w:autoSpaceDE w:val="0"/>
                    <w:autoSpaceDN w:val="0"/>
                    <w:adjustRightIn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773" w:type="pct"/>
                  <w:vAlign w:val="center"/>
                </w:tcPr>
                <w:p w14:paraId="71816636">
                  <w:pPr>
                    <w:kinsoku w:val="0"/>
                    <w:overflowPunct w:val="0"/>
                    <w:autoSpaceDE w:val="0"/>
                    <w:autoSpaceDN w:val="0"/>
                    <w:adjustRightIn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72</w:t>
                  </w:r>
                </w:p>
              </w:tc>
              <w:tc>
                <w:tcPr>
                  <w:tcW w:w="862" w:type="pct"/>
                  <w:vAlign w:val="center"/>
                </w:tcPr>
                <w:p w14:paraId="0C3B2347">
                  <w:pPr>
                    <w:kinsoku w:val="0"/>
                    <w:overflowPunct w:val="0"/>
                    <w:autoSpaceDE w:val="0"/>
                    <w:autoSpaceDN w:val="0"/>
                    <w:adjustRightIn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w:t>
                  </w:r>
                </w:p>
              </w:tc>
              <w:tc>
                <w:tcPr>
                  <w:tcW w:w="1107" w:type="pct"/>
                  <w:vAlign w:val="center"/>
                </w:tcPr>
                <w:p w14:paraId="53C4FF6F">
                  <w:pPr>
                    <w:kinsoku w:val="0"/>
                    <w:overflowPunct w:val="0"/>
                    <w:autoSpaceDE w:val="0"/>
                    <w:autoSpaceDN w:val="0"/>
                    <w:adjustRightIn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4320</w:t>
                  </w:r>
                </w:p>
              </w:tc>
            </w:tr>
            <w:tr w14:paraId="0FAC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3892" w:type="pct"/>
                  <w:gridSpan w:val="6"/>
                  <w:vAlign w:val="center"/>
                </w:tcPr>
                <w:p w14:paraId="4B1ACBB3">
                  <w:pPr>
                    <w:kinsoku w:val="0"/>
                    <w:overflowPunct w:val="0"/>
                    <w:autoSpaceDE w:val="0"/>
                    <w:autoSpaceDN w:val="0"/>
                    <w:adjustRightIn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1107" w:type="pct"/>
                  <w:vAlign w:val="center"/>
                </w:tcPr>
                <w:p w14:paraId="5E0562CC">
                  <w:pPr>
                    <w:kinsoku w:val="0"/>
                    <w:overflowPunct w:val="0"/>
                    <w:autoSpaceDE w:val="0"/>
                    <w:autoSpaceDN w:val="0"/>
                    <w:adjustRightIn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4320</w:t>
                  </w:r>
                </w:p>
              </w:tc>
            </w:tr>
          </w:tbl>
          <w:p w14:paraId="5A131768">
            <w:pPr>
              <w:pStyle w:val="102"/>
              <w:spacing w:before="240" w:beforeLines="10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喷漆水帘柜所需风量：</w:t>
            </w:r>
          </w:p>
          <w:p w14:paraId="2975DE67">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根据建设单位提供资料可知，水帘柜的进风口尺寸为3m×1.8m，参考《湿法漆雾过滤净化装置设计手册》，即水帘柜的风量如下：</w:t>
            </w:r>
          </w:p>
          <w:p w14:paraId="29E1E54B">
            <w:pPr>
              <w:pStyle w:val="102"/>
              <w:spacing w:before="120" w:beforeLines="50" w:line="36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Q=S×V×3600</w:t>
            </w:r>
          </w:p>
          <w:p w14:paraId="5A2639D9">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式中Q 一全面通风量（m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w:t>
            </w:r>
          </w:p>
          <w:p w14:paraId="07861E3D">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S—水帘柜进风口面积，m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p>
          <w:p w14:paraId="3F42CCEC">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V—风速（m/s），取0.5m/s。</w:t>
            </w:r>
          </w:p>
          <w:p w14:paraId="00BC4D82">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经计算，水帘柜所需风量为9720m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w:t>
            </w:r>
          </w:p>
          <w:p w14:paraId="48CB3126">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综上，项目喷涂废气收集措施所需总风量为</w:t>
            </w:r>
            <w:r>
              <w:rPr>
                <w:rFonts w:hint="default" w:ascii="Times New Roman" w:hAnsi="Times New Roman" w:cs="Times New Roman"/>
                <w:color w:val="auto"/>
                <w:sz w:val="24"/>
                <w:szCs w:val="24"/>
                <w:highlight w:val="none"/>
                <w:lang w:val="en-US" w:eastAsia="zh-CN"/>
              </w:rPr>
              <w:t>4320</w:t>
            </w:r>
            <w:r>
              <w:rPr>
                <w:rFonts w:hint="default" w:ascii="Times New Roman" w:hAnsi="Times New Roman" w:cs="Times New Roman"/>
                <w:color w:val="auto"/>
                <w:sz w:val="24"/>
                <w:szCs w:val="24"/>
                <w:highlight w:val="none"/>
              </w:rPr>
              <w:t>+9720=1</w:t>
            </w:r>
            <w:r>
              <w:rPr>
                <w:rFonts w:hint="default" w:ascii="Times New Roman" w:hAnsi="Times New Roman" w:cs="Times New Roman"/>
                <w:color w:val="auto"/>
                <w:sz w:val="24"/>
                <w:szCs w:val="24"/>
                <w:highlight w:val="none"/>
                <w:lang w:val="en-US" w:eastAsia="zh-CN"/>
              </w:rPr>
              <w:t>4040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/h，为了弥补风管和设备的漏风损失，通常</w:t>
            </w:r>
            <w:r>
              <w:rPr>
                <w:rFonts w:hint="default" w:ascii="Times New Roman" w:hAnsi="Times New Roman" w:cs="Times New Roman"/>
                <w:color w:val="auto"/>
                <w:sz w:val="24"/>
                <w:szCs w:val="24"/>
                <w:highlight w:val="none"/>
                <w:lang w:val="en-US" w:eastAsia="zh-CN"/>
              </w:rPr>
              <w:t>设计风量需在</w:t>
            </w:r>
            <w:r>
              <w:rPr>
                <w:rFonts w:hint="default" w:ascii="Times New Roman" w:hAnsi="Times New Roman" w:cs="Times New Roman"/>
                <w:color w:val="auto"/>
                <w:sz w:val="24"/>
                <w:szCs w:val="24"/>
                <w:highlight w:val="none"/>
              </w:rPr>
              <w:t>计算风量的基础上</w:t>
            </w:r>
            <w:r>
              <w:rPr>
                <w:rFonts w:hint="default" w:ascii="Times New Roman" w:hAnsi="Times New Roman" w:cs="Times New Roman"/>
                <w:color w:val="auto"/>
                <w:sz w:val="24"/>
                <w:szCs w:val="24"/>
                <w:highlight w:val="none"/>
                <w:lang w:val="en-US" w:eastAsia="zh-CN"/>
              </w:rPr>
              <w:t>增</w:t>
            </w:r>
            <w:r>
              <w:rPr>
                <w:rFonts w:hint="default" w:ascii="Times New Roman" w:hAnsi="Times New Roman" w:cs="Times New Roman"/>
                <w:color w:val="auto"/>
                <w:sz w:val="24"/>
                <w:szCs w:val="24"/>
                <w:highlight w:val="none"/>
              </w:rPr>
              <w:t>加</w:t>
            </w:r>
            <w:r>
              <w:rPr>
                <w:rFonts w:hint="default" w:ascii="Times New Roman" w:hAnsi="Times New Roman" w:cs="Times New Roman"/>
                <w:color w:val="auto"/>
                <w:sz w:val="24"/>
                <w:szCs w:val="24"/>
                <w:highlight w:val="none"/>
                <w:lang w:val="en-US" w:eastAsia="zh-CN"/>
              </w:rPr>
              <w:t>约5%~</w:t>
            </w:r>
            <w:r>
              <w:rPr>
                <w:rFonts w:hint="default" w:ascii="Times New Roman" w:hAnsi="Times New Roman" w:cs="Times New Roman"/>
                <w:color w:val="auto"/>
                <w:sz w:val="24"/>
                <w:szCs w:val="24"/>
                <w:highlight w:val="none"/>
              </w:rPr>
              <w:t>10%</w:t>
            </w:r>
            <w:r>
              <w:rPr>
                <w:rFonts w:hint="default" w:ascii="Times New Roman" w:hAnsi="Times New Roman" w:cs="Times New Roman"/>
                <w:color w:val="auto"/>
                <w:sz w:val="24"/>
                <w:szCs w:val="24"/>
                <w:highlight w:val="none"/>
                <w:lang w:val="en-US" w:eastAsia="zh-CN"/>
              </w:rPr>
              <w:t>以上</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建设单位对项目喷漆房选用风量为1</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000m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 的风机。项目拟设一套“水帘柜+除雾+二级活性炭吸附装置”对喷</w:t>
            </w:r>
            <w:r>
              <w:rPr>
                <w:rFonts w:hint="default" w:ascii="Times New Roman" w:hAnsi="Times New Roman" w:cs="Times New Roman"/>
                <w:color w:val="auto"/>
                <w:sz w:val="24"/>
                <w:szCs w:val="24"/>
                <w:highlight w:val="none"/>
                <w:lang w:val="en-US" w:eastAsia="zh-CN"/>
              </w:rPr>
              <w:t>涂、洗枪</w:t>
            </w:r>
            <w:r>
              <w:rPr>
                <w:rFonts w:hint="default" w:ascii="Times New Roman" w:hAnsi="Times New Roman" w:cs="Times New Roman"/>
                <w:color w:val="auto"/>
                <w:sz w:val="24"/>
                <w:szCs w:val="24"/>
                <w:highlight w:val="none"/>
              </w:rPr>
              <w:t>废气进行处理后经15 m排气筒DA005排放。</w:t>
            </w:r>
          </w:p>
          <w:p w14:paraId="682DCB8F">
            <w:pPr>
              <w:pStyle w:val="102"/>
              <w:spacing w:before="120" w:beforeLines="50" w:line="360" w:lineRule="auto"/>
              <w:ind w:firstLine="440" w:firstLineChars="200"/>
              <w:rPr>
                <w:rFonts w:hint="default" w:ascii="Times New Roman" w:hAnsi="Times New Roman" w:cs="Times New Roman"/>
                <w:color w:val="auto"/>
                <w:sz w:val="24"/>
                <w:szCs w:val="24"/>
                <w:highlight w:val="none"/>
              </w:rPr>
            </w:pPr>
            <w:r>
              <w:rPr>
                <w:rFonts w:hint="default" w:ascii="Times New Roman" w:hAnsi="Times New Roman" w:cs="Times New Roman"/>
                <w:bCs/>
                <w:color w:val="auto"/>
                <w:spacing w:val="-10"/>
                <w:sz w:val="24"/>
                <w:highlight w:val="none"/>
              </w:rPr>
              <w:t>参考《广东省生态环境厅关于印发工业源挥发性有机物和氮氧化物减排量核算方法的通知》（粤环函[2023]538号）中《广东省工业源挥发性有机物减排量核算方法（2023年修订版）》中“表3.3-2废气收集集气效率参考值，</w:t>
            </w:r>
            <w:r>
              <w:rPr>
                <w:rFonts w:hint="default" w:ascii="Times New Roman" w:hAnsi="Times New Roman" w:cs="Times New Roman"/>
                <w:bCs/>
                <w:color w:val="auto"/>
                <w:spacing w:val="-10"/>
                <w:sz w:val="24"/>
                <w:highlight w:val="none"/>
                <w:lang w:val="en-US" w:eastAsia="zh-CN"/>
              </w:rPr>
              <w:t>全</w:t>
            </w:r>
            <w:r>
              <w:rPr>
                <w:rFonts w:hint="default" w:ascii="Times New Roman" w:hAnsi="Times New Roman" w:cs="Times New Roman"/>
                <w:bCs/>
                <w:color w:val="auto"/>
                <w:spacing w:val="-10"/>
                <w:sz w:val="24"/>
                <w:highlight w:val="none"/>
              </w:rPr>
              <w:t>密闭</w:t>
            </w:r>
            <w:r>
              <w:rPr>
                <w:rFonts w:hint="default" w:ascii="Times New Roman" w:hAnsi="Times New Roman" w:cs="Times New Roman"/>
                <w:bCs/>
                <w:color w:val="auto"/>
                <w:spacing w:val="-10"/>
                <w:sz w:val="24"/>
                <w:highlight w:val="none"/>
                <w:lang w:val="en-US" w:eastAsia="zh-CN"/>
              </w:rPr>
              <w:t>设备/空间，废气收集方式单层密闭负压</w:t>
            </w:r>
            <w:r>
              <w:rPr>
                <w:rFonts w:hint="default" w:ascii="Times New Roman" w:hAnsi="Times New Roman" w:cs="Times New Roman"/>
                <w:bCs/>
                <w:color w:val="auto"/>
                <w:spacing w:val="-10"/>
                <w:sz w:val="24"/>
                <w:highlight w:val="none"/>
              </w:rPr>
              <w:t>，VOCs产生源设置在密闭车间、密闭设备(含反应釜)、密闭管道内，所有开口处，包括人员或物料进出口处呈负压</w:t>
            </w:r>
            <w:r>
              <w:rPr>
                <w:rFonts w:hint="default" w:ascii="Times New Roman" w:hAnsi="Times New Roman" w:cs="Times New Roman"/>
                <w:bCs/>
                <w:color w:val="auto"/>
                <w:spacing w:val="-10"/>
                <w:sz w:val="24"/>
                <w:highlight w:val="none"/>
                <w:lang w:val="en-US" w:eastAsia="zh-CN"/>
              </w:rPr>
              <w:t>时废气</w:t>
            </w:r>
            <w:r>
              <w:rPr>
                <w:rFonts w:hint="default" w:ascii="Times New Roman" w:hAnsi="Times New Roman" w:cs="Times New Roman"/>
                <w:bCs/>
                <w:color w:val="auto"/>
                <w:spacing w:val="-10"/>
                <w:sz w:val="24"/>
                <w:highlight w:val="none"/>
              </w:rPr>
              <w:t>收集效率为</w:t>
            </w:r>
            <w:r>
              <w:rPr>
                <w:rFonts w:hint="default" w:ascii="Times New Roman" w:hAnsi="Times New Roman" w:cs="Times New Roman"/>
                <w:bCs/>
                <w:color w:val="auto"/>
                <w:spacing w:val="-10"/>
                <w:sz w:val="24"/>
                <w:highlight w:val="none"/>
                <w:lang w:val="en-US" w:eastAsia="zh-CN"/>
              </w:rPr>
              <w:t>90</w:t>
            </w:r>
            <w:r>
              <w:rPr>
                <w:rFonts w:hint="default" w:ascii="Times New Roman" w:hAnsi="Times New Roman" w:cs="Times New Roman"/>
                <w:bCs/>
                <w:color w:val="auto"/>
                <w:spacing w:val="-10"/>
                <w:sz w:val="24"/>
                <w:highlight w:val="none"/>
              </w:rPr>
              <w:t>%</w:t>
            </w:r>
            <w:r>
              <w:rPr>
                <w:rFonts w:hint="default" w:ascii="Times New Roman" w:hAnsi="Times New Roman" w:cs="Times New Roman"/>
                <w:bCs/>
                <w:color w:val="auto"/>
                <w:spacing w:val="-10"/>
                <w:sz w:val="24"/>
                <w:highlight w:val="none"/>
                <w:lang w:eastAsia="zh-CN"/>
              </w:rPr>
              <w:t>，</w:t>
            </w:r>
            <w:r>
              <w:rPr>
                <w:rFonts w:hint="default" w:ascii="Times New Roman" w:hAnsi="Times New Roman" w:cs="Times New Roman"/>
                <w:bCs/>
                <w:color w:val="auto"/>
                <w:spacing w:val="-10"/>
                <w:sz w:val="24"/>
                <w:highlight w:val="none"/>
              </w:rPr>
              <w:t>本</w:t>
            </w:r>
            <w:r>
              <w:rPr>
                <w:rFonts w:hint="default" w:ascii="Times New Roman" w:hAnsi="Times New Roman" w:cs="Times New Roman"/>
                <w:color w:val="auto"/>
                <w:sz w:val="24"/>
                <w:szCs w:val="24"/>
                <w:highlight w:val="none"/>
              </w:rPr>
              <w:t>项目</w:t>
            </w:r>
            <w:r>
              <w:rPr>
                <w:rFonts w:hint="default" w:ascii="Times New Roman" w:hAnsi="Times New Roman" w:cs="Times New Roman"/>
                <w:bCs/>
                <w:color w:val="auto"/>
                <w:spacing w:val="-10"/>
                <w:sz w:val="24"/>
                <w:highlight w:val="none"/>
                <w:lang w:val="en-US" w:eastAsia="zh-CN"/>
              </w:rPr>
              <w:t>喷涂、洗枪工序在密闭的喷漆房内进行，</w:t>
            </w:r>
            <w:r>
              <w:rPr>
                <w:rFonts w:hint="default" w:ascii="Times New Roman" w:hAnsi="Times New Roman" w:cs="Times New Roman"/>
                <w:color w:val="auto"/>
                <w:sz w:val="24"/>
                <w:szCs w:val="24"/>
                <w:highlight w:val="none"/>
              </w:rPr>
              <w:t>因此</w:t>
            </w:r>
            <w:r>
              <w:rPr>
                <w:rFonts w:hint="default" w:ascii="Times New Roman" w:hAnsi="Times New Roman" w:cs="Times New Roman"/>
                <w:bCs/>
                <w:color w:val="auto"/>
                <w:spacing w:val="-10"/>
                <w:sz w:val="24"/>
                <w:highlight w:val="none"/>
                <w:lang w:val="en-US" w:eastAsia="zh-CN"/>
              </w:rPr>
              <w:t>喷涂、洗枪</w:t>
            </w:r>
            <w:r>
              <w:rPr>
                <w:rFonts w:hint="default" w:ascii="Times New Roman" w:hAnsi="Times New Roman" w:cs="Times New Roman"/>
                <w:color w:val="auto"/>
                <w:sz w:val="24"/>
                <w:szCs w:val="24"/>
                <w:highlight w:val="none"/>
                <w:lang w:val="en-US" w:eastAsia="zh-CN"/>
              </w:rPr>
              <w:t>工序</w:t>
            </w:r>
            <w:r>
              <w:rPr>
                <w:rFonts w:hint="default" w:ascii="Times New Roman" w:hAnsi="Times New Roman" w:cs="Times New Roman"/>
                <w:color w:val="auto"/>
                <w:sz w:val="24"/>
                <w:szCs w:val="24"/>
                <w:highlight w:val="none"/>
              </w:rPr>
              <w:t>的废气捕集效率为</w:t>
            </w:r>
            <w:r>
              <w:rPr>
                <w:rFonts w:hint="default" w:ascii="Times New Roman" w:hAnsi="Times New Roman" w:cs="Times New Roman"/>
                <w:color w:val="auto"/>
                <w:sz w:val="24"/>
                <w:szCs w:val="24"/>
                <w:highlight w:val="none"/>
                <w:lang w:val="en-US" w:eastAsia="zh-CN"/>
              </w:rPr>
              <w:t>90</w:t>
            </w:r>
            <w:r>
              <w:rPr>
                <w:rFonts w:hint="default" w:ascii="Times New Roman" w:hAnsi="Times New Roman" w:cs="Times New Roman"/>
                <w:color w:val="auto"/>
                <w:sz w:val="24"/>
                <w:szCs w:val="24"/>
                <w:highlight w:val="none"/>
              </w:rPr>
              <w:t>%。</w:t>
            </w:r>
          </w:p>
          <w:p w14:paraId="36296083">
            <w:pPr>
              <w:pStyle w:val="102"/>
              <w:spacing w:before="120" w:beforeLines="50"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烘烤工序废气收集方案</w:t>
            </w:r>
          </w:p>
          <w:p w14:paraId="6C685608">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设置2个烤箱，每台烤箱顶部设有3个排气口，为减少废气对周边环境的影响，建设单位拟在烤箱排气口上方设置集气罩的方式收集逸散废气，烘烤完成后，不立即开启烤箱物料进出门，待烤箱内废气基本排尽后再开启物料进出门，因此烘烤废气可基本经烤箱顶部的6个排气口引入废气处理设施。</w:t>
            </w:r>
          </w:p>
          <w:p w14:paraId="79B965F1">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根据《大气污染控制工程》（ 郭正，杨丽芳 编 2013 年版），吸气口设在密闭室的上口部，其排风量计算如下：</w:t>
            </w:r>
          </w:p>
          <w:p w14:paraId="5888C443">
            <w:pPr>
              <w:pStyle w:val="102"/>
              <w:spacing w:before="120" w:beforeLines="50" w:line="36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Q=3600Au</w:t>
            </w:r>
          </w:p>
          <w:p w14:paraId="11DE25F8">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式中：Q——所需排风量，m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w:t>
            </w:r>
          </w:p>
          <w:p w14:paraId="12635697">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A——集气口面积，F=3.14×0.1</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=0.0314m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（集气罩直径为0.2 m）；</w:t>
            </w:r>
          </w:p>
          <w:p w14:paraId="07FD9AE0">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u——风速，一般取0.25~0.5m/s；本项目取0.5m/s 。</w:t>
            </w:r>
          </w:p>
          <w:p w14:paraId="272B49CF">
            <w:pPr>
              <w:pStyle w:val="102"/>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szCs w:val="24"/>
                <w:highlight w:val="none"/>
              </w:rPr>
              <w:t>根据上述公式计算，单个排气口的排风量为56.52m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h，项目固化共设有6个排气口，则总风量为339.12m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/h，为了弥补风管和设备的漏风损失，通常</w:t>
            </w:r>
            <w:r>
              <w:rPr>
                <w:rFonts w:hint="default" w:ascii="Times New Roman" w:hAnsi="Times New Roman" w:cs="Times New Roman"/>
                <w:color w:val="auto"/>
                <w:sz w:val="24"/>
                <w:szCs w:val="24"/>
                <w:highlight w:val="none"/>
                <w:lang w:val="en-US" w:eastAsia="zh-CN"/>
              </w:rPr>
              <w:t>设计风量需在</w:t>
            </w:r>
            <w:r>
              <w:rPr>
                <w:rFonts w:hint="default" w:ascii="Times New Roman" w:hAnsi="Times New Roman" w:cs="Times New Roman"/>
                <w:color w:val="auto"/>
                <w:sz w:val="24"/>
                <w:szCs w:val="24"/>
                <w:highlight w:val="none"/>
              </w:rPr>
              <w:t>计算风量的基础上</w:t>
            </w:r>
            <w:r>
              <w:rPr>
                <w:rFonts w:hint="default" w:ascii="Times New Roman" w:hAnsi="Times New Roman" w:cs="Times New Roman"/>
                <w:color w:val="auto"/>
                <w:sz w:val="24"/>
                <w:szCs w:val="24"/>
                <w:highlight w:val="none"/>
                <w:lang w:val="en-US" w:eastAsia="zh-CN"/>
              </w:rPr>
              <w:t>增</w:t>
            </w:r>
            <w:r>
              <w:rPr>
                <w:rFonts w:hint="default" w:ascii="Times New Roman" w:hAnsi="Times New Roman" w:cs="Times New Roman"/>
                <w:color w:val="auto"/>
                <w:sz w:val="24"/>
                <w:szCs w:val="24"/>
                <w:highlight w:val="none"/>
              </w:rPr>
              <w:t>加</w:t>
            </w:r>
            <w:r>
              <w:rPr>
                <w:rFonts w:hint="default" w:ascii="Times New Roman" w:hAnsi="Times New Roman" w:cs="Times New Roman"/>
                <w:color w:val="auto"/>
                <w:sz w:val="24"/>
                <w:szCs w:val="24"/>
                <w:highlight w:val="none"/>
                <w:lang w:val="en-US" w:eastAsia="zh-CN"/>
              </w:rPr>
              <w:t>约5%~</w:t>
            </w:r>
            <w:r>
              <w:rPr>
                <w:rFonts w:hint="default" w:ascii="Times New Roman" w:hAnsi="Times New Roman" w:cs="Times New Roman"/>
                <w:color w:val="auto"/>
                <w:sz w:val="24"/>
                <w:szCs w:val="24"/>
                <w:highlight w:val="none"/>
              </w:rPr>
              <w:t>10%</w:t>
            </w:r>
            <w:r>
              <w:rPr>
                <w:rFonts w:hint="default" w:ascii="Times New Roman" w:hAnsi="Times New Roman" w:cs="Times New Roman"/>
                <w:color w:val="auto"/>
                <w:sz w:val="24"/>
                <w:szCs w:val="24"/>
                <w:highlight w:val="none"/>
                <w:lang w:val="en-US" w:eastAsia="zh-CN"/>
              </w:rPr>
              <w:t>以上</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则建设单位为</w:t>
            </w:r>
            <w:r>
              <w:rPr>
                <w:rFonts w:hint="default" w:ascii="Times New Roman" w:hAnsi="Times New Roman" w:cs="Times New Roman"/>
                <w:color w:val="auto"/>
                <w:sz w:val="24"/>
                <w:highlight w:val="none"/>
              </w:rPr>
              <w:t>项目烘烤工序选用风量为</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00m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/h 的风机。</w:t>
            </w:r>
          </w:p>
          <w:p w14:paraId="42BB5A26">
            <w:pPr>
              <w:spacing w:before="120" w:beforeLines="50" w:line="360" w:lineRule="auto"/>
              <w:ind w:firstLine="440" w:firstLineChars="200"/>
              <w:rPr>
                <w:rFonts w:hint="default" w:ascii="Times New Roman" w:hAnsi="Times New Roman" w:cs="Times New Roman"/>
                <w:color w:val="auto"/>
                <w:sz w:val="24"/>
                <w:highlight w:val="none"/>
              </w:rPr>
            </w:pPr>
            <w:r>
              <w:rPr>
                <w:rFonts w:hint="default" w:ascii="Times New Roman" w:hAnsi="Times New Roman" w:cs="Times New Roman"/>
                <w:bCs/>
                <w:color w:val="auto"/>
                <w:spacing w:val="-10"/>
                <w:sz w:val="24"/>
                <w:highlight w:val="none"/>
              </w:rPr>
              <w:t>参考《广东省生态环境厅关于印发工业源挥发性有机物和氮氧化物减排量核算方法的通知》（粤环函[2023]538号）中《广东省工业源挥发性有机物减排量核算方法（2023年修订版）》中“表3.3-2废气收集集气效率参考值，全密封设备/空间，单层密闭负压，VOCs产生源设置在密闭车间、密闭设备(含反应釜)、密闭管道内，所有开口处，包括人员或物料进出口处呈负压时废气收集效率为90%。本项目烘烤工序在密闭的烤箱内进行，工作状态时仅有排气口开启，且排气口呈负压，因此，烘烤工序的</w:t>
            </w:r>
            <w:r>
              <w:rPr>
                <w:rFonts w:hint="default" w:ascii="Times New Roman" w:hAnsi="Times New Roman" w:cs="Times New Roman"/>
                <w:color w:val="auto"/>
                <w:sz w:val="24"/>
                <w:highlight w:val="none"/>
              </w:rPr>
              <w:t>废气捕集效率为90%。建设单位拟将烘烤废气引入喷涂、洗枪废气处理装置中的 “二级活性炭吸附装置”处理后经15 m排气筒DA005排放。</w:t>
            </w:r>
          </w:p>
          <w:p w14:paraId="287E3661">
            <w:pPr>
              <w:pStyle w:val="8"/>
              <w:ind w:firstLine="482" w:firstLineChars="20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风干工序废气收集方案</w:t>
            </w:r>
          </w:p>
          <w:p w14:paraId="0CF8E129">
            <w:pPr>
              <w:pStyle w:val="102"/>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szCs w:val="24"/>
                <w:highlight w:val="none"/>
              </w:rPr>
              <w:t>建设单位将已喷漆的铸件移至风干房内，喷漆工件风干在密闭的风干房内进行，采用通风自然风干，建设单位对风干房整体密闭负压抽风方式对风干废气进行收集。密闭车间所需风量参考《大气污染治理工程技术导则》（HJ2000-2010），若仅依靠整体负压抽风,(无局部集气罩)，整体换气次数建议取12次/h，甚至更高(如15~20次/h)，以确保废气有效捕集。本项目风干房尺寸为14m×6m×3m，换气次数按20次/h计，则风干房收集风量为5040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/h，为了弥补风管和设备的漏风损失，通常</w:t>
            </w:r>
            <w:r>
              <w:rPr>
                <w:rFonts w:hint="default" w:ascii="Times New Roman" w:hAnsi="Times New Roman" w:cs="Times New Roman"/>
                <w:color w:val="auto"/>
                <w:sz w:val="24"/>
                <w:szCs w:val="24"/>
                <w:highlight w:val="none"/>
                <w:lang w:val="en-US" w:eastAsia="zh-CN"/>
              </w:rPr>
              <w:t>设计风量需在</w:t>
            </w:r>
            <w:r>
              <w:rPr>
                <w:rFonts w:hint="default" w:ascii="Times New Roman" w:hAnsi="Times New Roman" w:cs="Times New Roman"/>
                <w:color w:val="auto"/>
                <w:sz w:val="24"/>
                <w:szCs w:val="24"/>
                <w:highlight w:val="none"/>
              </w:rPr>
              <w:t>计算风量的基础上</w:t>
            </w:r>
            <w:r>
              <w:rPr>
                <w:rFonts w:hint="default" w:ascii="Times New Roman" w:hAnsi="Times New Roman" w:cs="Times New Roman"/>
                <w:color w:val="auto"/>
                <w:sz w:val="24"/>
                <w:szCs w:val="24"/>
                <w:highlight w:val="none"/>
                <w:lang w:val="en-US" w:eastAsia="zh-CN"/>
              </w:rPr>
              <w:t>增</w:t>
            </w:r>
            <w:r>
              <w:rPr>
                <w:rFonts w:hint="default" w:ascii="Times New Roman" w:hAnsi="Times New Roman" w:cs="Times New Roman"/>
                <w:color w:val="auto"/>
                <w:sz w:val="24"/>
                <w:szCs w:val="24"/>
                <w:highlight w:val="none"/>
              </w:rPr>
              <w:t>加</w:t>
            </w:r>
            <w:r>
              <w:rPr>
                <w:rFonts w:hint="default" w:ascii="Times New Roman" w:hAnsi="Times New Roman" w:cs="Times New Roman"/>
                <w:color w:val="auto"/>
                <w:sz w:val="24"/>
                <w:szCs w:val="24"/>
                <w:highlight w:val="none"/>
                <w:lang w:val="en-US" w:eastAsia="zh-CN"/>
              </w:rPr>
              <w:t>约5%~</w:t>
            </w:r>
            <w:r>
              <w:rPr>
                <w:rFonts w:hint="default" w:ascii="Times New Roman" w:hAnsi="Times New Roman" w:cs="Times New Roman"/>
                <w:color w:val="auto"/>
                <w:sz w:val="24"/>
                <w:szCs w:val="24"/>
                <w:highlight w:val="none"/>
              </w:rPr>
              <w:t>10%</w:t>
            </w:r>
            <w:r>
              <w:rPr>
                <w:rFonts w:hint="default" w:ascii="Times New Roman" w:hAnsi="Times New Roman" w:cs="Times New Roman"/>
                <w:color w:val="auto"/>
                <w:sz w:val="24"/>
                <w:szCs w:val="24"/>
                <w:highlight w:val="none"/>
                <w:lang w:val="en-US" w:eastAsia="zh-CN"/>
              </w:rPr>
              <w:t>以上，</w:t>
            </w:r>
            <w:r>
              <w:rPr>
                <w:rFonts w:hint="default" w:ascii="Times New Roman" w:hAnsi="Times New Roman" w:cs="Times New Roman"/>
                <w:color w:val="auto"/>
                <w:sz w:val="24"/>
                <w:szCs w:val="24"/>
                <w:highlight w:val="none"/>
              </w:rPr>
              <w:t>则建设单位为</w:t>
            </w:r>
            <w:r>
              <w:rPr>
                <w:rFonts w:hint="default" w:ascii="Times New Roman" w:hAnsi="Times New Roman" w:cs="Times New Roman"/>
                <w:color w:val="auto"/>
                <w:sz w:val="24"/>
                <w:highlight w:val="none"/>
              </w:rPr>
              <w:t>项目风干工序选用风量为</w:t>
            </w:r>
            <w:r>
              <w:rPr>
                <w:rFonts w:hint="default" w:ascii="Times New Roman" w:hAnsi="Times New Roman" w:cs="Times New Roman"/>
                <w:color w:val="auto"/>
                <w:sz w:val="24"/>
                <w:highlight w:val="none"/>
                <w:lang w:val="en-US" w:eastAsia="zh-CN"/>
              </w:rPr>
              <w:t>55</w:t>
            </w:r>
            <w:r>
              <w:rPr>
                <w:rFonts w:hint="default" w:ascii="Times New Roman" w:hAnsi="Times New Roman" w:cs="Times New Roman"/>
                <w:color w:val="auto"/>
                <w:sz w:val="24"/>
                <w:highlight w:val="none"/>
              </w:rPr>
              <w:t>00m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/h 的风机。</w:t>
            </w:r>
          </w:p>
          <w:p w14:paraId="42E2A508">
            <w:pPr>
              <w:pStyle w:val="102"/>
              <w:spacing w:before="120" w:beforeLines="50" w:line="360" w:lineRule="auto"/>
              <w:ind w:firstLine="440" w:firstLineChars="200"/>
              <w:rPr>
                <w:rFonts w:hint="default" w:ascii="Times New Roman" w:hAnsi="Times New Roman" w:cs="Times New Roman"/>
                <w:color w:val="auto"/>
                <w:highlight w:val="none"/>
              </w:rPr>
            </w:pPr>
            <w:r>
              <w:rPr>
                <w:rFonts w:hint="default" w:ascii="Times New Roman" w:hAnsi="Times New Roman" w:cs="Times New Roman"/>
                <w:bCs/>
                <w:color w:val="auto"/>
                <w:spacing w:val="-10"/>
                <w:sz w:val="24"/>
                <w:highlight w:val="none"/>
              </w:rPr>
              <w:t>参考《广东省生态环境厅关于印发工业源挥发性有机物和氮氧化物减排量核算方法的通知》（粤环函[2023]538号）中《广东省工业源挥发性有机物减排量核算方法（2023年修订版）》中“表3.3-2废气收集集气效率参考值，全密封设备/空间，单层密闭负压，VOCs产生源设置在密闭车间、密闭设备(含反应釜)、密闭管道内，所有开口处，包括人员或物料进出口处呈负压时废气收集效率为90%。本项目工序在密闭的风干房内进行，仅有人员或物料进出时开启，且进出口处呈负压，因此，风干工序的</w:t>
            </w:r>
            <w:r>
              <w:rPr>
                <w:rFonts w:hint="default" w:ascii="Times New Roman" w:hAnsi="Times New Roman" w:cs="Times New Roman"/>
                <w:color w:val="auto"/>
                <w:sz w:val="24"/>
                <w:highlight w:val="none"/>
              </w:rPr>
              <w:t>废气捕集效率为90%。建设单位拟将风干废气引入喷涂、洗枪废气处理装置中的 “二级活性炭吸附装置”处理后经15 m排气筒DA005排放。</w:t>
            </w:r>
          </w:p>
          <w:p w14:paraId="0BE1F428">
            <w:pPr>
              <w:pStyle w:val="102"/>
              <w:spacing w:before="120" w:beforeLines="50"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④废气治理效率</w:t>
            </w:r>
          </w:p>
          <w:p w14:paraId="76606A9C">
            <w:pPr>
              <w:pStyle w:val="102"/>
              <w:spacing w:before="120" w:beforeLines="50" w:line="360" w:lineRule="auto"/>
              <w:ind w:firstLine="480" w:firstLineChars="200"/>
              <w:rPr>
                <w:rFonts w:hint="default" w:ascii="Times New Roman" w:hAnsi="Times New Roman" w:cs="Times New Roman"/>
                <w:b/>
                <w:color w:val="auto"/>
                <w:sz w:val="24"/>
                <w:szCs w:val="24"/>
                <w:highlight w:val="none"/>
              </w:rPr>
            </w:pPr>
            <w:r>
              <w:rPr>
                <w:rFonts w:hint="default" w:ascii="Times New Roman" w:hAnsi="Times New Roman" w:cs="Times New Roman"/>
                <w:color w:val="auto"/>
                <w:sz w:val="24"/>
                <w:szCs w:val="24"/>
                <w:highlight w:val="none"/>
              </w:rPr>
              <w:t>漆雾处理效率：漆雾与水中的漆雾絮凝剂凝结成渣块漂浮在水面上，定期打捞后可达到对漆雾清洗净化的作用。根据《广东省表面涂装(汽车制造业)挥发性有机废气治理技术指南》，干式漆雾捕集系统（过滤棉、无纺布、石灰石为滤料、静电漆雾捕集装置）和湿式漆雾捕集系统（湿式漆雾捕集装置）对漆雾的处理效率可达 95%以上，本项目使用水帘柜对漆雾进行捕捉，漆雾去除率为95%</w:t>
            </w:r>
            <w:r>
              <w:rPr>
                <w:rFonts w:hint="default" w:ascii="Times New Roman" w:hAnsi="Times New Roman" w:cs="Times New Roman"/>
                <w:bCs/>
                <w:color w:val="auto"/>
                <w:spacing w:val="-10"/>
                <w:sz w:val="24"/>
                <w:highlight w:val="none"/>
              </w:rPr>
              <w:t>。</w:t>
            </w:r>
          </w:p>
          <w:p w14:paraId="6BE6D8D5">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有机废气处理效率：参考《广东省家具制造行业挥发性有机废气治理技术指南》（2015 年1 月1日实施）中吸附法对有机废气处理率为50%~80%，本项目采用二级活性炭对有机废气进行吸附处理，处理效率取值上按保守中位数取值，其中单级活性炭对有机废气处理效率折中取65%，则二级活性炭吸附装置对有机废气的处理效率为1-（1-65%）×（1-65%）=87.75%，本项目二级活性炭装置处理效率取8</w:t>
            </w:r>
            <w:r>
              <w:rPr>
                <w:rFonts w:hint="default" w:ascii="Times New Roman" w:hAnsi="Times New Roman" w:cs="Times New Roman"/>
                <w:color w:val="auto"/>
                <w:sz w:val="24"/>
                <w:szCs w:val="24"/>
                <w:highlight w:val="none"/>
                <w:lang w:val="en-US" w:eastAsia="zh-CN"/>
              </w:rPr>
              <w:t>7.75</w:t>
            </w:r>
            <w:r>
              <w:rPr>
                <w:rFonts w:hint="default" w:ascii="Times New Roman" w:hAnsi="Times New Roman" w:cs="Times New Roman"/>
                <w:color w:val="auto"/>
                <w:sz w:val="24"/>
                <w:szCs w:val="24"/>
                <w:highlight w:val="none"/>
              </w:rPr>
              <w:t>%。</w:t>
            </w:r>
          </w:p>
          <w:p w14:paraId="12194E74">
            <w:pPr>
              <w:pStyle w:val="10"/>
              <w:spacing w:line="360" w:lineRule="auto"/>
              <w:ind w:firstLine="482" w:firstLineChars="20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（2）喷粉工序废气</w:t>
            </w:r>
          </w:p>
          <w:p w14:paraId="6FE38158">
            <w:pPr>
              <w:pStyle w:val="63"/>
              <w:ind w:firstLine="440"/>
              <w:rPr>
                <w:rFonts w:hint="default" w:ascii="Times New Roman" w:hAnsi="Times New Roman" w:cs="Times New Roman"/>
                <w:bCs/>
                <w:color w:val="auto"/>
                <w:spacing w:val="-10"/>
                <w:sz w:val="24"/>
                <w:highlight w:val="none"/>
              </w:rPr>
            </w:pPr>
            <w:r>
              <w:rPr>
                <w:rFonts w:hint="default" w:ascii="Times New Roman" w:hAnsi="Times New Roman" w:eastAsia="宋体" w:cs="Times New Roman"/>
                <w:bCs/>
                <w:color w:val="auto"/>
                <w:spacing w:val="-10"/>
                <w:sz w:val="24"/>
                <w:highlight w:val="none"/>
              </w:rPr>
              <w:t>本项目部分工件需进行热固性粉末涂料喷</w:t>
            </w:r>
            <w:r>
              <w:rPr>
                <w:rFonts w:hint="default" w:ascii="Times New Roman" w:hAnsi="Times New Roman" w:eastAsia="宋体" w:cs="Times New Roman"/>
                <w:bCs/>
                <w:color w:val="auto"/>
                <w:spacing w:val="-10"/>
                <w:sz w:val="24"/>
                <w:highlight w:val="none"/>
                <w:lang w:val="en-US" w:eastAsia="zh-CN"/>
              </w:rPr>
              <w:t>粉</w:t>
            </w:r>
            <w:r>
              <w:rPr>
                <w:rFonts w:hint="default" w:ascii="Times New Roman" w:hAnsi="Times New Roman" w:eastAsia="宋体" w:cs="Times New Roman"/>
                <w:bCs/>
                <w:color w:val="auto"/>
                <w:spacing w:val="-10"/>
                <w:sz w:val="24"/>
                <w:highlight w:val="none"/>
              </w:rPr>
              <w:t>，本项目设置3个喷粉柜，热固性粉末涂料是一种</w:t>
            </w:r>
            <w:r>
              <w:rPr>
                <w:rFonts w:hint="default" w:ascii="Times New Roman" w:hAnsi="Times New Roman" w:cs="Times New Roman"/>
                <w:bCs/>
                <w:color w:val="auto"/>
                <w:spacing w:val="-10"/>
                <w:sz w:val="24"/>
                <w:highlight w:val="none"/>
              </w:rPr>
              <w:t>100%</w:t>
            </w:r>
            <w:r>
              <w:rPr>
                <w:rFonts w:hint="default" w:ascii="Times New Roman" w:hAnsi="Times New Roman" w:eastAsia="宋体" w:cs="Times New Roman"/>
                <w:bCs/>
                <w:color w:val="auto"/>
                <w:spacing w:val="-10"/>
                <w:sz w:val="24"/>
                <w:highlight w:val="none"/>
              </w:rPr>
              <w:t>固体分的粉末，涂料粒径大约为</w:t>
            </w:r>
            <w:r>
              <w:rPr>
                <w:rFonts w:hint="default" w:ascii="Times New Roman" w:hAnsi="Times New Roman" w:cs="Times New Roman"/>
                <w:bCs/>
                <w:color w:val="auto"/>
                <w:spacing w:val="-10"/>
                <w:sz w:val="24"/>
                <w:highlight w:val="none"/>
              </w:rPr>
              <w:t>20~50um</w:t>
            </w:r>
            <w:r>
              <w:rPr>
                <w:rFonts w:hint="default" w:ascii="Times New Roman" w:hAnsi="Times New Roman" w:eastAsia="宋体" w:cs="Times New Roman"/>
                <w:bCs/>
                <w:color w:val="auto"/>
                <w:spacing w:val="-10"/>
                <w:sz w:val="24"/>
                <w:highlight w:val="none"/>
              </w:rPr>
              <w:t>，喷粉过程中会产生喷粉废气，污染因子为颗粒物。根据《排放源统计调查产排污核算方法和系数手册》（公告</w:t>
            </w:r>
            <w:r>
              <w:rPr>
                <w:rFonts w:hint="default" w:ascii="Times New Roman" w:hAnsi="Times New Roman" w:cs="Times New Roman"/>
                <w:bCs/>
                <w:color w:val="auto"/>
                <w:spacing w:val="-10"/>
                <w:sz w:val="24"/>
                <w:highlight w:val="none"/>
              </w:rPr>
              <w:t>2021</w:t>
            </w:r>
            <w:r>
              <w:rPr>
                <w:rFonts w:hint="default" w:ascii="Times New Roman" w:hAnsi="Times New Roman" w:eastAsia="宋体" w:cs="Times New Roman"/>
                <w:bCs/>
                <w:color w:val="auto"/>
                <w:spacing w:val="-10"/>
                <w:sz w:val="24"/>
                <w:highlight w:val="none"/>
              </w:rPr>
              <w:t>年第</w:t>
            </w:r>
            <w:r>
              <w:rPr>
                <w:rFonts w:hint="default" w:ascii="Times New Roman" w:hAnsi="Times New Roman" w:cs="Times New Roman"/>
                <w:bCs/>
                <w:color w:val="auto"/>
                <w:spacing w:val="-10"/>
                <w:sz w:val="24"/>
                <w:highlight w:val="none"/>
              </w:rPr>
              <w:t>24</w:t>
            </w:r>
            <w:r>
              <w:rPr>
                <w:rFonts w:hint="default" w:ascii="Times New Roman" w:hAnsi="Times New Roman" w:eastAsia="宋体" w:cs="Times New Roman"/>
                <w:bCs/>
                <w:color w:val="auto"/>
                <w:spacing w:val="-10"/>
                <w:sz w:val="24"/>
                <w:highlight w:val="none"/>
              </w:rPr>
              <w:t>号）中《</w:t>
            </w:r>
            <w:r>
              <w:rPr>
                <w:rFonts w:hint="default" w:ascii="Times New Roman" w:hAnsi="Times New Roman" w:cs="Times New Roman"/>
                <w:bCs/>
                <w:color w:val="auto"/>
                <w:spacing w:val="-10"/>
                <w:sz w:val="24"/>
                <w:highlight w:val="none"/>
              </w:rPr>
              <w:t xml:space="preserve">34 </w:t>
            </w:r>
            <w:r>
              <w:rPr>
                <w:rFonts w:hint="default" w:ascii="Times New Roman" w:hAnsi="Times New Roman" w:eastAsia="宋体" w:cs="Times New Roman"/>
                <w:bCs/>
                <w:color w:val="auto"/>
                <w:spacing w:val="-10"/>
                <w:sz w:val="24"/>
                <w:highlight w:val="none"/>
              </w:rPr>
              <w:t>通用设备制造行业系数手册》中的</w:t>
            </w:r>
            <w:r>
              <w:rPr>
                <w:rFonts w:hint="default" w:ascii="Times New Roman" w:hAnsi="Times New Roman" w:cs="Times New Roman"/>
                <w:bCs/>
                <w:color w:val="auto"/>
                <w:spacing w:val="-10"/>
                <w:sz w:val="24"/>
                <w:highlight w:val="none"/>
              </w:rPr>
              <w:t>14</w:t>
            </w:r>
            <w:r>
              <w:rPr>
                <w:rFonts w:hint="default" w:ascii="Times New Roman" w:hAnsi="Times New Roman" w:eastAsia="宋体" w:cs="Times New Roman"/>
                <w:bCs/>
                <w:color w:val="auto"/>
                <w:spacing w:val="-10"/>
                <w:sz w:val="24"/>
                <w:highlight w:val="none"/>
              </w:rPr>
              <w:t>涂装</w:t>
            </w:r>
            <w:r>
              <w:rPr>
                <w:rFonts w:hint="default" w:ascii="Times New Roman" w:hAnsi="Times New Roman" w:cs="Times New Roman"/>
                <w:bCs/>
                <w:color w:val="auto"/>
                <w:spacing w:val="-10"/>
                <w:sz w:val="24"/>
                <w:highlight w:val="none"/>
              </w:rPr>
              <w:t>“</w:t>
            </w:r>
            <w:r>
              <w:rPr>
                <w:rFonts w:hint="default" w:ascii="Times New Roman" w:hAnsi="Times New Roman" w:eastAsia="宋体" w:cs="Times New Roman"/>
                <w:bCs/>
                <w:color w:val="auto"/>
                <w:spacing w:val="-10"/>
                <w:sz w:val="24"/>
                <w:highlight w:val="none"/>
              </w:rPr>
              <w:t>粉末涂料</w:t>
            </w:r>
            <w:r>
              <w:rPr>
                <w:rFonts w:hint="default" w:ascii="Times New Roman" w:hAnsi="Times New Roman" w:cs="Times New Roman"/>
                <w:bCs/>
                <w:color w:val="auto"/>
                <w:spacing w:val="-10"/>
                <w:sz w:val="24"/>
                <w:highlight w:val="none"/>
              </w:rPr>
              <w:t xml:space="preserve"> </w:t>
            </w:r>
            <w:r>
              <w:rPr>
                <w:rFonts w:hint="default" w:ascii="Times New Roman" w:hAnsi="Times New Roman" w:eastAsia="宋体" w:cs="Times New Roman"/>
                <w:bCs/>
                <w:color w:val="auto"/>
                <w:spacing w:val="-10"/>
                <w:sz w:val="24"/>
                <w:highlight w:val="none"/>
              </w:rPr>
              <w:t>喷塑</w:t>
            </w:r>
            <w:r>
              <w:rPr>
                <w:rFonts w:hint="default" w:ascii="Times New Roman" w:hAnsi="Times New Roman" w:cs="Times New Roman"/>
                <w:bCs/>
                <w:color w:val="auto"/>
                <w:spacing w:val="-10"/>
                <w:sz w:val="24"/>
                <w:highlight w:val="none"/>
              </w:rPr>
              <w:t>”</w:t>
            </w:r>
            <w:r>
              <w:rPr>
                <w:rFonts w:hint="default" w:ascii="Times New Roman" w:hAnsi="Times New Roman" w:eastAsia="宋体" w:cs="Times New Roman"/>
                <w:bCs/>
                <w:color w:val="auto"/>
                <w:spacing w:val="-10"/>
                <w:sz w:val="24"/>
                <w:highlight w:val="none"/>
              </w:rPr>
              <w:t>颗粒物的产污系数为</w:t>
            </w:r>
            <w:r>
              <w:rPr>
                <w:rFonts w:hint="default" w:ascii="Times New Roman" w:hAnsi="Times New Roman" w:cs="Times New Roman"/>
                <w:bCs/>
                <w:color w:val="auto"/>
                <w:spacing w:val="-10"/>
                <w:sz w:val="24"/>
                <w:highlight w:val="none"/>
              </w:rPr>
              <w:t>300kg/t-</w:t>
            </w:r>
            <w:r>
              <w:rPr>
                <w:rFonts w:hint="default" w:ascii="Times New Roman" w:hAnsi="Times New Roman" w:eastAsia="宋体" w:cs="Times New Roman"/>
                <w:bCs/>
                <w:color w:val="auto"/>
                <w:spacing w:val="-10"/>
                <w:sz w:val="24"/>
                <w:highlight w:val="none"/>
              </w:rPr>
              <w:t>原料。本项目热固性粉末涂料的使用量为1.99</w:t>
            </w:r>
            <w:r>
              <w:rPr>
                <w:rFonts w:hint="default" w:ascii="Times New Roman" w:hAnsi="Times New Roman" w:eastAsia="宋体" w:cs="Times New Roman"/>
                <w:bCs/>
                <w:color w:val="auto"/>
                <w:spacing w:val="-10"/>
                <w:sz w:val="24"/>
                <w:highlight w:val="none"/>
                <w:lang w:val="en-US" w:eastAsia="zh-CN"/>
              </w:rPr>
              <w:t>7</w:t>
            </w:r>
            <w:r>
              <w:rPr>
                <w:rFonts w:hint="default" w:ascii="Times New Roman" w:hAnsi="Times New Roman" w:cs="Times New Roman"/>
                <w:bCs/>
                <w:color w:val="auto"/>
                <w:spacing w:val="-10"/>
                <w:sz w:val="24"/>
                <w:highlight w:val="none"/>
              </w:rPr>
              <w:t>t/a</w:t>
            </w:r>
            <w:r>
              <w:rPr>
                <w:rFonts w:hint="default" w:ascii="Times New Roman" w:hAnsi="Times New Roman" w:eastAsia="宋体" w:cs="Times New Roman"/>
                <w:bCs/>
                <w:color w:val="auto"/>
                <w:spacing w:val="-10"/>
                <w:sz w:val="24"/>
                <w:highlight w:val="none"/>
              </w:rPr>
              <w:t>，则喷粉颗粒物的产生量分别为</w:t>
            </w:r>
            <w:r>
              <w:rPr>
                <w:rFonts w:hint="default" w:ascii="Times New Roman" w:hAnsi="Times New Roman" w:cs="Times New Roman"/>
                <w:bCs/>
                <w:color w:val="auto"/>
                <w:spacing w:val="-10"/>
                <w:sz w:val="24"/>
                <w:highlight w:val="none"/>
              </w:rPr>
              <w:t>0.6t/a</w:t>
            </w:r>
            <w:r>
              <w:rPr>
                <w:rFonts w:hint="default" w:ascii="Times New Roman" w:hAnsi="Times New Roman" w:eastAsia="宋体" w:cs="Times New Roman"/>
                <w:bCs/>
                <w:color w:val="auto"/>
                <w:spacing w:val="-10"/>
                <w:sz w:val="24"/>
                <w:highlight w:val="none"/>
              </w:rPr>
              <w:t>。</w:t>
            </w:r>
          </w:p>
          <w:p w14:paraId="05E5F892">
            <w:pPr>
              <w:autoSpaceDE w:val="0"/>
              <w:autoSpaceDN w:val="0"/>
              <w:adjustRightInd w:val="0"/>
              <w:snapToGrid w:val="0"/>
              <w:spacing w:line="360" w:lineRule="auto"/>
              <w:ind w:firstLine="440" w:firstLineChars="200"/>
              <w:jc w:val="left"/>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参考《广东省生态环境厅关于印发工业源挥发性有机物和氮氧化物减排量核算方法的通知》（粤环函[2023]538号）中《广东省工业源挥发性有机物减排量核算方法（2023年修订版）》中“表3.3-2废气收集集气效率参考值，半密闭型集气设备（含排气柜），污染物产生点(或生产设施)四周及上下有围挡设施，符合以下两种情况:1.仅保留1个操作工位面，2.仅保留物料进出通道，通道敞开面小于1个操作工位面，敞开面控制风速不小于0.3m/s时收集效率为65%。本</w:t>
            </w:r>
            <w:r>
              <w:rPr>
                <w:rFonts w:hint="default" w:ascii="Times New Roman" w:hAnsi="Times New Roman" w:cs="Times New Roman"/>
                <w:color w:val="auto"/>
                <w:sz w:val="24"/>
                <w:highlight w:val="none"/>
              </w:rPr>
              <w:t>项目采用喷粉柜，仅保留1个操作工位面，因此喷粉柜的废气捕集效率为65%。</w:t>
            </w:r>
          </w:p>
          <w:p w14:paraId="627DA638">
            <w:pPr>
              <w:pStyle w:val="63"/>
              <w:ind w:firstLine="440"/>
              <w:rPr>
                <w:rFonts w:hint="default" w:ascii="Times New Roman" w:hAnsi="Times New Roman" w:eastAsia="宋体" w:cs="Times New Roman"/>
                <w:bCs/>
                <w:color w:val="auto"/>
                <w:spacing w:val="-10"/>
                <w:sz w:val="24"/>
                <w:highlight w:val="none"/>
              </w:rPr>
            </w:pPr>
            <w:r>
              <w:rPr>
                <w:rFonts w:hint="default" w:ascii="Times New Roman" w:hAnsi="Times New Roman" w:eastAsia="宋体" w:cs="Times New Roman"/>
                <w:bCs/>
                <w:color w:val="auto"/>
                <w:spacing w:val="-10"/>
                <w:sz w:val="24"/>
                <w:highlight w:val="none"/>
              </w:rPr>
              <w:t>本项目喷粉柜的废气收集风量，依据局部排风</w:t>
            </w:r>
            <w:r>
              <w:rPr>
                <w:rFonts w:hint="default" w:ascii="Times New Roman" w:hAnsi="Times New Roman" w:cs="Times New Roman"/>
                <w:bCs/>
                <w:color w:val="auto"/>
                <w:spacing w:val="-10"/>
                <w:sz w:val="24"/>
                <w:highlight w:val="none"/>
              </w:rPr>
              <w:t>,</w:t>
            </w:r>
            <w:r>
              <w:rPr>
                <w:rFonts w:hint="default" w:ascii="Times New Roman" w:hAnsi="Times New Roman" w:eastAsia="宋体" w:cs="Times New Roman"/>
                <w:bCs/>
                <w:color w:val="auto"/>
                <w:spacing w:val="-10"/>
                <w:sz w:val="24"/>
                <w:highlight w:val="none"/>
              </w:rPr>
              <w:t>罩设计原理，采用控制风速法进行计算，计算公式如下：</w:t>
            </w:r>
          </w:p>
          <w:p w14:paraId="095EA07E">
            <w:pPr>
              <w:pStyle w:val="63"/>
              <w:ind w:firstLine="0" w:firstLineChars="0"/>
              <w:jc w:val="center"/>
              <w:rPr>
                <w:rFonts w:hint="default" w:ascii="Times New Roman" w:hAnsi="Times New Roman" w:eastAsia="宋体" w:cs="Times New Roman"/>
                <w:bCs/>
                <w:color w:val="auto"/>
                <w:spacing w:val="-10"/>
                <w:sz w:val="24"/>
                <w:highlight w:val="none"/>
              </w:rPr>
            </w:pPr>
            <w:r>
              <w:rPr>
                <w:rFonts w:hint="default" w:ascii="Times New Roman" w:hAnsi="Times New Roman" w:cs="Times New Roman"/>
                <w:color w:val="auto"/>
                <w:sz w:val="24"/>
                <w:highlight w:val="none"/>
              </w:rPr>
              <w:drawing>
                <wp:inline distT="0" distB="0" distL="114300" distR="114300">
                  <wp:extent cx="1400175" cy="476250"/>
                  <wp:effectExtent l="0" t="0" r="9525" b="0"/>
                  <wp:docPr id="4" name="图片 4" descr="5ffa1926-c23b-4164-9a73-b2fd946bde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ffa1926-c23b-4164-9a73-b2fd946bde2a"/>
                          <pic:cNvPicPr>
                            <a:picLocks noChangeAspect="1"/>
                          </pic:cNvPicPr>
                        </pic:nvPicPr>
                        <pic:blipFill>
                          <a:blip r:embed="rId24"/>
                          <a:stretch>
                            <a:fillRect/>
                          </a:stretch>
                        </pic:blipFill>
                        <pic:spPr>
                          <a:xfrm>
                            <a:off x="0" y="0"/>
                            <a:ext cx="1400175" cy="476250"/>
                          </a:xfrm>
                          <a:prstGeom prst="rect">
                            <a:avLst/>
                          </a:prstGeom>
                        </pic:spPr>
                      </pic:pic>
                    </a:graphicData>
                  </a:graphic>
                </wp:inline>
              </w:drawing>
            </w:r>
          </w:p>
          <w:p w14:paraId="0E3FB5B4">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式中：Q——所需排风量，m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w:t>
            </w:r>
          </w:p>
          <w:p w14:paraId="3D2A6925">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A——开口截面积，m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p>
          <w:p w14:paraId="1F109778">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Vc——控制风速风速（即在喷粉柜开口处维持的吸入风速），一般取0.3~0.6m/s；本项目取0.5m/s；</w:t>
            </w:r>
          </w:p>
          <w:p w14:paraId="5A8FA711">
            <w:pPr>
              <w:pStyle w:val="102"/>
              <w:spacing w:before="120" w:beforeLines="50"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K——安全系数或经验修正系数（通常取1.0~1.4），本项目取1.2。</w:t>
            </w:r>
          </w:p>
          <w:p w14:paraId="54091429">
            <w:pPr>
              <w:pStyle w:val="102"/>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szCs w:val="24"/>
                <w:highlight w:val="none"/>
              </w:rPr>
              <w:t>本项目喷粉柜的开口尺寸1.5m×1.2m，开口截面积为1.8m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，根据上述公式计算，单个喷粉柜的排风量为3888m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h，本项目共设置3台同样尺寸的喷粉柜，合计总风量为11664m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/h，为了弥补风管和设备的漏风损失，通常</w:t>
            </w:r>
            <w:r>
              <w:rPr>
                <w:rFonts w:hint="default" w:ascii="Times New Roman" w:hAnsi="Times New Roman" w:cs="Times New Roman"/>
                <w:color w:val="auto"/>
                <w:sz w:val="24"/>
                <w:szCs w:val="24"/>
                <w:highlight w:val="none"/>
                <w:lang w:val="en-US" w:eastAsia="zh-CN"/>
              </w:rPr>
              <w:t>设计风量需在</w:t>
            </w:r>
            <w:r>
              <w:rPr>
                <w:rFonts w:hint="default" w:ascii="Times New Roman" w:hAnsi="Times New Roman" w:cs="Times New Roman"/>
                <w:color w:val="auto"/>
                <w:sz w:val="24"/>
                <w:szCs w:val="24"/>
                <w:highlight w:val="none"/>
              </w:rPr>
              <w:t>计算风量的基础上</w:t>
            </w:r>
            <w:r>
              <w:rPr>
                <w:rFonts w:hint="default" w:ascii="Times New Roman" w:hAnsi="Times New Roman" w:cs="Times New Roman"/>
                <w:color w:val="auto"/>
                <w:sz w:val="24"/>
                <w:szCs w:val="24"/>
                <w:highlight w:val="none"/>
                <w:lang w:val="en-US" w:eastAsia="zh-CN"/>
              </w:rPr>
              <w:t>增</w:t>
            </w:r>
            <w:r>
              <w:rPr>
                <w:rFonts w:hint="default" w:ascii="Times New Roman" w:hAnsi="Times New Roman" w:cs="Times New Roman"/>
                <w:color w:val="auto"/>
                <w:sz w:val="24"/>
                <w:szCs w:val="24"/>
                <w:highlight w:val="none"/>
              </w:rPr>
              <w:t>加</w:t>
            </w:r>
            <w:r>
              <w:rPr>
                <w:rFonts w:hint="default" w:ascii="Times New Roman" w:hAnsi="Times New Roman" w:cs="Times New Roman"/>
                <w:color w:val="auto"/>
                <w:sz w:val="24"/>
                <w:szCs w:val="24"/>
                <w:highlight w:val="none"/>
                <w:lang w:val="en-US" w:eastAsia="zh-CN"/>
              </w:rPr>
              <w:t>约5%~</w:t>
            </w:r>
            <w:r>
              <w:rPr>
                <w:rFonts w:hint="default" w:ascii="Times New Roman" w:hAnsi="Times New Roman" w:cs="Times New Roman"/>
                <w:color w:val="auto"/>
                <w:sz w:val="24"/>
                <w:szCs w:val="24"/>
                <w:highlight w:val="none"/>
              </w:rPr>
              <w:t>10%</w:t>
            </w:r>
            <w:r>
              <w:rPr>
                <w:rFonts w:hint="default" w:ascii="Times New Roman" w:hAnsi="Times New Roman" w:cs="Times New Roman"/>
                <w:color w:val="auto"/>
                <w:sz w:val="24"/>
                <w:szCs w:val="24"/>
                <w:highlight w:val="none"/>
                <w:lang w:val="en-US" w:eastAsia="zh-CN"/>
              </w:rPr>
              <w:t>以上</w:t>
            </w:r>
            <w:r>
              <w:rPr>
                <w:rFonts w:hint="default" w:ascii="Times New Roman" w:hAnsi="Times New Roman" w:cs="Times New Roman"/>
                <w:color w:val="auto"/>
                <w:sz w:val="24"/>
                <w:szCs w:val="24"/>
                <w:highlight w:val="none"/>
              </w:rPr>
              <w:t>，则建设单位为</w:t>
            </w:r>
            <w:r>
              <w:rPr>
                <w:rFonts w:hint="default" w:ascii="Times New Roman" w:hAnsi="Times New Roman" w:cs="Times New Roman"/>
                <w:color w:val="auto"/>
                <w:sz w:val="24"/>
                <w:highlight w:val="none"/>
              </w:rPr>
              <w:t>项目喷粉选用风量为12</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00m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/h的风机。</w:t>
            </w:r>
          </w:p>
          <w:p w14:paraId="7B5752B1">
            <w:pPr>
              <w:pStyle w:val="102"/>
              <w:spacing w:before="120" w:beforeLines="50"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项目拟设一套“滤筒除尘装置”对喷粉废气收集处理后接入喷漆、烘烤废气排放口的排气筒DA005排放。</w:t>
            </w:r>
            <w:r>
              <w:rPr>
                <w:rFonts w:hint="default" w:ascii="Times New Roman" w:hAnsi="Times New Roman" w:cs="Times New Roman"/>
                <w:bCs/>
                <w:color w:val="auto"/>
                <w:spacing w:val="-10"/>
                <w:sz w:val="24"/>
                <w:highlight w:val="none"/>
              </w:rPr>
              <w:t>根据《排放源统计调查产排污核算方法和系数手册》（公告2021年第24号）中《34 通用设备制造行业系数手册》中的14涂装“袋式除尘”的末端治理技术效率为95%，滤筒式除尘器除尘原理和布袋除尘器类似，均是采用滤料过滤粉尘，滤筒式除尘器皱褶形滤料相比布袋除尘器过滤面积更大，滤筒式除尘器除尘效率保守估计按95%计。喷粉工序设在车间内，</w:t>
            </w:r>
            <w:r>
              <w:rPr>
                <w:rFonts w:hint="default" w:ascii="Times New Roman" w:hAnsi="Times New Roman" w:cs="Times New Roman"/>
                <w:bCs/>
                <w:color w:val="auto"/>
                <w:spacing w:val="-10"/>
                <w:sz w:val="24"/>
                <w:szCs w:val="24"/>
                <w:highlight w:val="none"/>
              </w:rPr>
              <w:t>未被捕集的粉尘，</w:t>
            </w:r>
            <w:r>
              <w:rPr>
                <w:rFonts w:hint="default" w:ascii="Times New Roman" w:hAnsi="Times New Roman" w:cs="Times New Roman"/>
                <w:bCs/>
                <w:color w:val="auto"/>
                <w:spacing w:val="-10"/>
                <w:sz w:val="24"/>
                <w:highlight w:val="none"/>
              </w:rPr>
              <w:t>由于喷粉颗粒物比重较大，自然沉降较快，绝大部分会在车间区域内沉降，参考《未纳入排污许可管理行业适用的排污系数、物料衡算方法（试行）》（原环境保护部公告2017年第81号）中“47锯材加工业”的系数，车间不装除尘设备的情况下，重力沉降法的效率约为85%。喷粉比重大于木材，因此本项目未被收集的喷粉较木质粉尘更易沉降，加上厂房阻隔效应，约85%以上的粉尘在厂房内降落，无组织粉尘的外逸量约15%。</w:t>
            </w:r>
          </w:p>
          <w:p w14:paraId="600C3C6C">
            <w:pPr>
              <w:pStyle w:val="63"/>
              <w:ind w:firstLine="482"/>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color w:val="auto"/>
                <w:sz w:val="24"/>
                <w:highlight w:val="none"/>
              </w:rPr>
              <w:t>（</w:t>
            </w:r>
            <w:r>
              <w:rPr>
                <w:rFonts w:hint="default" w:ascii="Times New Roman" w:hAnsi="Times New Roman" w:cs="Times New Roman"/>
                <w:b/>
                <w:color w:val="auto"/>
                <w:sz w:val="24"/>
                <w:highlight w:val="none"/>
              </w:rPr>
              <w:t>3</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b/>
                <w:color w:val="auto"/>
                <w:spacing w:val="-10"/>
                <w:sz w:val="24"/>
                <w:highlight w:val="none"/>
              </w:rPr>
              <w:t>喷漆（含</w:t>
            </w:r>
            <w:r>
              <w:rPr>
                <w:rFonts w:hint="default" w:ascii="Times New Roman" w:hAnsi="Times New Roman" w:eastAsia="宋体" w:cs="Times New Roman"/>
                <w:b/>
                <w:bCs/>
                <w:color w:val="auto"/>
                <w:kern w:val="0"/>
                <w:sz w:val="24"/>
                <w:highlight w:val="none"/>
              </w:rPr>
              <w:t>喷涂、洗枪、风干）、烘烤废气、喷粉废气小结</w:t>
            </w:r>
          </w:p>
          <w:p w14:paraId="5076D945">
            <w:pPr>
              <w:adjustRightInd w:val="0"/>
              <w:snapToGrid w:val="0"/>
              <w:spacing w:before="120" w:beforeLines="50" w:line="360" w:lineRule="auto"/>
              <w:jc w:val="center"/>
              <w:rPr>
                <w:rFonts w:hint="default" w:ascii="Times New Roman" w:hAnsi="Times New Roman" w:cs="Times New Roman"/>
                <w:b/>
                <w:color w:val="auto"/>
                <w:spacing w:val="-10"/>
                <w:sz w:val="24"/>
                <w:highlight w:val="none"/>
              </w:rPr>
            </w:pPr>
            <w:r>
              <w:rPr>
                <w:rFonts w:hint="default" w:ascii="Times New Roman" w:hAnsi="Times New Roman" w:cs="Times New Roman"/>
                <w:b/>
                <w:color w:val="auto"/>
                <w:spacing w:val="-10"/>
                <w:sz w:val="24"/>
                <w:highlight w:val="none"/>
              </w:rPr>
              <w:t>表4-2 喷漆（含</w:t>
            </w:r>
            <w:r>
              <w:rPr>
                <w:rFonts w:hint="default" w:ascii="Times New Roman" w:hAnsi="Times New Roman" w:cs="Times New Roman"/>
                <w:b/>
                <w:bCs/>
                <w:color w:val="auto"/>
                <w:kern w:val="0"/>
                <w:sz w:val="24"/>
                <w:highlight w:val="none"/>
              </w:rPr>
              <w:t>喷涂、洗枪、风干）和烘烤</w:t>
            </w:r>
            <w:r>
              <w:rPr>
                <w:rFonts w:hint="default" w:ascii="Times New Roman" w:hAnsi="Times New Roman" w:cs="Times New Roman"/>
                <w:b/>
                <w:color w:val="auto"/>
                <w:spacing w:val="-10"/>
                <w:sz w:val="24"/>
                <w:highlight w:val="none"/>
              </w:rPr>
              <w:t>废气、喷粉废气产排情况一览表</w:t>
            </w:r>
          </w:p>
          <w:tbl>
            <w:tblPr>
              <w:tblStyle w:val="27"/>
              <w:tblW w:w="87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339"/>
              <w:gridCol w:w="735"/>
              <w:gridCol w:w="675"/>
              <w:gridCol w:w="705"/>
              <w:gridCol w:w="720"/>
              <w:gridCol w:w="669"/>
              <w:gridCol w:w="51"/>
              <w:gridCol w:w="705"/>
              <w:gridCol w:w="735"/>
              <w:gridCol w:w="974"/>
              <w:gridCol w:w="975"/>
            </w:tblGrid>
            <w:tr w14:paraId="25FF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trPr>
              <w:tc>
                <w:tcPr>
                  <w:tcW w:w="1852" w:type="dxa"/>
                  <w:gridSpan w:val="2"/>
                  <w:vAlign w:val="center"/>
                </w:tcPr>
                <w:p w14:paraId="7A7A0454">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污染源工序</w:t>
                  </w:r>
                </w:p>
              </w:tc>
              <w:tc>
                <w:tcPr>
                  <w:tcW w:w="2115" w:type="dxa"/>
                  <w:gridSpan w:val="3"/>
                  <w:vAlign w:val="center"/>
                </w:tcPr>
                <w:p w14:paraId="360509AB">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喷涂</w:t>
                  </w:r>
                </w:p>
              </w:tc>
              <w:tc>
                <w:tcPr>
                  <w:tcW w:w="1440" w:type="dxa"/>
                  <w:gridSpan w:val="3"/>
                  <w:vAlign w:val="center"/>
                </w:tcPr>
                <w:p w14:paraId="7A50C866">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洗枪</w:t>
                  </w:r>
                </w:p>
              </w:tc>
              <w:tc>
                <w:tcPr>
                  <w:tcW w:w="1440" w:type="dxa"/>
                  <w:gridSpan w:val="2"/>
                  <w:vAlign w:val="center"/>
                </w:tcPr>
                <w:p w14:paraId="0824E4BF">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风干</w:t>
                  </w:r>
                </w:p>
              </w:tc>
              <w:tc>
                <w:tcPr>
                  <w:tcW w:w="974" w:type="dxa"/>
                  <w:vAlign w:val="center"/>
                </w:tcPr>
                <w:p w14:paraId="0A683840">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烘烤</w:t>
                  </w:r>
                </w:p>
              </w:tc>
              <w:tc>
                <w:tcPr>
                  <w:tcW w:w="975" w:type="dxa"/>
                  <w:vAlign w:val="center"/>
                </w:tcPr>
                <w:p w14:paraId="5B429FF4">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喷粉</w:t>
                  </w:r>
                </w:p>
              </w:tc>
            </w:tr>
            <w:tr w14:paraId="345A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trPr>
              <w:tc>
                <w:tcPr>
                  <w:tcW w:w="1852" w:type="dxa"/>
                  <w:gridSpan w:val="2"/>
                  <w:vAlign w:val="center"/>
                </w:tcPr>
                <w:p w14:paraId="49E254F5">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污染源</w:t>
                  </w:r>
                </w:p>
              </w:tc>
              <w:tc>
                <w:tcPr>
                  <w:tcW w:w="3555" w:type="dxa"/>
                  <w:gridSpan w:val="6"/>
                  <w:vAlign w:val="center"/>
                </w:tcPr>
                <w:p w14:paraId="0AE221BC">
                  <w:pPr>
                    <w:adjustRightInd w:val="0"/>
                    <w:snapToGrid w:val="0"/>
                    <w:spacing w:before="120" w:beforeLines="50" w:line="360" w:lineRule="auto"/>
                    <w:jc w:val="center"/>
                    <w:rPr>
                      <w:rFonts w:hint="default" w:ascii="Times New Roman" w:hAnsi="Times New Roman" w:eastAsia="宋体" w:cs="Times New Roman"/>
                      <w:bCs/>
                      <w:color w:val="auto"/>
                      <w:spacing w:val="-10"/>
                      <w:sz w:val="18"/>
                      <w:szCs w:val="18"/>
                      <w:highlight w:val="none"/>
                      <w:lang w:eastAsia="zh-CN"/>
                    </w:rPr>
                  </w:pPr>
                  <w:r>
                    <w:rPr>
                      <w:rFonts w:hint="default" w:ascii="Times New Roman" w:hAnsi="Times New Roman" w:cs="Times New Roman"/>
                      <w:bCs/>
                      <w:color w:val="auto"/>
                      <w:spacing w:val="-10"/>
                      <w:sz w:val="18"/>
                      <w:szCs w:val="18"/>
                      <w:highlight w:val="none"/>
                    </w:rPr>
                    <w:t>喷漆</w:t>
                  </w:r>
                  <w:r>
                    <w:rPr>
                      <w:rFonts w:hint="default" w:ascii="Times New Roman" w:hAnsi="Times New Roman" w:cs="Times New Roman"/>
                      <w:bCs/>
                      <w:color w:val="auto"/>
                      <w:spacing w:val="-10"/>
                      <w:sz w:val="18"/>
                      <w:szCs w:val="18"/>
                      <w:highlight w:val="none"/>
                      <w:lang w:val="en-US" w:eastAsia="zh-CN"/>
                    </w:rPr>
                    <w:t>房</w:t>
                  </w:r>
                </w:p>
              </w:tc>
              <w:tc>
                <w:tcPr>
                  <w:tcW w:w="1440" w:type="dxa"/>
                  <w:gridSpan w:val="2"/>
                  <w:vAlign w:val="center"/>
                </w:tcPr>
                <w:p w14:paraId="2034DDE6">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风干房</w:t>
                  </w:r>
                </w:p>
              </w:tc>
              <w:tc>
                <w:tcPr>
                  <w:tcW w:w="974" w:type="dxa"/>
                  <w:vAlign w:val="center"/>
                </w:tcPr>
                <w:p w14:paraId="273187AA">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烤箱</w:t>
                  </w:r>
                </w:p>
              </w:tc>
              <w:tc>
                <w:tcPr>
                  <w:tcW w:w="975" w:type="dxa"/>
                  <w:vAlign w:val="center"/>
                </w:tcPr>
                <w:p w14:paraId="322E46B2">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喷粉柜</w:t>
                  </w:r>
                </w:p>
              </w:tc>
            </w:tr>
            <w:tr w14:paraId="0C48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trPr>
              <w:tc>
                <w:tcPr>
                  <w:tcW w:w="1852" w:type="dxa"/>
                  <w:gridSpan w:val="2"/>
                  <w:vAlign w:val="center"/>
                </w:tcPr>
                <w:p w14:paraId="1F7CD4E2">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污染因子</w:t>
                  </w:r>
                </w:p>
              </w:tc>
              <w:tc>
                <w:tcPr>
                  <w:tcW w:w="735" w:type="dxa"/>
                  <w:vAlign w:val="center"/>
                </w:tcPr>
                <w:p w14:paraId="12FFABE9">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颗粒物</w:t>
                  </w:r>
                </w:p>
              </w:tc>
              <w:tc>
                <w:tcPr>
                  <w:tcW w:w="675" w:type="dxa"/>
                  <w:vAlign w:val="center"/>
                </w:tcPr>
                <w:p w14:paraId="7572B9E5">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TVOC</w:t>
                  </w:r>
                </w:p>
              </w:tc>
              <w:tc>
                <w:tcPr>
                  <w:tcW w:w="705" w:type="dxa"/>
                  <w:vAlign w:val="center"/>
                </w:tcPr>
                <w:p w14:paraId="4D52857E">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二甲苯</w:t>
                  </w:r>
                </w:p>
              </w:tc>
              <w:tc>
                <w:tcPr>
                  <w:tcW w:w="720" w:type="dxa"/>
                  <w:vAlign w:val="center"/>
                </w:tcPr>
                <w:p w14:paraId="71D823FD">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TVOC</w:t>
                  </w:r>
                </w:p>
              </w:tc>
              <w:tc>
                <w:tcPr>
                  <w:tcW w:w="720" w:type="dxa"/>
                  <w:gridSpan w:val="2"/>
                  <w:vAlign w:val="center"/>
                </w:tcPr>
                <w:p w14:paraId="0BE98C5C">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二甲苯</w:t>
                  </w:r>
                </w:p>
              </w:tc>
              <w:tc>
                <w:tcPr>
                  <w:tcW w:w="705" w:type="dxa"/>
                  <w:vAlign w:val="center"/>
                </w:tcPr>
                <w:p w14:paraId="19BA6B2F">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TVOC</w:t>
                  </w:r>
                </w:p>
              </w:tc>
              <w:tc>
                <w:tcPr>
                  <w:tcW w:w="735" w:type="dxa"/>
                  <w:vAlign w:val="center"/>
                </w:tcPr>
                <w:p w14:paraId="1FAEA1AC">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二甲苯</w:t>
                  </w:r>
                </w:p>
              </w:tc>
              <w:tc>
                <w:tcPr>
                  <w:tcW w:w="974" w:type="dxa"/>
                  <w:vAlign w:val="center"/>
                </w:tcPr>
                <w:p w14:paraId="097D14C9">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TVOC</w:t>
                  </w:r>
                </w:p>
              </w:tc>
              <w:tc>
                <w:tcPr>
                  <w:tcW w:w="975" w:type="dxa"/>
                  <w:vAlign w:val="center"/>
                </w:tcPr>
                <w:p w14:paraId="1E931992">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颗粒物</w:t>
                  </w:r>
                </w:p>
              </w:tc>
            </w:tr>
            <w:tr w14:paraId="1D9B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exact"/>
              </w:trPr>
              <w:tc>
                <w:tcPr>
                  <w:tcW w:w="1852" w:type="dxa"/>
                  <w:gridSpan w:val="2"/>
                  <w:vAlign w:val="center"/>
                </w:tcPr>
                <w:p w14:paraId="5BF4EF1B">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总产生量t/a</w:t>
                  </w:r>
                </w:p>
              </w:tc>
              <w:tc>
                <w:tcPr>
                  <w:tcW w:w="735" w:type="dxa"/>
                  <w:vAlign w:val="center"/>
                </w:tcPr>
                <w:p w14:paraId="5E85BC64">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1.32</w:t>
                  </w:r>
                </w:p>
              </w:tc>
              <w:tc>
                <w:tcPr>
                  <w:tcW w:w="675" w:type="dxa"/>
                  <w:vAlign w:val="center"/>
                </w:tcPr>
                <w:p w14:paraId="4B994383">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w:t>
                  </w:r>
                  <w:r>
                    <w:rPr>
                      <w:rFonts w:hint="default" w:ascii="Times New Roman" w:hAnsi="Times New Roman" w:cs="Times New Roman"/>
                      <w:color w:val="auto"/>
                      <w:sz w:val="18"/>
                      <w:szCs w:val="18"/>
                      <w:highlight w:val="none"/>
                      <w:lang w:val="en-US" w:eastAsia="zh-CN"/>
                    </w:rPr>
                    <w:t>377</w:t>
                  </w:r>
                </w:p>
              </w:tc>
              <w:tc>
                <w:tcPr>
                  <w:tcW w:w="705" w:type="dxa"/>
                  <w:vAlign w:val="center"/>
                </w:tcPr>
                <w:p w14:paraId="51BFC3BE">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0.</w:t>
                  </w:r>
                  <w:r>
                    <w:rPr>
                      <w:rFonts w:hint="default" w:ascii="Times New Roman" w:hAnsi="Times New Roman" w:cs="Times New Roman"/>
                      <w:color w:val="auto"/>
                      <w:sz w:val="18"/>
                      <w:szCs w:val="18"/>
                      <w:highlight w:val="none"/>
                      <w:lang w:val="en-US" w:eastAsia="zh-CN"/>
                    </w:rPr>
                    <w:t>878</w:t>
                  </w:r>
                </w:p>
              </w:tc>
              <w:tc>
                <w:tcPr>
                  <w:tcW w:w="720" w:type="dxa"/>
                  <w:vAlign w:val="center"/>
                </w:tcPr>
                <w:p w14:paraId="44C530FB">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0.009</w:t>
                  </w:r>
                </w:p>
              </w:tc>
              <w:tc>
                <w:tcPr>
                  <w:tcW w:w="720" w:type="dxa"/>
                  <w:gridSpan w:val="2"/>
                  <w:vAlign w:val="center"/>
                </w:tcPr>
                <w:p w14:paraId="5BF4E8AB">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0.006</w:t>
                  </w:r>
                </w:p>
              </w:tc>
              <w:tc>
                <w:tcPr>
                  <w:tcW w:w="705" w:type="dxa"/>
                  <w:vAlign w:val="center"/>
                </w:tcPr>
                <w:p w14:paraId="5D8EE001">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0.24</w:t>
                  </w:r>
                  <w:r>
                    <w:rPr>
                      <w:rFonts w:hint="default" w:ascii="Times New Roman" w:hAnsi="Times New Roman" w:cs="Times New Roman"/>
                      <w:color w:val="auto"/>
                      <w:sz w:val="18"/>
                      <w:szCs w:val="18"/>
                      <w:highlight w:val="none"/>
                      <w:lang w:val="en-US" w:eastAsia="zh-CN"/>
                    </w:rPr>
                    <w:t>3</w:t>
                  </w:r>
                </w:p>
              </w:tc>
              <w:tc>
                <w:tcPr>
                  <w:tcW w:w="735" w:type="dxa"/>
                  <w:vAlign w:val="center"/>
                </w:tcPr>
                <w:p w14:paraId="4D34782E">
                  <w:pPr>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0.15</w:t>
                  </w:r>
                  <w:r>
                    <w:rPr>
                      <w:rFonts w:hint="default" w:ascii="Times New Roman" w:hAnsi="Times New Roman" w:cs="Times New Roman"/>
                      <w:color w:val="auto"/>
                      <w:sz w:val="18"/>
                      <w:szCs w:val="18"/>
                      <w:highlight w:val="none"/>
                      <w:lang w:val="en-US" w:eastAsia="zh-CN"/>
                    </w:rPr>
                    <w:t>5</w:t>
                  </w:r>
                </w:p>
              </w:tc>
              <w:tc>
                <w:tcPr>
                  <w:tcW w:w="974" w:type="dxa"/>
                  <w:vAlign w:val="center"/>
                </w:tcPr>
                <w:p w14:paraId="70F3532D">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0.002</w:t>
                  </w:r>
                  <w:r>
                    <w:rPr>
                      <w:rFonts w:hint="default" w:ascii="Times New Roman" w:hAnsi="Times New Roman" w:cs="Times New Roman"/>
                      <w:color w:val="auto"/>
                      <w:sz w:val="18"/>
                      <w:szCs w:val="18"/>
                      <w:highlight w:val="none"/>
                      <w:lang w:val="en-US" w:eastAsia="zh-CN"/>
                    </w:rPr>
                    <w:t>4</w:t>
                  </w:r>
                </w:p>
              </w:tc>
              <w:tc>
                <w:tcPr>
                  <w:tcW w:w="975" w:type="dxa"/>
                  <w:vAlign w:val="center"/>
                </w:tcPr>
                <w:p w14:paraId="41CAD6B7">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w:t>
                  </w:r>
                </w:p>
              </w:tc>
            </w:tr>
            <w:tr w14:paraId="548F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513" w:type="dxa"/>
                  <w:vMerge w:val="restart"/>
                  <w:vAlign w:val="center"/>
                </w:tcPr>
                <w:p w14:paraId="045BDB1B">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有组织废气</w:t>
                  </w:r>
                </w:p>
              </w:tc>
              <w:tc>
                <w:tcPr>
                  <w:tcW w:w="1339" w:type="dxa"/>
                  <w:vAlign w:val="center"/>
                </w:tcPr>
                <w:p w14:paraId="52F14119">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废气收集效率%</w:t>
                  </w:r>
                </w:p>
              </w:tc>
              <w:tc>
                <w:tcPr>
                  <w:tcW w:w="3555" w:type="dxa"/>
                  <w:gridSpan w:val="6"/>
                  <w:vAlign w:val="center"/>
                </w:tcPr>
                <w:p w14:paraId="0C5B2EF5">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90</w:t>
                  </w:r>
                </w:p>
              </w:tc>
              <w:tc>
                <w:tcPr>
                  <w:tcW w:w="1440" w:type="dxa"/>
                  <w:gridSpan w:val="2"/>
                  <w:vAlign w:val="center"/>
                </w:tcPr>
                <w:p w14:paraId="21251C70">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w:t>
                  </w:r>
                </w:p>
              </w:tc>
              <w:tc>
                <w:tcPr>
                  <w:tcW w:w="974" w:type="dxa"/>
                  <w:vAlign w:val="center"/>
                </w:tcPr>
                <w:p w14:paraId="27C0A757">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w:t>
                  </w:r>
                </w:p>
              </w:tc>
              <w:tc>
                <w:tcPr>
                  <w:tcW w:w="975" w:type="dxa"/>
                  <w:vAlign w:val="center"/>
                </w:tcPr>
                <w:p w14:paraId="24E0865B">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w:t>
                  </w:r>
                </w:p>
              </w:tc>
            </w:tr>
            <w:tr w14:paraId="3F5D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513" w:type="dxa"/>
                  <w:vMerge w:val="continue"/>
                  <w:vAlign w:val="center"/>
                </w:tcPr>
                <w:p w14:paraId="0EA7E231">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Align w:val="center"/>
                </w:tcPr>
                <w:p w14:paraId="599D3DED">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产生量t/a</w:t>
                  </w:r>
                </w:p>
              </w:tc>
              <w:tc>
                <w:tcPr>
                  <w:tcW w:w="735" w:type="dxa"/>
                  <w:vAlign w:val="center"/>
                </w:tcPr>
                <w:p w14:paraId="005D9BEC">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1.188</w:t>
                  </w:r>
                </w:p>
              </w:tc>
              <w:tc>
                <w:tcPr>
                  <w:tcW w:w="675" w:type="dxa"/>
                  <w:vAlign w:val="center"/>
                </w:tcPr>
                <w:p w14:paraId="223352A6">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1.239</w:t>
                  </w:r>
                </w:p>
              </w:tc>
              <w:tc>
                <w:tcPr>
                  <w:tcW w:w="705" w:type="dxa"/>
                  <w:vAlign w:val="center"/>
                </w:tcPr>
                <w:p w14:paraId="25F680B3">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0.790</w:t>
                  </w:r>
                </w:p>
              </w:tc>
              <w:tc>
                <w:tcPr>
                  <w:tcW w:w="720" w:type="dxa"/>
                  <w:vAlign w:val="center"/>
                </w:tcPr>
                <w:p w14:paraId="7CB42572">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0.008</w:t>
                  </w:r>
                </w:p>
              </w:tc>
              <w:tc>
                <w:tcPr>
                  <w:tcW w:w="720" w:type="dxa"/>
                  <w:gridSpan w:val="2"/>
                  <w:vAlign w:val="center"/>
                </w:tcPr>
                <w:p w14:paraId="260D7F20">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0.005</w:t>
                  </w:r>
                </w:p>
              </w:tc>
              <w:tc>
                <w:tcPr>
                  <w:tcW w:w="705" w:type="dxa"/>
                  <w:vAlign w:val="center"/>
                </w:tcPr>
                <w:p w14:paraId="6ED2BA13">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0.219</w:t>
                  </w:r>
                </w:p>
              </w:tc>
              <w:tc>
                <w:tcPr>
                  <w:tcW w:w="735" w:type="dxa"/>
                  <w:vAlign w:val="center"/>
                </w:tcPr>
                <w:p w14:paraId="253967BC">
                  <w:pPr>
                    <w:keepNext w:val="0"/>
                    <w:keepLines w:val="0"/>
                    <w:widowControl/>
                    <w:suppressLineNumbers w:val="0"/>
                    <w:jc w:val="center"/>
                    <w:textAlignment w:val="center"/>
                    <w:rPr>
                      <w:rFonts w:hint="default" w:ascii="Times New Roman" w:hAnsi="Times New Roman" w:cs="Times New Roman"/>
                      <w:color w:val="auto"/>
                      <w:kern w:val="0"/>
                      <w:sz w:val="18"/>
                      <w:szCs w:val="18"/>
                      <w:highlight w:val="none"/>
                      <w:lang w:val="en-US" w:bidi="ar"/>
                    </w:rPr>
                  </w:pPr>
                  <w:r>
                    <w:rPr>
                      <w:rFonts w:hint="default" w:ascii="Times New Roman" w:hAnsi="Times New Roman" w:eastAsia="宋体" w:cs="Times New Roman"/>
                      <w:i w:val="0"/>
                      <w:iCs w:val="0"/>
                      <w:color w:val="auto"/>
                      <w:kern w:val="0"/>
                      <w:sz w:val="18"/>
                      <w:szCs w:val="18"/>
                      <w:highlight w:val="none"/>
                      <w:u w:val="none"/>
                      <w:lang w:val="en-US" w:eastAsia="zh-CN" w:bidi="ar"/>
                    </w:rPr>
                    <w:t>0.140</w:t>
                  </w:r>
                </w:p>
              </w:tc>
              <w:tc>
                <w:tcPr>
                  <w:tcW w:w="974" w:type="dxa"/>
                  <w:vAlign w:val="center"/>
                </w:tcPr>
                <w:p w14:paraId="264D6274">
                  <w:pPr>
                    <w:widowControl/>
                    <w:jc w:val="center"/>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lang w:bidi="ar"/>
                    </w:rPr>
                    <w:t>0.002</w:t>
                  </w:r>
                </w:p>
              </w:tc>
              <w:tc>
                <w:tcPr>
                  <w:tcW w:w="975" w:type="dxa"/>
                  <w:vAlign w:val="center"/>
                </w:tcPr>
                <w:p w14:paraId="01C6B6BD">
                  <w:pPr>
                    <w:widowControl/>
                    <w:jc w:val="center"/>
                    <w:textAlignment w:val="center"/>
                    <w:rPr>
                      <w:rFonts w:hint="default" w:ascii="Times New Roman" w:hAnsi="Times New Roman" w:cs="Times New Roman"/>
                      <w:color w:val="auto"/>
                      <w:kern w:val="0"/>
                      <w:sz w:val="18"/>
                      <w:szCs w:val="18"/>
                      <w:highlight w:val="none"/>
                      <w:lang w:bidi="ar"/>
                    </w:rPr>
                  </w:pPr>
                  <w:r>
                    <w:rPr>
                      <w:rFonts w:hint="default" w:ascii="Times New Roman" w:hAnsi="Times New Roman" w:cs="Times New Roman"/>
                      <w:color w:val="auto"/>
                      <w:kern w:val="0"/>
                      <w:szCs w:val="21"/>
                      <w:highlight w:val="none"/>
                      <w:lang w:bidi="ar"/>
                    </w:rPr>
                    <w:t>0.39</w:t>
                  </w:r>
                </w:p>
              </w:tc>
            </w:tr>
            <w:tr w14:paraId="4DC4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trPr>
              <w:tc>
                <w:tcPr>
                  <w:tcW w:w="513" w:type="dxa"/>
                  <w:vMerge w:val="continue"/>
                  <w:vAlign w:val="center"/>
                </w:tcPr>
                <w:p w14:paraId="737F618B">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Merge w:val="restart"/>
                  <w:vAlign w:val="center"/>
                </w:tcPr>
                <w:p w14:paraId="78CDF3F3">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废气量</w:t>
                  </w:r>
                  <w:r>
                    <w:rPr>
                      <w:rFonts w:hint="default" w:ascii="Times New Roman" w:hAnsi="Times New Roman" w:cs="Times New Roman"/>
                      <w:color w:val="auto"/>
                      <w:sz w:val="18"/>
                      <w:szCs w:val="18"/>
                      <w:highlight w:val="none"/>
                    </w:rPr>
                    <w:t>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bCs/>
                      <w:color w:val="auto"/>
                      <w:spacing w:val="-10"/>
                      <w:sz w:val="18"/>
                      <w:szCs w:val="18"/>
                      <w:highlight w:val="none"/>
                    </w:rPr>
                    <w:t>/h</w:t>
                  </w:r>
                </w:p>
              </w:tc>
              <w:tc>
                <w:tcPr>
                  <w:tcW w:w="3555" w:type="dxa"/>
                  <w:gridSpan w:val="6"/>
                  <w:vAlign w:val="center"/>
                </w:tcPr>
                <w:p w14:paraId="1014A532">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000</w:t>
                  </w:r>
                </w:p>
              </w:tc>
              <w:tc>
                <w:tcPr>
                  <w:tcW w:w="1440" w:type="dxa"/>
                  <w:gridSpan w:val="2"/>
                  <w:vAlign w:val="center"/>
                </w:tcPr>
                <w:p w14:paraId="031222A5">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5500</w:t>
                  </w:r>
                </w:p>
              </w:tc>
              <w:tc>
                <w:tcPr>
                  <w:tcW w:w="974" w:type="dxa"/>
                  <w:vAlign w:val="center"/>
                </w:tcPr>
                <w:p w14:paraId="69C7BF3F">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400</w:t>
                  </w:r>
                </w:p>
              </w:tc>
              <w:tc>
                <w:tcPr>
                  <w:tcW w:w="975" w:type="dxa"/>
                  <w:vAlign w:val="center"/>
                </w:tcPr>
                <w:p w14:paraId="2F00D3A5">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w:t>
                  </w: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00</w:t>
                  </w:r>
                </w:p>
              </w:tc>
            </w:tr>
            <w:tr w14:paraId="1B80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trPr>
              <w:tc>
                <w:tcPr>
                  <w:tcW w:w="513" w:type="dxa"/>
                  <w:vMerge w:val="continue"/>
                  <w:vAlign w:val="center"/>
                </w:tcPr>
                <w:p w14:paraId="6211AADF">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Merge w:val="continue"/>
                  <w:vAlign w:val="center"/>
                </w:tcPr>
                <w:p w14:paraId="0FD102AF">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6944" w:type="dxa"/>
                  <w:gridSpan w:val="10"/>
                  <w:vAlign w:val="center"/>
                </w:tcPr>
                <w:p w14:paraId="352D464A">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总废气量合计：34000</w:t>
                  </w:r>
                </w:p>
              </w:tc>
            </w:tr>
            <w:tr w14:paraId="51F1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trPr>
              <w:tc>
                <w:tcPr>
                  <w:tcW w:w="513" w:type="dxa"/>
                  <w:vMerge w:val="continue"/>
                  <w:vAlign w:val="center"/>
                </w:tcPr>
                <w:p w14:paraId="6EDF6FC2">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Merge w:val="restart"/>
                  <w:vAlign w:val="center"/>
                </w:tcPr>
                <w:p w14:paraId="5E3C420D">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产生速率kg/h</w:t>
                  </w:r>
                </w:p>
              </w:tc>
              <w:tc>
                <w:tcPr>
                  <w:tcW w:w="735" w:type="dxa"/>
                  <w:vAlign w:val="center"/>
                </w:tcPr>
                <w:p w14:paraId="65125111">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0.396</w:t>
                  </w:r>
                </w:p>
              </w:tc>
              <w:tc>
                <w:tcPr>
                  <w:tcW w:w="675" w:type="dxa"/>
                  <w:vAlign w:val="center"/>
                </w:tcPr>
                <w:p w14:paraId="5232E633">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0.413</w:t>
                  </w:r>
                </w:p>
              </w:tc>
              <w:tc>
                <w:tcPr>
                  <w:tcW w:w="705" w:type="dxa"/>
                  <w:vAlign w:val="center"/>
                </w:tcPr>
                <w:p w14:paraId="4A4A773C">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0.263</w:t>
                  </w:r>
                </w:p>
              </w:tc>
              <w:tc>
                <w:tcPr>
                  <w:tcW w:w="720" w:type="dxa"/>
                  <w:vAlign w:val="center"/>
                </w:tcPr>
                <w:p w14:paraId="7FAA4465">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0.18</w:t>
                  </w:r>
                </w:p>
              </w:tc>
              <w:tc>
                <w:tcPr>
                  <w:tcW w:w="720" w:type="dxa"/>
                  <w:gridSpan w:val="2"/>
                  <w:vAlign w:val="center"/>
                </w:tcPr>
                <w:p w14:paraId="35F8FEAD">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0.12</w:t>
                  </w:r>
                </w:p>
              </w:tc>
              <w:tc>
                <w:tcPr>
                  <w:tcW w:w="705" w:type="dxa"/>
                  <w:vAlign w:val="center"/>
                </w:tcPr>
                <w:p w14:paraId="2A1E9608">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0.04</w:t>
                  </w:r>
                  <w:r>
                    <w:rPr>
                      <w:rFonts w:hint="default" w:ascii="Times New Roman" w:hAnsi="Times New Roman" w:cs="Times New Roman"/>
                      <w:i w:val="0"/>
                      <w:iCs w:val="0"/>
                      <w:color w:val="auto"/>
                      <w:kern w:val="0"/>
                      <w:sz w:val="18"/>
                      <w:szCs w:val="18"/>
                      <w:highlight w:val="none"/>
                      <w:u w:val="none"/>
                      <w:lang w:val="en-US" w:eastAsia="zh-CN" w:bidi="ar"/>
                    </w:rPr>
                    <w:t>1</w:t>
                  </w:r>
                </w:p>
              </w:tc>
              <w:tc>
                <w:tcPr>
                  <w:tcW w:w="735" w:type="dxa"/>
                  <w:vAlign w:val="center"/>
                </w:tcPr>
                <w:p w14:paraId="47DF6E46">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0.02</w:t>
                  </w:r>
                  <w:r>
                    <w:rPr>
                      <w:rFonts w:hint="default" w:ascii="Times New Roman" w:hAnsi="Times New Roman" w:cs="Times New Roman"/>
                      <w:i w:val="0"/>
                      <w:iCs w:val="0"/>
                      <w:color w:val="auto"/>
                      <w:kern w:val="0"/>
                      <w:sz w:val="18"/>
                      <w:szCs w:val="18"/>
                      <w:highlight w:val="none"/>
                      <w:u w:val="none"/>
                      <w:lang w:val="en-US" w:eastAsia="zh-CN" w:bidi="ar"/>
                    </w:rPr>
                    <w:t>6</w:t>
                  </w:r>
                </w:p>
              </w:tc>
              <w:tc>
                <w:tcPr>
                  <w:tcW w:w="974" w:type="dxa"/>
                  <w:vAlign w:val="center"/>
                </w:tcPr>
                <w:p w14:paraId="67EFEBC0">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0.00</w:t>
                  </w:r>
                  <w:r>
                    <w:rPr>
                      <w:rFonts w:hint="default" w:ascii="Times New Roman" w:hAnsi="Times New Roman" w:cs="Times New Roman"/>
                      <w:i w:val="0"/>
                      <w:iCs w:val="0"/>
                      <w:color w:val="auto"/>
                      <w:kern w:val="0"/>
                      <w:sz w:val="18"/>
                      <w:szCs w:val="18"/>
                      <w:highlight w:val="none"/>
                      <w:u w:val="none"/>
                      <w:lang w:val="en-US" w:eastAsia="zh-CN" w:bidi="ar"/>
                    </w:rPr>
                    <w:t>1</w:t>
                  </w:r>
                </w:p>
              </w:tc>
              <w:tc>
                <w:tcPr>
                  <w:tcW w:w="975" w:type="dxa"/>
                  <w:vAlign w:val="center"/>
                </w:tcPr>
                <w:p w14:paraId="281499A8">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0.289</w:t>
                  </w:r>
                </w:p>
              </w:tc>
            </w:tr>
            <w:tr w14:paraId="3C02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513" w:type="dxa"/>
                  <w:vMerge w:val="continue"/>
                  <w:vAlign w:val="center"/>
                </w:tcPr>
                <w:p w14:paraId="66FEFC41">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Merge w:val="continue"/>
                  <w:vAlign w:val="center"/>
                </w:tcPr>
                <w:p w14:paraId="747F7343">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6944" w:type="dxa"/>
                  <w:gridSpan w:val="10"/>
                  <w:vAlign w:val="center"/>
                </w:tcPr>
                <w:p w14:paraId="5875D896">
                  <w:pPr>
                    <w:widowControl/>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z w:val="18"/>
                      <w:szCs w:val="18"/>
                      <w:highlight w:val="none"/>
                    </w:rPr>
                    <w:t>TVOC</w:t>
                  </w:r>
                  <w:r>
                    <w:rPr>
                      <w:rFonts w:hint="default" w:ascii="Times New Roman" w:hAnsi="Times New Roman" w:cs="Times New Roman"/>
                      <w:color w:val="auto"/>
                      <w:sz w:val="18"/>
                      <w:szCs w:val="18"/>
                      <w:highlight w:val="none"/>
                      <w:lang w:val="en-US" w:eastAsia="zh-CN"/>
                    </w:rPr>
                    <w:t>产生速率合计</w:t>
                  </w:r>
                  <w:r>
                    <w:rPr>
                      <w:rFonts w:hint="default" w:ascii="Times New Roman" w:hAnsi="Times New Roman" w:cs="Times New Roman"/>
                      <w:color w:val="auto"/>
                      <w:sz w:val="18"/>
                      <w:szCs w:val="18"/>
                      <w:highlight w:val="none"/>
                    </w:rPr>
                    <w:t>：0.</w:t>
                  </w:r>
                  <w:r>
                    <w:rPr>
                      <w:rFonts w:hint="default" w:ascii="Times New Roman" w:hAnsi="Times New Roman" w:cs="Times New Roman"/>
                      <w:color w:val="auto"/>
                      <w:sz w:val="18"/>
                      <w:szCs w:val="18"/>
                      <w:highlight w:val="none"/>
                      <w:lang w:val="en-US" w:eastAsia="zh-CN"/>
                    </w:rPr>
                    <w:t>634kg/h*</w:t>
                  </w:r>
                  <w:r>
                    <w:rPr>
                      <w:rFonts w:hint="default" w:ascii="Times New Roman" w:hAnsi="Times New Roman" w:cs="Times New Roman"/>
                      <w:color w:val="auto"/>
                      <w:sz w:val="18"/>
                      <w:szCs w:val="18"/>
                      <w:highlight w:val="none"/>
                    </w:rPr>
                    <w:t>；二甲苯</w:t>
                  </w:r>
                  <w:r>
                    <w:rPr>
                      <w:rFonts w:hint="default" w:ascii="Times New Roman" w:hAnsi="Times New Roman" w:cs="Times New Roman"/>
                      <w:color w:val="auto"/>
                      <w:sz w:val="18"/>
                      <w:szCs w:val="18"/>
                      <w:highlight w:val="none"/>
                      <w:lang w:val="en-US" w:eastAsia="zh-CN"/>
                    </w:rPr>
                    <w:t>产生速率合计</w:t>
                  </w:r>
                  <w:r>
                    <w:rPr>
                      <w:rFonts w:hint="default" w:ascii="Times New Roman" w:hAnsi="Times New Roman" w:cs="Times New Roman"/>
                      <w:color w:val="auto"/>
                      <w:sz w:val="18"/>
                      <w:szCs w:val="18"/>
                      <w:highlight w:val="none"/>
                    </w:rPr>
                    <w:t>：0.</w:t>
                  </w:r>
                  <w:r>
                    <w:rPr>
                      <w:rFonts w:hint="default" w:ascii="Times New Roman" w:hAnsi="Times New Roman" w:cs="Times New Roman"/>
                      <w:color w:val="auto"/>
                      <w:sz w:val="18"/>
                      <w:szCs w:val="18"/>
                      <w:highlight w:val="none"/>
                      <w:lang w:val="en-US" w:eastAsia="zh-CN"/>
                    </w:rPr>
                    <w:t>409kg/h*</w:t>
                  </w:r>
                  <w:r>
                    <w:rPr>
                      <w:rFonts w:hint="default" w:ascii="Times New Roman" w:hAnsi="Times New Roman" w:cs="Times New Roman"/>
                      <w:color w:val="auto"/>
                      <w:sz w:val="18"/>
                      <w:szCs w:val="18"/>
                      <w:highlight w:val="none"/>
                    </w:rPr>
                    <w:t>；颗粒物</w:t>
                  </w:r>
                  <w:r>
                    <w:rPr>
                      <w:rFonts w:hint="default" w:ascii="Times New Roman" w:hAnsi="Times New Roman" w:cs="Times New Roman"/>
                      <w:color w:val="auto"/>
                      <w:sz w:val="18"/>
                      <w:szCs w:val="18"/>
                      <w:highlight w:val="none"/>
                      <w:lang w:val="en-US" w:eastAsia="zh-CN"/>
                    </w:rPr>
                    <w:t>产生速率合计</w:t>
                  </w:r>
                  <w:r>
                    <w:rPr>
                      <w:rFonts w:hint="default" w:ascii="Times New Roman" w:hAnsi="Times New Roman" w:cs="Times New Roman"/>
                      <w:color w:val="auto"/>
                      <w:sz w:val="18"/>
                      <w:szCs w:val="18"/>
                      <w:highlight w:val="none"/>
                    </w:rPr>
                    <w:t>：0.</w:t>
                  </w:r>
                  <w:r>
                    <w:rPr>
                      <w:rFonts w:hint="default" w:ascii="Times New Roman" w:hAnsi="Times New Roman" w:cs="Times New Roman"/>
                      <w:color w:val="auto"/>
                      <w:sz w:val="18"/>
                      <w:szCs w:val="18"/>
                      <w:highlight w:val="none"/>
                      <w:lang w:val="en-US" w:eastAsia="zh-CN"/>
                    </w:rPr>
                    <w:t>685kg/h*</w:t>
                  </w:r>
                </w:p>
              </w:tc>
            </w:tr>
            <w:tr w14:paraId="3F48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513" w:type="dxa"/>
                  <w:vMerge w:val="continue"/>
                  <w:vAlign w:val="center"/>
                </w:tcPr>
                <w:p w14:paraId="519C739A">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Align w:val="center"/>
                </w:tcPr>
                <w:p w14:paraId="27DCA9E8">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产生浓度mg/</w:t>
                  </w:r>
                  <w:r>
                    <w:rPr>
                      <w:rFonts w:hint="default" w:ascii="Times New Roman" w:hAnsi="Times New Roman" w:cs="Times New Roman"/>
                      <w:color w:val="auto"/>
                      <w:sz w:val="18"/>
                      <w:szCs w:val="18"/>
                      <w:highlight w:val="none"/>
                    </w:rPr>
                    <w:t>m</w:t>
                  </w:r>
                  <w:r>
                    <w:rPr>
                      <w:rFonts w:hint="default" w:ascii="Times New Roman" w:hAnsi="Times New Roman" w:cs="Times New Roman"/>
                      <w:color w:val="auto"/>
                      <w:sz w:val="18"/>
                      <w:szCs w:val="18"/>
                      <w:highlight w:val="none"/>
                      <w:vertAlign w:val="superscript"/>
                    </w:rPr>
                    <w:t>3</w:t>
                  </w:r>
                </w:p>
              </w:tc>
              <w:tc>
                <w:tcPr>
                  <w:tcW w:w="6944" w:type="dxa"/>
                  <w:gridSpan w:val="10"/>
                  <w:vAlign w:val="center"/>
                </w:tcPr>
                <w:p w14:paraId="4E4052A4">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TVOC：</w:t>
                  </w:r>
                  <w:r>
                    <w:rPr>
                      <w:rFonts w:hint="default" w:ascii="Times New Roman" w:hAnsi="Times New Roman" w:cs="Times New Roman"/>
                      <w:color w:val="auto"/>
                      <w:sz w:val="18"/>
                      <w:szCs w:val="18"/>
                      <w:highlight w:val="none"/>
                      <w:lang w:val="en-US" w:eastAsia="zh-CN"/>
                    </w:rPr>
                    <w:t>18.99</w:t>
                  </w:r>
                  <w:r>
                    <w:rPr>
                      <w:rFonts w:hint="default" w:ascii="Times New Roman" w:hAnsi="Times New Roman" w:cs="Times New Roman"/>
                      <w:bCs/>
                      <w:color w:val="auto"/>
                      <w:spacing w:val="-10"/>
                      <w:sz w:val="18"/>
                      <w:szCs w:val="18"/>
                      <w:highlight w:val="none"/>
                    </w:rPr>
                    <w:t>mg/</w:t>
                  </w:r>
                  <w:r>
                    <w:rPr>
                      <w:rFonts w:hint="default" w:ascii="Times New Roman" w:hAnsi="Times New Roman" w:cs="Times New Roman"/>
                      <w:color w:val="auto"/>
                      <w:sz w:val="18"/>
                      <w:szCs w:val="18"/>
                      <w:highlight w:val="none"/>
                    </w:rPr>
                    <w:t>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color w:val="auto"/>
                      <w:sz w:val="18"/>
                      <w:szCs w:val="18"/>
                      <w:highlight w:val="none"/>
                      <w:vertAlign w:val="superscript"/>
                      <w:lang w:val="en-US" w:eastAsia="zh-CN"/>
                    </w:rPr>
                    <w:t>*</w:t>
                  </w:r>
                  <w:r>
                    <w:rPr>
                      <w:rFonts w:hint="default" w:ascii="Times New Roman" w:hAnsi="Times New Roman" w:cs="Times New Roman"/>
                      <w:color w:val="auto"/>
                      <w:sz w:val="18"/>
                      <w:szCs w:val="18"/>
                      <w:highlight w:val="none"/>
                    </w:rPr>
                    <w:t>；二甲苯：</w:t>
                  </w:r>
                  <w:r>
                    <w:rPr>
                      <w:rFonts w:hint="default" w:ascii="Times New Roman" w:hAnsi="Times New Roman" w:cs="Times New Roman"/>
                      <w:color w:val="auto"/>
                      <w:sz w:val="18"/>
                      <w:szCs w:val="18"/>
                      <w:highlight w:val="none"/>
                      <w:lang w:val="en-US" w:eastAsia="zh-CN"/>
                    </w:rPr>
                    <w:t>12.25</w:t>
                  </w:r>
                  <w:r>
                    <w:rPr>
                      <w:rFonts w:hint="default" w:ascii="Times New Roman" w:hAnsi="Times New Roman" w:cs="Times New Roman"/>
                      <w:bCs/>
                      <w:color w:val="auto"/>
                      <w:spacing w:val="-10"/>
                      <w:sz w:val="18"/>
                      <w:szCs w:val="18"/>
                      <w:highlight w:val="none"/>
                    </w:rPr>
                    <w:t>mg/</w:t>
                  </w:r>
                  <w:r>
                    <w:rPr>
                      <w:rFonts w:hint="default" w:ascii="Times New Roman" w:hAnsi="Times New Roman" w:cs="Times New Roman"/>
                      <w:color w:val="auto"/>
                      <w:sz w:val="18"/>
                      <w:szCs w:val="18"/>
                      <w:highlight w:val="none"/>
                    </w:rPr>
                    <w:t>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color w:val="auto"/>
                      <w:sz w:val="18"/>
                      <w:szCs w:val="18"/>
                      <w:highlight w:val="none"/>
                      <w:vertAlign w:val="superscript"/>
                      <w:lang w:val="en-US" w:eastAsia="zh-CN"/>
                    </w:rPr>
                    <w:t>*</w:t>
                  </w:r>
                  <w:r>
                    <w:rPr>
                      <w:rFonts w:hint="default" w:ascii="Times New Roman" w:hAnsi="Times New Roman" w:cs="Times New Roman"/>
                      <w:color w:val="auto"/>
                      <w:sz w:val="18"/>
                      <w:szCs w:val="18"/>
                      <w:highlight w:val="none"/>
                    </w:rPr>
                    <w:t>；颗粒物：2</w:t>
                  </w:r>
                  <w:r>
                    <w:rPr>
                      <w:rFonts w:hint="default" w:ascii="Times New Roman" w:hAnsi="Times New Roman" w:cs="Times New Roman"/>
                      <w:color w:val="auto"/>
                      <w:sz w:val="18"/>
                      <w:szCs w:val="18"/>
                      <w:highlight w:val="none"/>
                      <w:lang w:val="en-US" w:eastAsia="zh-CN"/>
                    </w:rPr>
                    <w:t>0.51</w:t>
                  </w:r>
                  <w:r>
                    <w:rPr>
                      <w:rFonts w:hint="default" w:ascii="Times New Roman" w:hAnsi="Times New Roman" w:cs="Times New Roman"/>
                      <w:bCs/>
                      <w:color w:val="auto"/>
                      <w:spacing w:val="-10"/>
                      <w:sz w:val="18"/>
                      <w:szCs w:val="18"/>
                      <w:highlight w:val="none"/>
                    </w:rPr>
                    <w:t>mg/</w:t>
                  </w:r>
                  <w:r>
                    <w:rPr>
                      <w:rFonts w:hint="default" w:ascii="Times New Roman" w:hAnsi="Times New Roman" w:cs="Times New Roman"/>
                      <w:color w:val="auto"/>
                      <w:sz w:val="18"/>
                      <w:szCs w:val="18"/>
                      <w:highlight w:val="none"/>
                    </w:rPr>
                    <w:t>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color w:val="auto"/>
                      <w:sz w:val="18"/>
                      <w:szCs w:val="18"/>
                      <w:highlight w:val="none"/>
                      <w:vertAlign w:val="superscript"/>
                      <w:lang w:val="en-US" w:eastAsia="zh-CN"/>
                    </w:rPr>
                    <w:t>*</w:t>
                  </w:r>
                </w:p>
              </w:tc>
            </w:tr>
            <w:tr w14:paraId="7557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exact"/>
              </w:trPr>
              <w:tc>
                <w:tcPr>
                  <w:tcW w:w="513" w:type="dxa"/>
                  <w:vMerge w:val="continue"/>
                  <w:vAlign w:val="center"/>
                </w:tcPr>
                <w:p w14:paraId="24D6FFFD">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Align w:val="center"/>
                </w:tcPr>
                <w:p w14:paraId="67275583">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污染治理设施</w:t>
                  </w:r>
                </w:p>
              </w:tc>
              <w:tc>
                <w:tcPr>
                  <w:tcW w:w="735" w:type="dxa"/>
                  <w:vAlign w:val="center"/>
                </w:tcPr>
                <w:p w14:paraId="6B08832A">
                  <w:pPr>
                    <w:jc w:val="center"/>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水帘柜+除雾</w:t>
                  </w:r>
                </w:p>
              </w:tc>
              <w:tc>
                <w:tcPr>
                  <w:tcW w:w="5234" w:type="dxa"/>
                  <w:gridSpan w:val="8"/>
                  <w:vAlign w:val="center"/>
                </w:tcPr>
                <w:p w14:paraId="409CD6C6">
                  <w:pPr>
                    <w:widowControl/>
                    <w:jc w:val="center"/>
                    <w:textAlignment w:val="center"/>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rPr>
                    <w:t>二级活性炭</w:t>
                  </w:r>
                </w:p>
              </w:tc>
              <w:tc>
                <w:tcPr>
                  <w:tcW w:w="975" w:type="dxa"/>
                  <w:vAlign w:val="center"/>
                </w:tcPr>
                <w:p w14:paraId="5BE82ECA">
                  <w:pPr>
                    <w:widowControl/>
                    <w:jc w:val="center"/>
                    <w:textAlignment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滤筒除尘</w:t>
                  </w:r>
                </w:p>
              </w:tc>
            </w:tr>
            <w:tr w14:paraId="6DE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513" w:type="dxa"/>
                  <w:vMerge w:val="continue"/>
                  <w:vAlign w:val="center"/>
                </w:tcPr>
                <w:p w14:paraId="4531622A">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Align w:val="center"/>
                </w:tcPr>
                <w:p w14:paraId="128FBDC0">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处理效率%</w:t>
                  </w:r>
                </w:p>
              </w:tc>
              <w:tc>
                <w:tcPr>
                  <w:tcW w:w="735" w:type="dxa"/>
                  <w:vAlign w:val="center"/>
                </w:tcPr>
                <w:p w14:paraId="2F6F3615">
                  <w:pPr>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95</w:t>
                  </w:r>
                </w:p>
              </w:tc>
              <w:tc>
                <w:tcPr>
                  <w:tcW w:w="5234" w:type="dxa"/>
                  <w:gridSpan w:val="8"/>
                  <w:vAlign w:val="center"/>
                </w:tcPr>
                <w:p w14:paraId="587A9A78">
                  <w:pPr>
                    <w:widowControl/>
                    <w:jc w:val="center"/>
                    <w:textAlignment w:val="center"/>
                    <w:rPr>
                      <w:rFonts w:hint="default" w:ascii="Times New Roman" w:hAnsi="Times New Roman" w:eastAsia="宋体" w:cs="Times New Roman"/>
                      <w:bCs/>
                      <w:color w:val="auto"/>
                      <w:spacing w:val="-10"/>
                      <w:sz w:val="18"/>
                      <w:szCs w:val="18"/>
                      <w:highlight w:val="none"/>
                      <w:lang w:val="en-US" w:eastAsia="zh-CN"/>
                    </w:rPr>
                  </w:pPr>
                  <w:r>
                    <w:rPr>
                      <w:rFonts w:hint="default" w:ascii="Times New Roman" w:hAnsi="Times New Roman" w:cs="Times New Roman"/>
                      <w:bCs/>
                      <w:color w:val="auto"/>
                      <w:spacing w:val="-10"/>
                      <w:sz w:val="18"/>
                      <w:szCs w:val="18"/>
                      <w:highlight w:val="none"/>
                    </w:rPr>
                    <w:t>8</w:t>
                  </w:r>
                  <w:r>
                    <w:rPr>
                      <w:rFonts w:hint="default" w:ascii="Times New Roman" w:hAnsi="Times New Roman" w:cs="Times New Roman"/>
                      <w:bCs/>
                      <w:color w:val="auto"/>
                      <w:spacing w:val="-10"/>
                      <w:sz w:val="18"/>
                      <w:szCs w:val="18"/>
                      <w:highlight w:val="none"/>
                      <w:lang w:val="en-US" w:eastAsia="zh-CN"/>
                    </w:rPr>
                    <w:t>7.75</w:t>
                  </w:r>
                </w:p>
              </w:tc>
              <w:tc>
                <w:tcPr>
                  <w:tcW w:w="975" w:type="dxa"/>
                  <w:vAlign w:val="center"/>
                </w:tcPr>
                <w:p w14:paraId="7284DB70">
                  <w:pPr>
                    <w:widowControl/>
                    <w:jc w:val="center"/>
                    <w:textAlignment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95</w:t>
                  </w:r>
                </w:p>
              </w:tc>
            </w:tr>
            <w:tr w14:paraId="362A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513" w:type="dxa"/>
                  <w:vMerge w:val="continue"/>
                  <w:vAlign w:val="center"/>
                </w:tcPr>
                <w:p w14:paraId="419386E9">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Merge w:val="restart"/>
                  <w:vAlign w:val="center"/>
                </w:tcPr>
                <w:p w14:paraId="48088A10">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排放量t/a</w:t>
                  </w:r>
                </w:p>
              </w:tc>
              <w:tc>
                <w:tcPr>
                  <w:tcW w:w="735" w:type="dxa"/>
                  <w:vAlign w:val="center"/>
                </w:tcPr>
                <w:p w14:paraId="35B7944F">
                  <w:pPr>
                    <w:keepNext w:val="0"/>
                    <w:keepLines w:val="0"/>
                    <w:widowControl/>
                    <w:suppressLineNumbers w:val="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i w:val="0"/>
                      <w:iCs w:val="0"/>
                      <w:color w:val="auto"/>
                      <w:kern w:val="0"/>
                      <w:sz w:val="18"/>
                      <w:szCs w:val="18"/>
                      <w:highlight w:val="none"/>
                      <w:u w:val="none"/>
                      <w:lang w:val="en-US" w:eastAsia="zh-CN" w:bidi="ar"/>
                    </w:rPr>
                    <w:t>0.0</w:t>
                  </w:r>
                  <w:r>
                    <w:rPr>
                      <w:rFonts w:hint="default" w:ascii="Times New Roman" w:hAnsi="Times New Roman" w:cs="Times New Roman"/>
                      <w:i w:val="0"/>
                      <w:iCs w:val="0"/>
                      <w:color w:val="auto"/>
                      <w:kern w:val="0"/>
                      <w:sz w:val="18"/>
                      <w:szCs w:val="18"/>
                      <w:highlight w:val="none"/>
                      <w:u w:val="none"/>
                      <w:lang w:val="en-US" w:eastAsia="zh-CN" w:bidi="ar"/>
                    </w:rPr>
                    <w:t>59</w:t>
                  </w:r>
                </w:p>
              </w:tc>
              <w:tc>
                <w:tcPr>
                  <w:tcW w:w="675" w:type="dxa"/>
                  <w:vAlign w:val="center"/>
                </w:tcPr>
                <w:p w14:paraId="05D37729">
                  <w:pPr>
                    <w:keepNext w:val="0"/>
                    <w:keepLines w:val="0"/>
                    <w:widowControl/>
                    <w:suppressLineNumbers w:val="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i w:val="0"/>
                      <w:iCs w:val="0"/>
                      <w:color w:val="auto"/>
                      <w:kern w:val="0"/>
                      <w:sz w:val="18"/>
                      <w:szCs w:val="18"/>
                      <w:highlight w:val="none"/>
                      <w:u w:val="none"/>
                      <w:lang w:val="en-US" w:eastAsia="zh-CN" w:bidi="ar"/>
                    </w:rPr>
                    <w:t>0.1</w:t>
                  </w:r>
                  <w:r>
                    <w:rPr>
                      <w:rFonts w:hint="default" w:ascii="Times New Roman" w:hAnsi="Times New Roman" w:cs="Times New Roman"/>
                      <w:i w:val="0"/>
                      <w:iCs w:val="0"/>
                      <w:color w:val="auto"/>
                      <w:kern w:val="0"/>
                      <w:sz w:val="18"/>
                      <w:szCs w:val="18"/>
                      <w:highlight w:val="none"/>
                      <w:u w:val="none"/>
                      <w:lang w:val="en-US" w:eastAsia="zh-CN" w:bidi="ar"/>
                    </w:rPr>
                    <w:t>52</w:t>
                  </w:r>
                </w:p>
              </w:tc>
              <w:tc>
                <w:tcPr>
                  <w:tcW w:w="705" w:type="dxa"/>
                  <w:vAlign w:val="center"/>
                </w:tcPr>
                <w:p w14:paraId="232F09CA">
                  <w:pPr>
                    <w:keepNext w:val="0"/>
                    <w:keepLines w:val="0"/>
                    <w:widowControl/>
                    <w:suppressLineNumbers w:val="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i w:val="0"/>
                      <w:iCs w:val="0"/>
                      <w:color w:val="auto"/>
                      <w:kern w:val="0"/>
                      <w:sz w:val="18"/>
                      <w:szCs w:val="18"/>
                      <w:highlight w:val="none"/>
                      <w:u w:val="none"/>
                      <w:lang w:val="en-US" w:eastAsia="zh-CN" w:bidi="ar"/>
                    </w:rPr>
                    <w:t>0.</w:t>
                  </w:r>
                  <w:r>
                    <w:rPr>
                      <w:rFonts w:hint="default" w:ascii="Times New Roman" w:hAnsi="Times New Roman" w:cs="Times New Roman"/>
                      <w:i w:val="0"/>
                      <w:iCs w:val="0"/>
                      <w:color w:val="auto"/>
                      <w:kern w:val="0"/>
                      <w:sz w:val="18"/>
                      <w:szCs w:val="18"/>
                      <w:highlight w:val="none"/>
                      <w:u w:val="none"/>
                      <w:lang w:val="en-US" w:eastAsia="zh-CN" w:bidi="ar"/>
                    </w:rPr>
                    <w:t>097</w:t>
                  </w:r>
                </w:p>
              </w:tc>
              <w:tc>
                <w:tcPr>
                  <w:tcW w:w="720" w:type="dxa"/>
                  <w:vAlign w:val="center"/>
                </w:tcPr>
                <w:p w14:paraId="1DC14518">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0.001</w:t>
                  </w:r>
                </w:p>
              </w:tc>
              <w:tc>
                <w:tcPr>
                  <w:tcW w:w="669" w:type="dxa"/>
                  <w:vAlign w:val="center"/>
                </w:tcPr>
                <w:p w14:paraId="754080AF">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0.00</w:t>
                  </w:r>
                  <w:r>
                    <w:rPr>
                      <w:rFonts w:hint="default" w:ascii="Times New Roman" w:hAnsi="Times New Roman" w:cs="Times New Roman"/>
                      <w:i w:val="0"/>
                      <w:iCs w:val="0"/>
                      <w:color w:val="auto"/>
                      <w:kern w:val="0"/>
                      <w:sz w:val="18"/>
                      <w:szCs w:val="18"/>
                      <w:highlight w:val="none"/>
                      <w:u w:val="none"/>
                      <w:lang w:val="en-US" w:eastAsia="zh-CN" w:bidi="ar"/>
                    </w:rPr>
                    <w:t>1</w:t>
                  </w:r>
                </w:p>
              </w:tc>
              <w:tc>
                <w:tcPr>
                  <w:tcW w:w="756" w:type="dxa"/>
                  <w:gridSpan w:val="2"/>
                  <w:vAlign w:val="center"/>
                </w:tcPr>
                <w:p w14:paraId="4379555F">
                  <w:pPr>
                    <w:keepNext w:val="0"/>
                    <w:keepLines w:val="0"/>
                    <w:widowControl/>
                    <w:suppressLineNumbers w:val="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i w:val="0"/>
                      <w:iCs w:val="0"/>
                      <w:color w:val="auto"/>
                      <w:kern w:val="0"/>
                      <w:sz w:val="18"/>
                      <w:szCs w:val="18"/>
                      <w:highlight w:val="none"/>
                      <w:u w:val="none"/>
                      <w:lang w:val="en-US" w:eastAsia="zh-CN" w:bidi="ar"/>
                    </w:rPr>
                    <w:t>0.0</w:t>
                  </w:r>
                  <w:r>
                    <w:rPr>
                      <w:rFonts w:hint="default" w:ascii="Times New Roman" w:hAnsi="Times New Roman" w:cs="Times New Roman"/>
                      <w:i w:val="0"/>
                      <w:iCs w:val="0"/>
                      <w:color w:val="auto"/>
                      <w:kern w:val="0"/>
                      <w:sz w:val="18"/>
                      <w:szCs w:val="18"/>
                      <w:highlight w:val="none"/>
                      <w:u w:val="none"/>
                      <w:lang w:val="en-US" w:eastAsia="zh-CN" w:bidi="ar"/>
                    </w:rPr>
                    <w:t>27</w:t>
                  </w:r>
                </w:p>
              </w:tc>
              <w:tc>
                <w:tcPr>
                  <w:tcW w:w="735" w:type="dxa"/>
                  <w:vAlign w:val="center"/>
                </w:tcPr>
                <w:p w14:paraId="764DEF0B">
                  <w:pPr>
                    <w:keepNext w:val="0"/>
                    <w:keepLines w:val="0"/>
                    <w:widowControl/>
                    <w:suppressLineNumbers w:val="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i w:val="0"/>
                      <w:iCs w:val="0"/>
                      <w:color w:val="auto"/>
                      <w:kern w:val="0"/>
                      <w:sz w:val="18"/>
                      <w:szCs w:val="18"/>
                      <w:highlight w:val="none"/>
                      <w:u w:val="none"/>
                      <w:lang w:val="en-US" w:eastAsia="zh-CN" w:bidi="ar"/>
                    </w:rPr>
                    <w:t>0.0</w:t>
                  </w:r>
                  <w:r>
                    <w:rPr>
                      <w:rFonts w:hint="default" w:ascii="Times New Roman" w:hAnsi="Times New Roman" w:cs="Times New Roman"/>
                      <w:i w:val="0"/>
                      <w:iCs w:val="0"/>
                      <w:color w:val="auto"/>
                      <w:kern w:val="0"/>
                      <w:sz w:val="18"/>
                      <w:szCs w:val="18"/>
                      <w:highlight w:val="none"/>
                      <w:u w:val="none"/>
                      <w:lang w:val="en-US" w:eastAsia="zh-CN" w:bidi="ar"/>
                    </w:rPr>
                    <w:t>17</w:t>
                  </w:r>
                </w:p>
              </w:tc>
              <w:tc>
                <w:tcPr>
                  <w:tcW w:w="974" w:type="dxa"/>
                  <w:vAlign w:val="center"/>
                </w:tcPr>
                <w:p w14:paraId="0C39077F">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0.000</w:t>
                  </w:r>
                  <w:r>
                    <w:rPr>
                      <w:rFonts w:hint="default" w:ascii="Times New Roman" w:hAnsi="Times New Roman" w:cs="Times New Roman"/>
                      <w:i w:val="0"/>
                      <w:iCs w:val="0"/>
                      <w:color w:val="auto"/>
                      <w:kern w:val="0"/>
                      <w:sz w:val="18"/>
                      <w:szCs w:val="18"/>
                      <w:highlight w:val="none"/>
                      <w:u w:val="none"/>
                      <w:lang w:val="en-US" w:eastAsia="zh-CN" w:bidi="ar"/>
                    </w:rPr>
                    <w:t>3</w:t>
                  </w:r>
                </w:p>
              </w:tc>
              <w:tc>
                <w:tcPr>
                  <w:tcW w:w="975" w:type="dxa"/>
                  <w:vAlign w:val="center"/>
                </w:tcPr>
                <w:p w14:paraId="4A7CE09F">
                  <w:pPr>
                    <w:keepNext w:val="0"/>
                    <w:keepLines w:val="0"/>
                    <w:widowControl/>
                    <w:suppressLineNumbers w:val="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i w:val="0"/>
                      <w:iCs w:val="0"/>
                      <w:color w:val="auto"/>
                      <w:kern w:val="0"/>
                      <w:sz w:val="18"/>
                      <w:szCs w:val="18"/>
                      <w:highlight w:val="none"/>
                      <w:u w:val="none"/>
                      <w:lang w:val="en-US" w:eastAsia="zh-CN" w:bidi="ar"/>
                    </w:rPr>
                    <w:t>0.0</w:t>
                  </w:r>
                  <w:r>
                    <w:rPr>
                      <w:rFonts w:hint="default" w:ascii="Times New Roman" w:hAnsi="Times New Roman" w:cs="Times New Roman"/>
                      <w:i w:val="0"/>
                      <w:iCs w:val="0"/>
                      <w:color w:val="auto"/>
                      <w:kern w:val="0"/>
                      <w:sz w:val="18"/>
                      <w:szCs w:val="18"/>
                      <w:highlight w:val="none"/>
                      <w:u w:val="none"/>
                      <w:lang w:val="en-US" w:eastAsia="zh-CN" w:bidi="ar"/>
                    </w:rPr>
                    <w:t>20</w:t>
                  </w:r>
                </w:p>
              </w:tc>
            </w:tr>
            <w:tr w14:paraId="156A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513" w:type="dxa"/>
                  <w:vMerge w:val="continue"/>
                  <w:vAlign w:val="center"/>
                </w:tcPr>
                <w:p w14:paraId="76AAED8F">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Merge w:val="continue"/>
                  <w:vAlign w:val="center"/>
                </w:tcPr>
                <w:p w14:paraId="53AB5EDA">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6944" w:type="dxa"/>
                  <w:gridSpan w:val="10"/>
                  <w:vAlign w:val="center"/>
                </w:tcPr>
                <w:p w14:paraId="7062B299">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排放量合计：</w:t>
                  </w:r>
                  <w:r>
                    <w:rPr>
                      <w:rFonts w:hint="default" w:ascii="Times New Roman" w:hAnsi="Times New Roman" w:cs="Times New Roman"/>
                      <w:color w:val="auto"/>
                      <w:sz w:val="18"/>
                      <w:szCs w:val="18"/>
                      <w:highlight w:val="none"/>
                    </w:rPr>
                    <w:t>TVOC：0.</w:t>
                  </w:r>
                  <w:r>
                    <w:rPr>
                      <w:rFonts w:hint="default" w:ascii="Times New Roman" w:hAnsi="Times New Roman" w:cs="Times New Roman"/>
                      <w:color w:val="auto"/>
                      <w:sz w:val="18"/>
                      <w:szCs w:val="18"/>
                      <w:highlight w:val="none"/>
                      <w:lang w:val="en-US" w:eastAsia="zh-CN"/>
                    </w:rPr>
                    <w:t>180t/a</w:t>
                  </w:r>
                  <w:r>
                    <w:rPr>
                      <w:rFonts w:hint="default" w:ascii="Times New Roman" w:hAnsi="Times New Roman" w:cs="Times New Roman"/>
                      <w:color w:val="auto"/>
                      <w:sz w:val="18"/>
                      <w:szCs w:val="18"/>
                      <w:highlight w:val="none"/>
                    </w:rPr>
                    <w:t>；二甲苯：0.1</w:t>
                  </w:r>
                  <w:r>
                    <w:rPr>
                      <w:rFonts w:hint="default" w:ascii="Times New Roman" w:hAnsi="Times New Roman" w:cs="Times New Roman"/>
                      <w:color w:val="auto"/>
                      <w:sz w:val="18"/>
                      <w:szCs w:val="18"/>
                      <w:highlight w:val="none"/>
                      <w:lang w:val="en-US" w:eastAsia="zh-CN"/>
                    </w:rPr>
                    <w:t>15t/a</w:t>
                  </w:r>
                  <w:r>
                    <w:rPr>
                      <w:rFonts w:hint="default" w:ascii="Times New Roman" w:hAnsi="Times New Roman" w:cs="Times New Roman"/>
                      <w:color w:val="auto"/>
                      <w:sz w:val="18"/>
                      <w:szCs w:val="18"/>
                      <w:highlight w:val="none"/>
                    </w:rPr>
                    <w:t>；颗粒物：0.0</w:t>
                  </w:r>
                  <w:r>
                    <w:rPr>
                      <w:rFonts w:hint="default" w:ascii="Times New Roman" w:hAnsi="Times New Roman" w:cs="Times New Roman"/>
                      <w:color w:val="auto"/>
                      <w:sz w:val="18"/>
                      <w:szCs w:val="18"/>
                      <w:highlight w:val="none"/>
                      <w:lang w:val="en-US" w:eastAsia="zh-CN"/>
                    </w:rPr>
                    <w:t>79t/a</w:t>
                  </w:r>
                </w:p>
              </w:tc>
            </w:tr>
            <w:tr w14:paraId="7B1F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513" w:type="dxa"/>
                  <w:vMerge w:val="continue"/>
                  <w:vAlign w:val="center"/>
                </w:tcPr>
                <w:p w14:paraId="36B24FC3">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Merge w:val="restart"/>
                  <w:vAlign w:val="center"/>
                </w:tcPr>
                <w:p w14:paraId="399FE350">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排放速率kg/h</w:t>
                  </w:r>
                </w:p>
              </w:tc>
              <w:tc>
                <w:tcPr>
                  <w:tcW w:w="735" w:type="dxa"/>
                  <w:vAlign w:val="center"/>
                </w:tcPr>
                <w:p w14:paraId="61264C3D">
                  <w:pPr>
                    <w:keepNext w:val="0"/>
                    <w:keepLines w:val="0"/>
                    <w:widowControl/>
                    <w:suppressLineNumbers w:val="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i w:val="0"/>
                      <w:iCs w:val="0"/>
                      <w:color w:val="auto"/>
                      <w:kern w:val="0"/>
                      <w:sz w:val="18"/>
                      <w:szCs w:val="18"/>
                      <w:highlight w:val="none"/>
                      <w:u w:val="none"/>
                      <w:lang w:val="en-US" w:eastAsia="zh-CN" w:bidi="ar"/>
                    </w:rPr>
                    <w:t>0.0</w:t>
                  </w:r>
                  <w:r>
                    <w:rPr>
                      <w:rFonts w:hint="default" w:ascii="Times New Roman" w:hAnsi="Times New Roman" w:cs="Times New Roman"/>
                      <w:i w:val="0"/>
                      <w:iCs w:val="0"/>
                      <w:color w:val="auto"/>
                      <w:kern w:val="0"/>
                      <w:sz w:val="18"/>
                      <w:szCs w:val="18"/>
                      <w:highlight w:val="none"/>
                      <w:u w:val="none"/>
                      <w:lang w:val="en-US" w:eastAsia="zh-CN" w:bidi="ar"/>
                    </w:rPr>
                    <w:t>20</w:t>
                  </w:r>
                </w:p>
              </w:tc>
              <w:tc>
                <w:tcPr>
                  <w:tcW w:w="675" w:type="dxa"/>
                  <w:vAlign w:val="center"/>
                </w:tcPr>
                <w:p w14:paraId="62468F32">
                  <w:pPr>
                    <w:keepNext w:val="0"/>
                    <w:keepLines w:val="0"/>
                    <w:widowControl/>
                    <w:suppressLineNumbers w:val="0"/>
                    <w:jc w:val="center"/>
                    <w:textAlignment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i w:val="0"/>
                      <w:iCs w:val="0"/>
                      <w:color w:val="auto"/>
                      <w:kern w:val="0"/>
                      <w:sz w:val="18"/>
                      <w:szCs w:val="18"/>
                      <w:highlight w:val="none"/>
                      <w:u w:val="none"/>
                      <w:lang w:val="en-US" w:eastAsia="zh-CN" w:bidi="ar"/>
                    </w:rPr>
                    <w:t>0.05</w:t>
                  </w:r>
                  <w:r>
                    <w:rPr>
                      <w:rFonts w:hint="default" w:ascii="Times New Roman" w:hAnsi="Times New Roman" w:cs="Times New Roman"/>
                      <w:i w:val="0"/>
                      <w:iCs w:val="0"/>
                      <w:color w:val="auto"/>
                      <w:kern w:val="0"/>
                      <w:sz w:val="18"/>
                      <w:szCs w:val="18"/>
                      <w:highlight w:val="none"/>
                      <w:u w:val="none"/>
                      <w:lang w:val="en-US" w:eastAsia="zh-CN" w:bidi="ar"/>
                    </w:rPr>
                    <w:t>1</w:t>
                  </w:r>
                </w:p>
              </w:tc>
              <w:tc>
                <w:tcPr>
                  <w:tcW w:w="705" w:type="dxa"/>
                  <w:vAlign w:val="center"/>
                </w:tcPr>
                <w:p w14:paraId="12D55BD9">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0.032</w:t>
                  </w:r>
                </w:p>
              </w:tc>
              <w:tc>
                <w:tcPr>
                  <w:tcW w:w="720" w:type="dxa"/>
                  <w:vAlign w:val="center"/>
                </w:tcPr>
                <w:p w14:paraId="5EC44629">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0.022</w:t>
                  </w:r>
                </w:p>
              </w:tc>
              <w:tc>
                <w:tcPr>
                  <w:tcW w:w="720" w:type="dxa"/>
                  <w:gridSpan w:val="2"/>
                  <w:vAlign w:val="center"/>
                </w:tcPr>
                <w:p w14:paraId="0B08A9AE">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0.015</w:t>
                  </w:r>
                </w:p>
              </w:tc>
              <w:tc>
                <w:tcPr>
                  <w:tcW w:w="705" w:type="dxa"/>
                  <w:vAlign w:val="center"/>
                </w:tcPr>
                <w:p w14:paraId="72485ACD">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0.005</w:t>
                  </w:r>
                </w:p>
              </w:tc>
              <w:tc>
                <w:tcPr>
                  <w:tcW w:w="735" w:type="dxa"/>
                  <w:vAlign w:val="center"/>
                </w:tcPr>
                <w:p w14:paraId="7A8D2AD6">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0.003</w:t>
                  </w:r>
                </w:p>
              </w:tc>
              <w:tc>
                <w:tcPr>
                  <w:tcW w:w="974" w:type="dxa"/>
                  <w:vAlign w:val="center"/>
                </w:tcPr>
                <w:p w14:paraId="6BCCD1F4">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0.0001</w:t>
                  </w:r>
                </w:p>
              </w:tc>
              <w:tc>
                <w:tcPr>
                  <w:tcW w:w="975" w:type="dxa"/>
                  <w:vAlign w:val="center"/>
                </w:tcPr>
                <w:p w14:paraId="3D83768A">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0.014</w:t>
                  </w:r>
                </w:p>
              </w:tc>
            </w:tr>
            <w:tr w14:paraId="7B11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exact"/>
              </w:trPr>
              <w:tc>
                <w:tcPr>
                  <w:tcW w:w="513" w:type="dxa"/>
                  <w:vMerge w:val="continue"/>
                  <w:vAlign w:val="center"/>
                </w:tcPr>
                <w:p w14:paraId="3DFF5E45">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Merge w:val="continue"/>
                  <w:vAlign w:val="center"/>
                </w:tcPr>
                <w:p w14:paraId="4F431F20">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6944" w:type="dxa"/>
                  <w:gridSpan w:val="10"/>
                  <w:vAlign w:val="center"/>
                </w:tcPr>
                <w:p w14:paraId="5D0DF234">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TVOC：0.</w:t>
                  </w:r>
                  <w:r>
                    <w:rPr>
                      <w:rFonts w:hint="default" w:ascii="Times New Roman" w:hAnsi="Times New Roman" w:cs="Times New Roman"/>
                      <w:color w:val="auto"/>
                      <w:sz w:val="18"/>
                      <w:szCs w:val="18"/>
                      <w:highlight w:val="none"/>
                      <w:lang w:val="en-US" w:eastAsia="zh-CN"/>
                    </w:rPr>
                    <w:t>078kg/h</w:t>
                  </w:r>
                  <w:r>
                    <w:rPr>
                      <w:rFonts w:hint="default" w:ascii="Times New Roman" w:hAnsi="Times New Roman" w:cs="Times New Roman"/>
                      <w:color w:val="auto"/>
                      <w:sz w:val="18"/>
                      <w:szCs w:val="18"/>
                      <w:highlight w:val="none"/>
                    </w:rPr>
                    <w:t>；二甲苯：0.</w:t>
                  </w:r>
                  <w:r>
                    <w:rPr>
                      <w:rFonts w:hint="default" w:ascii="Times New Roman" w:hAnsi="Times New Roman" w:cs="Times New Roman"/>
                      <w:color w:val="auto"/>
                      <w:sz w:val="18"/>
                      <w:szCs w:val="18"/>
                      <w:highlight w:val="none"/>
                      <w:lang w:val="en-US" w:eastAsia="zh-CN"/>
                    </w:rPr>
                    <w:t>050kg/h</w:t>
                  </w:r>
                  <w:r>
                    <w:rPr>
                      <w:rFonts w:hint="default" w:ascii="Times New Roman" w:hAnsi="Times New Roman" w:cs="Times New Roman"/>
                      <w:color w:val="auto"/>
                      <w:sz w:val="18"/>
                      <w:szCs w:val="18"/>
                      <w:highlight w:val="none"/>
                    </w:rPr>
                    <w:t>；颗粒物：0.0</w:t>
                  </w:r>
                  <w:r>
                    <w:rPr>
                      <w:rFonts w:hint="default" w:ascii="Times New Roman" w:hAnsi="Times New Roman" w:cs="Times New Roman"/>
                      <w:color w:val="auto"/>
                      <w:sz w:val="18"/>
                      <w:szCs w:val="18"/>
                      <w:highlight w:val="none"/>
                      <w:lang w:val="en-US" w:eastAsia="zh-CN"/>
                    </w:rPr>
                    <w:t>34kg/h</w:t>
                  </w:r>
                </w:p>
              </w:tc>
            </w:tr>
            <w:tr w14:paraId="240C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513" w:type="dxa"/>
                  <w:vMerge w:val="continue"/>
                  <w:vAlign w:val="center"/>
                </w:tcPr>
                <w:p w14:paraId="6DEAB317">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p>
              </w:tc>
              <w:tc>
                <w:tcPr>
                  <w:tcW w:w="1339" w:type="dxa"/>
                  <w:vAlign w:val="center"/>
                </w:tcPr>
                <w:p w14:paraId="5FE5785B">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排放浓度mg/</w:t>
                  </w:r>
                  <w:r>
                    <w:rPr>
                      <w:rFonts w:hint="default" w:ascii="Times New Roman" w:hAnsi="Times New Roman" w:cs="Times New Roman"/>
                      <w:color w:val="auto"/>
                      <w:sz w:val="18"/>
                      <w:szCs w:val="18"/>
                      <w:highlight w:val="none"/>
                    </w:rPr>
                    <w:t>m</w:t>
                  </w:r>
                  <w:r>
                    <w:rPr>
                      <w:rFonts w:hint="default" w:ascii="Times New Roman" w:hAnsi="Times New Roman" w:cs="Times New Roman"/>
                      <w:color w:val="auto"/>
                      <w:sz w:val="18"/>
                      <w:szCs w:val="18"/>
                      <w:highlight w:val="none"/>
                      <w:vertAlign w:val="superscript"/>
                    </w:rPr>
                    <w:t>3</w:t>
                  </w:r>
                </w:p>
              </w:tc>
              <w:tc>
                <w:tcPr>
                  <w:tcW w:w="6944" w:type="dxa"/>
                  <w:gridSpan w:val="10"/>
                  <w:vAlign w:val="center"/>
                </w:tcPr>
                <w:p w14:paraId="014736C5">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TVOC：</w:t>
                  </w:r>
                  <w:r>
                    <w:rPr>
                      <w:rFonts w:hint="default" w:ascii="Times New Roman" w:hAnsi="Times New Roman" w:cs="Times New Roman"/>
                      <w:color w:val="auto"/>
                      <w:sz w:val="18"/>
                      <w:szCs w:val="18"/>
                      <w:highlight w:val="none"/>
                      <w:lang w:val="en-US" w:eastAsia="zh-CN"/>
                    </w:rPr>
                    <w:t>2.33</w:t>
                  </w:r>
                  <w:r>
                    <w:rPr>
                      <w:rFonts w:hint="default" w:ascii="Times New Roman" w:hAnsi="Times New Roman" w:cs="Times New Roman"/>
                      <w:bCs/>
                      <w:color w:val="auto"/>
                      <w:spacing w:val="-10"/>
                      <w:sz w:val="18"/>
                      <w:szCs w:val="18"/>
                      <w:highlight w:val="none"/>
                    </w:rPr>
                    <w:t>mg/</w:t>
                  </w:r>
                  <w:r>
                    <w:rPr>
                      <w:rFonts w:hint="default" w:ascii="Times New Roman" w:hAnsi="Times New Roman" w:cs="Times New Roman"/>
                      <w:color w:val="auto"/>
                      <w:sz w:val="18"/>
                      <w:szCs w:val="18"/>
                      <w:highlight w:val="none"/>
                    </w:rPr>
                    <w:t>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color w:val="auto"/>
                      <w:sz w:val="18"/>
                      <w:szCs w:val="18"/>
                      <w:highlight w:val="none"/>
                    </w:rPr>
                    <w:t>；二甲苯：</w:t>
                  </w:r>
                  <w:r>
                    <w:rPr>
                      <w:rFonts w:hint="default" w:ascii="Times New Roman" w:hAnsi="Times New Roman" w:cs="Times New Roman"/>
                      <w:color w:val="auto"/>
                      <w:sz w:val="18"/>
                      <w:szCs w:val="18"/>
                      <w:highlight w:val="none"/>
                      <w:lang w:val="en-US" w:eastAsia="zh-CN"/>
                    </w:rPr>
                    <w:t>1.50</w:t>
                  </w:r>
                  <w:r>
                    <w:rPr>
                      <w:rFonts w:hint="default" w:ascii="Times New Roman" w:hAnsi="Times New Roman" w:cs="Times New Roman"/>
                      <w:bCs/>
                      <w:color w:val="auto"/>
                      <w:spacing w:val="-10"/>
                      <w:sz w:val="18"/>
                      <w:szCs w:val="18"/>
                      <w:highlight w:val="none"/>
                    </w:rPr>
                    <w:t>mg/</w:t>
                  </w:r>
                  <w:r>
                    <w:rPr>
                      <w:rFonts w:hint="default" w:ascii="Times New Roman" w:hAnsi="Times New Roman" w:cs="Times New Roman"/>
                      <w:color w:val="auto"/>
                      <w:sz w:val="18"/>
                      <w:szCs w:val="18"/>
                      <w:highlight w:val="none"/>
                    </w:rPr>
                    <w:t>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color w:val="auto"/>
                      <w:sz w:val="18"/>
                      <w:szCs w:val="18"/>
                      <w:highlight w:val="none"/>
                    </w:rPr>
                    <w:t>；颗粒物：1.</w:t>
                  </w:r>
                  <w:r>
                    <w:rPr>
                      <w:rFonts w:hint="default" w:ascii="Times New Roman" w:hAnsi="Times New Roman" w:cs="Times New Roman"/>
                      <w:color w:val="auto"/>
                      <w:sz w:val="18"/>
                      <w:szCs w:val="18"/>
                      <w:highlight w:val="none"/>
                      <w:lang w:val="en-US" w:eastAsia="zh-CN"/>
                    </w:rPr>
                    <w:t>03</w:t>
                  </w:r>
                  <w:r>
                    <w:rPr>
                      <w:rFonts w:hint="default" w:ascii="Times New Roman" w:hAnsi="Times New Roman" w:cs="Times New Roman"/>
                      <w:bCs/>
                      <w:color w:val="auto"/>
                      <w:spacing w:val="-10"/>
                      <w:sz w:val="18"/>
                      <w:szCs w:val="18"/>
                      <w:highlight w:val="none"/>
                    </w:rPr>
                    <w:t>mg/</w:t>
                  </w:r>
                  <w:r>
                    <w:rPr>
                      <w:rFonts w:hint="default" w:ascii="Times New Roman" w:hAnsi="Times New Roman" w:cs="Times New Roman"/>
                      <w:color w:val="auto"/>
                      <w:sz w:val="18"/>
                      <w:szCs w:val="18"/>
                      <w:highlight w:val="none"/>
                    </w:rPr>
                    <w:t>m</w:t>
                  </w:r>
                  <w:r>
                    <w:rPr>
                      <w:rFonts w:hint="default" w:ascii="Times New Roman" w:hAnsi="Times New Roman" w:cs="Times New Roman"/>
                      <w:color w:val="auto"/>
                      <w:sz w:val="18"/>
                      <w:szCs w:val="18"/>
                      <w:highlight w:val="none"/>
                      <w:vertAlign w:val="superscript"/>
                    </w:rPr>
                    <w:t>3</w:t>
                  </w:r>
                </w:p>
              </w:tc>
            </w:tr>
            <w:tr w14:paraId="1A3A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1852" w:type="dxa"/>
                  <w:gridSpan w:val="2"/>
                  <w:vAlign w:val="center"/>
                </w:tcPr>
                <w:p w14:paraId="1AFEBA0B">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排气筒编号、高度</w:t>
                  </w:r>
                </w:p>
              </w:tc>
              <w:tc>
                <w:tcPr>
                  <w:tcW w:w="6944" w:type="dxa"/>
                  <w:gridSpan w:val="10"/>
                  <w:vAlign w:val="center"/>
                </w:tcPr>
                <w:p w14:paraId="3933FB3F">
                  <w:pPr>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DA005，15m</w:t>
                  </w:r>
                </w:p>
              </w:tc>
            </w:tr>
            <w:tr w14:paraId="0253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trPr>
              <w:tc>
                <w:tcPr>
                  <w:tcW w:w="1852" w:type="dxa"/>
                  <w:gridSpan w:val="2"/>
                  <w:vAlign w:val="center"/>
                </w:tcPr>
                <w:p w14:paraId="3B23BF95">
                  <w:pPr>
                    <w:adjustRightInd w:val="0"/>
                    <w:snapToGrid w:val="0"/>
                    <w:spacing w:before="120" w:beforeLines="50"/>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无组织废气排放量t/a</w:t>
                  </w:r>
                </w:p>
              </w:tc>
              <w:tc>
                <w:tcPr>
                  <w:tcW w:w="6944" w:type="dxa"/>
                  <w:gridSpan w:val="10"/>
                  <w:vAlign w:val="center"/>
                </w:tcPr>
                <w:p w14:paraId="6579879A">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TVOC：0.</w:t>
                  </w:r>
                  <w:r>
                    <w:rPr>
                      <w:rFonts w:hint="default" w:ascii="Times New Roman" w:hAnsi="Times New Roman" w:cs="Times New Roman"/>
                      <w:color w:val="auto"/>
                      <w:sz w:val="18"/>
                      <w:szCs w:val="18"/>
                      <w:highlight w:val="none"/>
                      <w:lang w:val="en-US" w:eastAsia="zh-CN"/>
                    </w:rPr>
                    <w:t>163</w:t>
                  </w:r>
                  <w:r>
                    <w:rPr>
                      <w:rFonts w:hint="default" w:ascii="Times New Roman" w:hAnsi="Times New Roman" w:cs="Times New Roman"/>
                      <w:bCs/>
                      <w:color w:val="auto"/>
                      <w:spacing w:val="-10"/>
                      <w:sz w:val="18"/>
                      <w:szCs w:val="18"/>
                      <w:highlight w:val="none"/>
                    </w:rPr>
                    <w:t>t/a</w:t>
                  </w:r>
                  <w:r>
                    <w:rPr>
                      <w:rFonts w:hint="default" w:ascii="Times New Roman" w:hAnsi="Times New Roman" w:cs="Times New Roman"/>
                      <w:color w:val="auto"/>
                      <w:sz w:val="18"/>
                      <w:szCs w:val="18"/>
                      <w:highlight w:val="none"/>
                    </w:rPr>
                    <w:t>；二甲苯：0.</w:t>
                  </w:r>
                  <w:r>
                    <w:rPr>
                      <w:rFonts w:hint="default" w:ascii="Times New Roman" w:hAnsi="Times New Roman" w:cs="Times New Roman"/>
                      <w:color w:val="auto"/>
                      <w:sz w:val="18"/>
                      <w:szCs w:val="18"/>
                      <w:highlight w:val="none"/>
                      <w:lang w:val="en-US" w:eastAsia="zh-CN"/>
                    </w:rPr>
                    <w:t>104</w:t>
                  </w:r>
                  <w:r>
                    <w:rPr>
                      <w:rFonts w:hint="default" w:ascii="Times New Roman" w:hAnsi="Times New Roman" w:cs="Times New Roman"/>
                      <w:bCs/>
                      <w:color w:val="auto"/>
                      <w:spacing w:val="-10"/>
                      <w:sz w:val="18"/>
                      <w:szCs w:val="18"/>
                      <w:highlight w:val="none"/>
                    </w:rPr>
                    <w:t>t/a</w:t>
                  </w:r>
                  <w:r>
                    <w:rPr>
                      <w:rFonts w:hint="default" w:ascii="Times New Roman" w:hAnsi="Times New Roman" w:cs="Times New Roman"/>
                      <w:color w:val="auto"/>
                      <w:sz w:val="18"/>
                      <w:szCs w:val="18"/>
                      <w:highlight w:val="none"/>
                    </w:rPr>
                    <w:t>；颗粒物：0.</w:t>
                  </w:r>
                  <w:r>
                    <w:rPr>
                      <w:rFonts w:hint="default" w:ascii="Times New Roman" w:hAnsi="Times New Roman" w:cs="Times New Roman"/>
                      <w:color w:val="auto"/>
                      <w:sz w:val="18"/>
                      <w:szCs w:val="18"/>
                      <w:highlight w:val="none"/>
                      <w:lang w:val="en-US" w:eastAsia="zh-CN"/>
                    </w:rPr>
                    <w:t>164</w:t>
                  </w:r>
                  <w:r>
                    <w:rPr>
                      <w:rFonts w:hint="default" w:ascii="Times New Roman" w:hAnsi="Times New Roman" w:cs="Times New Roman"/>
                      <w:bCs/>
                      <w:color w:val="auto"/>
                      <w:spacing w:val="-10"/>
                      <w:sz w:val="18"/>
                      <w:szCs w:val="18"/>
                      <w:highlight w:val="none"/>
                    </w:rPr>
                    <w:t>t/a</w:t>
                  </w:r>
                </w:p>
              </w:tc>
            </w:tr>
            <w:tr w14:paraId="005E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2" w:type="dxa"/>
                  <w:gridSpan w:val="2"/>
                  <w:vAlign w:val="center"/>
                </w:tcPr>
                <w:p w14:paraId="6AF4C342">
                  <w:pPr>
                    <w:tabs>
                      <w:tab w:val="center" w:pos="975"/>
                      <w:tab w:val="right" w:pos="1832"/>
                    </w:tabs>
                    <w:adjustRightInd w:val="0"/>
                    <w:snapToGrid w:val="0"/>
                    <w:spacing w:before="120" w:beforeLines="50" w:line="360" w:lineRule="auto"/>
                    <w:jc w:val="center"/>
                    <w:rPr>
                      <w:rFonts w:hint="default" w:ascii="Times New Roman" w:hAnsi="Times New Roman" w:cs="Times New Roman"/>
                      <w:bCs/>
                      <w:color w:val="auto"/>
                      <w:spacing w:val="-10"/>
                      <w:sz w:val="18"/>
                      <w:szCs w:val="18"/>
                      <w:highlight w:val="none"/>
                    </w:rPr>
                  </w:pPr>
                  <w:r>
                    <w:rPr>
                      <w:rFonts w:hint="default" w:ascii="Times New Roman" w:hAnsi="Times New Roman" w:cs="Times New Roman"/>
                      <w:bCs/>
                      <w:color w:val="auto"/>
                      <w:spacing w:val="-10"/>
                      <w:sz w:val="18"/>
                      <w:szCs w:val="18"/>
                      <w:highlight w:val="none"/>
                    </w:rPr>
                    <w:t>合计排放量t/a</w:t>
                  </w:r>
                </w:p>
              </w:tc>
              <w:tc>
                <w:tcPr>
                  <w:tcW w:w="6944" w:type="dxa"/>
                  <w:gridSpan w:val="10"/>
                  <w:vAlign w:val="center"/>
                </w:tcPr>
                <w:p w14:paraId="4AF3A71A">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TVOC：0.</w:t>
                  </w:r>
                  <w:r>
                    <w:rPr>
                      <w:rFonts w:hint="default" w:ascii="Times New Roman" w:hAnsi="Times New Roman" w:cs="Times New Roman"/>
                      <w:color w:val="auto"/>
                      <w:sz w:val="18"/>
                      <w:szCs w:val="18"/>
                      <w:highlight w:val="none"/>
                      <w:lang w:val="en-US" w:eastAsia="zh-CN"/>
                    </w:rPr>
                    <w:t>343</w:t>
                  </w:r>
                  <w:r>
                    <w:rPr>
                      <w:rFonts w:hint="default" w:ascii="Times New Roman" w:hAnsi="Times New Roman" w:cs="Times New Roman"/>
                      <w:bCs/>
                      <w:color w:val="auto"/>
                      <w:spacing w:val="-10"/>
                      <w:sz w:val="18"/>
                      <w:szCs w:val="18"/>
                      <w:highlight w:val="none"/>
                    </w:rPr>
                    <w:t>t/a</w:t>
                  </w:r>
                  <w:r>
                    <w:rPr>
                      <w:rFonts w:hint="default" w:ascii="Times New Roman" w:hAnsi="Times New Roman" w:cs="Times New Roman"/>
                      <w:color w:val="auto"/>
                      <w:sz w:val="18"/>
                      <w:szCs w:val="18"/>
                      <w:highlight w:val="none"/>
                    </w:rPr>
                    <w:t>；二甲苯：0.</w:t>
                  </w:r>
                  <w:r>
                    <w:rPr>
                      <w:rFonts w:hint="default" w:ascii="Times New Roman" w:hAnsi="Times New Roman" w:cs="Times New Roman"/>
                      <w:color w:val="auto"/>
                      <w:sz w:val="18"/>
                      <w:szCs w:val="18"/>
                      <w:highlight w:val="none"/>
                      <w:lang w:val="en-US" w:eastAsia="zh-CN"/>
                    </w:rPr>
                    <w:t>219</w:t>
                  </w:r>
                  <w:r>
                    <w:rPr>
                      <w:rFonts w:hint="default" w:ascii="Times New Roman" w:hAnsi="Times New Roman" w:cs="Times New Roman"/>
                      <w:bCs/>
                      <w:color w:val="auto"/>
                      <w:spacing w:val="-10"/>
                      <w:sz w:val="18"/>
                      <w:szCs w:val="18"/>
                      <w:highlight w:val="none"/>
                    </w:rPr>
                    <w:t>t/a</w:t>
                  </w:r>
                  <w:r>
                    <w:rPr>
                      <w:rFonts w:hint="default" w:ascii="Times New Roman" w:hAnsi="Times New Roman" w:cs="Times New Roman"/>
                      <w:color w:val="auto"/>
                      <w:sz w:val="18"/>
                      <w:szCs w:val="18"/>
                      <w:highlight w:val="none"/>
                    </w:rPr>
                    <w:t>；颗粒物：0.</w:t>
                  </w:r>
                  <w:r>
                    <w:rPr>
                      <w:rFonts w:hint="default" w:ascii="Times New Roman" w:hAnsi="Times New Roman" w:cs="Times New Roman"/>
                      <w:color w:val="auto"/>
                      <w:sz w:val="18"/>
                      <w:szCs w:val="18"/>
                      <w:highlight w:val="none"/>
                      <w:lang w:val="en-US" w:eastAsia="zh-CN"/>
                    </w:rPr>
                    <w:t>243</w:t>
                  </w:r>
                  <w:r>
                    <w:rPr>
                      <w:rFonts w:hint="default" w:ascii="Times New Roman" w:hAnsi="Times New Roman" w:cs="Times New Roman"/>
                      <w:bCs/>
                      <w:color w:val="auto"/>
                      <w:spacing w:val="-10"/>
                      <w:sz w:val="18"/>
                      <w:szCs w:val="18"/>
                      <w:highlight w:val="none"/>
                    </w:rPr>
                    <w:t>t/a</w:t>
                  </w:r>
                </w:p>
              </w:tc>
            </w:tr>
            <w:tr w14:paraId="70A2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exact"/>
              </w:trPr>
              <w:tc>
                <w:tcPr>
                  <w:tcW w:w="8796" w:type="dxa"/>
                  <w:gridSpan w:val="12"/>
                  <w:vAlign w:val="center"/>
                </w:tcPr>
                <w:p w14:paraId="3F711797">
                  <w:pPr>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备注：1. 根据建设单位提供资料，喷涂工序年工作300天，每天工作</w:t>
                  </w:r>
                  <w:r>
                    <w:rPr>
                      <w:rFonts w:hint="default" w:ascii="Times New Roman" w:hAnsi="Times New Roman" w:cs="Times New Roman"/>
                      <w:color w:val="auto"/>
                      <w:sz w:val="18"/>
                      <w:szCs w:val="18"/>
                      <w:highlight w:val="none"/>
                      <w:lang w:val="en-US" w:eastAsia="zh-CN"/>
                    </w:rPr>
                    <w:t>10</w:t>
                  </w:r>
                  <w:r>
                    <w:rPr>
                      <w:rFonts w:hint="default" w:ascii="Times New Roman" w:hAnsi="Times New Roman" w:cs="Times New Roman"/>
                      <w:color w:val="auto"/>
                      <w:sz w:val="18"/>
                      <w:szCs w:val="18"/>
                      <w:highlight w:val="none"/>
                    </w:rPr>
                    <w:t>h，年工作</w:t>
                  </w:r>
                  <w:r>
                    <w:rPr>
                      <w:rFonts w:hint="default" w:ascii="Times New Roman" w:hAnsi="Times New Roman" w:cs="Times New Roman"/>
                      <w:color w:val="auto"/>
                      <w:sz w:val="18"/>
                      <w:szCs w:val="18"/>
                      <w:highlight w:val="none"/>
                      <w:lang w:val="en-US" w:eastAsia="zh-CN"/>
                    </w:rPr>
                    <w:t>3000</w:t>
                  </w:r>
                  <w:r>
                    <w:rPr>
                      <w:rFonts w:hint="default" w:ascii="Times New Roman" w:hAnsi="Times New Roman" w:cs="Times New Roman"/>
                      <w:color w:val="auto"/>
                      <w:sz w:val="18"/>
                      <w:szCs w:val="18"/>
                      <w:highlight w:val="none"/>
                    </w:rPr>
                    <w:t>h；洗枪工序年工作300天，每天工作0.15h，年工作45h；烘烤工序年工作300天，每天工作12h，年工作3600h；风干工序年工作300天，每天工作18h，年工作5400h；喷粉工序年工作300天，每天工作4.5h，年工作1350h。</w:t>
                  </w:r>
                </w:p>
                <w:p w14:paraId="5CC93D1B">
                  <w:pPr>
                    <w:numPr>
                      <w:ilvl w:val="0"/>
                      <w:numId w:val="0"/>
                    </w:numPr>
                    <w:ind w:leftChars="200"/>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TVOC</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二甲苯</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颗粒物产生速率合计分别由喷涂、洗枪、风干、烘烤、喷粉的产生速率相加计算得出。</w:t>
                  </w:r>
                </w:p>
                <w:p w14:paraId="07AF1EA2">
                  <w:pPr>
                    <w:numPr>
                      <w:ilvl w:val="0"/>
                      <w:numId w:val="0"/>
                    </w:numPr>
                    <w:ind w:leftChars="200"/>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r>
                    <w:rPr>
                      <w:rFonts w:hint="default" w:ascii="Times New Roman" w:hAnsi="Times New Roman" w:cs="Times New Roman"/>
                      <w:color w:val="auto"/>
                      <w:sz w:val="18"/>
                      <w:szCs w:val="18"/>
                      <w:highlight w:val="none"/>
                    </w:rPr>
                    <w:t>TVOC</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二甲苯</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颗粒物产生浓度分别由</w:t>
                  </w:r>
                  <w:r>
                    <w:rPr>
                      <w:rFonts w:hint="default" w:ascii="Times New Roman" w:hAnsi="Times New Roman" w:cs="Times New Roman"/>
                      <w:color w:val="auto"/>
                      <w:sz w:val="18"/>
                      <w:szCs w:val="18"/>
                      <w:highlight w:val="none"/>
                    </w:rPr>
                    <w:t>TVOC</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二甲苯</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颗粒物合计产生速率除以总废气量计算得出。</w:t>
                  </w:r>
                </w:p>
                <w:p w14:paraId="128FC6FA">
                  <w:pPr>
                    <w:numPr>
                      <w:ilvl w:val="0"/>
                      <w:numId w:val="0"/>
                    </w:numPr>
                    <w:ind w:leftChars="200"/>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cs="Times New Roman"/>
                      <w:color w:val="auto"/>
                      <w:sz w:val="18"/>
                      <w:szCs w:val="18"/>
                      <w:highlight w:val="none"/>
                    </w:rPr>
                    <w:t>TVOC</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二甲苯</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颗粒物排放速率合计分别由喷涂、洗枪、风干、烘烤、喷粉的排放速率相加计算得出。</w:t>
                  </w:r>
                </w:p>
                <w:p w14:paraId="5E56D0F2">
                  <w:pPr>
                    <w:numPr>
                      <w:ilvl w:val="0"/>
                      <w:numId w:val="0"/>
                    </w:numPr>
                    <w:ind w:leftChars="200"/>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TVOC</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二甲苯</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颗粒物排放浓度分别由</w:t>
                  </w:r>
                  <w:r>
                    <w:rPr>
                      <w:rFonts w:hint="default" w:ascii="Times New Roman" w:hAnsi="Times New Roman" w:cs="Times New Roman"/>
                      <w:color w:val="auto"/>
                      <w:sz w:val="18"/>
                      <w:szCs w:val="18"/>
                      <w:highlight w:val="none"/>
                    </w:rPr>
                    <w:t>TVOC</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二甲苯</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颗粒物合计排放速率除以总废气量计算得出。</w:t>
                  </w:r>
                </w:p>
                <w:p w14:paraId="3851DBDA">
                  <w:pPr>
                    <w:numPr>
                      <w:ilvl w:val="0"/>
                      <w:numId w:val="0"/>
                    </w:numPr>
                    <w:ind w:leftChars="200"/>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bCs/>
                      <w:color w:val="auto"/>
                      <w:sz w:val="18"/>
                      <w:szCs w:val="18"/>
                      <w:highlight w:val="none"/>
                    </w:rPr>
                    <w:t>喷</w:t>
                  </w:r>
                  <w:r>
                    <w:rPr>
                      <w:rFonts w:hint="default" w:ascii="Times New Roman" w:hAnsi="Times New Roman" w:cs="Times New Roman"/>
                      <w:bCs/>
                      <w:color w:val="auto"/>
                      <w:sz w:val="18"/>
                      <w:szCs w:val="18"/>
                      <w:highlight w:val="none"/>
                      <w:lang w:val="en-US" w:eastAsia="zh-CN"/>
                    </w:rPr>
                    <w:t>涂</w:t>
                  </w:r>
                  <w:r>
                    <w:rPr>
                      <w:rFonts w:hint="default" w:ascii="Times New Roman" w:hAnsi="Times New Roman" w:cs="Times New Roman"/>
                      <w:bCs/>
                      <w:color w:val="auto"/>
                      <w:sz w:val="18"/>
                      <w:szCs w:val="18"/>
                      <w:highlight w:val="none"/>
                    </w:rPr>
                    <w:t>、洗枪废气经水帘柜+除雾+二级活性炭处理后经15m排气筒（DA005）排放、风干废气和烘烤废气经管道收集后接入喷漆、洗枪废气处理设施二级活性炭处理后接排气筒（DA005）排放；喷粉废气经滤筒除尘器处理后接排气筒（DA005）排放</w:t>
                  </w:r>
                  <w:r>
                    <w:rPr>
                      <w:rFonts w:hint="default" w:ascii="Times New Roman" w:hAnsi="Times New Roman" w:cs="Times New Roman"/>
                      <w:bCs/>
                      <w:color w:val="auto"/>
                      <w:sz w:val="18"/>
                      <w:szCs w:val="18"/>
                      <w:highlight w:val="none"/>
                      <w:lang w:eastAsia="zh-CN"/>
                    </w:rPr>
                    <w:t>。</w:t>
                  </w:r>
                  <w:r>
                    <w:rPr>
                      <w:rFonts w:hint="default" w:ascii="Times New Roman" w:hAnsi="Times New Roman" w:cs="Times New Roman"/>
                      <w:bCs/>
                      <w:color w:val="auto"/>
                      <w:sz w:val="18"/>
                      <w:szCs w:val="18"/>
                      <w:highlight w:val="none"/>
                      <w:lang w:val="en-US" w:eastAsia="zh-CN"/>
                    </w:rPr>
                    <w:t>根据《吸附法工业有机废气治理工程技术规范》(HJ2026-2013)要求，</w:t>
                  </w:r>
                  <w:r>
                    <w:rPr>
                      <w:rFonts w:hint="default" w:ascii="Times New Roman" w:hAnsi="Times New Roman" w:cs="Times New Roman"/>
                      <w:color w:val="auto"/>
                      <w:sz w:val="18"/>
                      <w:szCs w:val="18"/>
                      <w:highlight w:val="none"/>
                    </w:rPr>
                    <w:t>进入活性炭装置的颗粒物浓度应小于1mg/m</w:t>
                  </w:r>
                  <w:r>
                    <w:rPr>
                      <w:rFonts w:hint="default" w:ascii="Times New Roman" w:hAnsi="Times New Roman" w:cs="Times New Roman"/>
                      <w:color w:val="auto"/>
                      <w:sz w:val="18"/>
                      <w:szCs w:val="18"/>
                      <w:highlight w:val="none"/>
                      <w:vertAlign w:val="superscript"/>
                    </w:rPr>
                    <w:t>3</w:t>
                  </w:r>
                  <w:r>
                    <w:rPr>
                      <w:rFonts w:hint="default" w:ascii="Times New Roman" w:hAnsi="Times New Roman"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本项目仅有喷涂油漆产生的颗粒物经水帘柜处理后进入活性炭，喷粉产生的颗粒物经滤筒除尘装置处理后接</w:t>
                  </w:r>
                  <w:r>
                    <w:rPr>
                      <w:rFonts w:hint="default" w:ascii="Times New Roman" w:hAnsi="Times New Roman" w:cs="Times New Roman"/>
                      <w:bCs/>
                      <w:color w:val="auto"/>
                      <w:sz w:val="18"/>
                      <w:szCs w:val="18"/>
                      <w:highlight w:val="none"/>
                    </w:rPr>
                    <w:t>排气筒（DA005）排放</w:t>
                  </w:r>
                  <w:r>
                    <w:rPr>
                      <w:rFonts w:hint="default" w:ascii="Times New Roman" w:hAnsi="Times New Roman" w:cs="Times New Roman"/>
                      <w:bCs/>
                      <w:color w:val="auto"/>
                      <w:sz w:val="18"/>
                      <w:szCs w:val="18"/>
                      <w:highlight w:val="none"/>
                      <w:lang w:val="en-US" w:eastAsia="zh-CN"/>
                    </w:rPr>
                    <w:t>不进入活性炭，进入活性炭颗粒物的浓度为</w:t>
                  </w:r>
                  <w:r>
                    <w:rPr>
                      <w:rFonts w:hint="default" w:ascii="Times New Roman" w:hAnsi="Times New Roman" w:cs="Times New Roman"/>
                      <w:i w:val="0"/>
                      <w:iCs w:val="0"/>
                      <w:color w:val="auto"/>
                      <w:kern w:val="0"/>
                      <w:sz w:val="18"/>
                      <w:szCs w:val="18"/>
                      <w:highlight w:val="none"/>
                      <w:u w:val="none"/>
                      <w:lang w:val="en-US" w:eastAsia="zh-CN" w:bidi="ar"/>
                    </w:rPr>
                    <w:t>0.96mg/m</w:t>
                  </w:r>
                  <w:r>
                    <w:rPr>
                      <w:rFonts w:hint="default" w:ascii="Times New Roman" w:hAnsi="Times New Roman" w:cs="Times New Roman"/>
                      <w:i w:val="0"/>
                      <w:iCs w:val="0"/>
                      <w:color w:val="auto"/>
                      <w:kern w:val="0"/>
                      <w:sz w:val="18"/>
                      <w:szCs w:val="18"/>
                      <w:highlight w:val="none"/>
                      <w:u w:val="none"/>
                      <w:vertAlign w:val="superscript"/>
                      <w:lang w:val="en-US" w:eastAsia="zh-CN" w:bidi="ar"/>
                    </w:rPr>
                    <w:t>3</w:t>
                  </w:r>
                  <w:r>
                    <w:rPr>
                      <w:rFonts w:hint="default" w:ascii="Times New Roman" w:hAnsi="Times New Roman" w:cs="Times New Roman"/>
                      <w:i w:val="0"/>
                      <w:iCs w:val="0"/>
                      <w:color w:val="auto"/>
                      <w:kern w:val="0"/>
                      <w:sz w:val="18"/>
                      <w:szCs w:val="18"/>
                      <w:highlight w:val="none"/>
                      <w:u w:val="none"/>
                      <w:lang w:val="en-US" w:eastAsia="zh-CN" w:bidi="ar"/>
                    </w:rPr>
                    <w:t>[</w:t>
                  </w:r>
                  <w:r>
                    <w:rPr>
                      <w:rFonts w:hint="default" w:ascii="Times New Roman" w:hAnsi="Times New Roman" w:cs="Times New Roman"/>
                      <w:bCs/>
                      <w:color w:val="auto"/>
                      <w:sz w:val="18"/>
                      <w:szCs w:val="18"/>
                      <w:highlight w:val="none"/>
                      <w:lang w:val="en-US" w:eastAsia="zh-CN"/>
                    </w:rPr>
                    <w:t>（</w:t>
                  </w:r>
                  <w:r>
                    <w:rPr>
                      <w:rFonts w:hint="default" w:ascii="Times New Roman" w:hAnsi="Times New Roman" w:eastAsia="宋体" w:cs="Times New Roman"/>
                      <w:i w:val="0"/>
                      <w:iCs w:val="0"/>
                      <w:color w:val="auto"/>
                      <w:kern w:val="0"/>
                      <w:sz w:val="18"/>
                      <w:szCs w:val="18"/>
                      <w:highlight w:val="none"/>
                      <w:u w:val="none"/>
                      <w:lang w:val="en-US" w:eastAsia="zh-CN" w:bidi="ar"/>
                    </w:rPr>
                    <w:t>0.</w:t>
                  </w:r>
                  <w:r>
                    <w:rPr>
                      <w:rFonts w:hint="default" w:ascii="Times New Roman" w:hAnsi="Times New Roman" w:cs="Times New Roman"/>
                      <w:i w:val="0"/>
                      <w:iCs w:val="0"/>
                      <w:color w:val="auto"/>
                      <w:kern w:val="0"/>
                      <w:sz w:val="18"/>
                      <w:szCs w:val="18"/>
                      <w:highlight w:val="none"/>
                      <w:u w:val="none"/>
                      <w:lang w:val="en-US" w:eastAsia="zh-CN" w:bidi="ar"/>
                    </w:rPr>
                    <w:t>020*1000000）/（15000+5500+400）=0.96]，符合活性炭的进气要求。</w:t>
                  </w:r>
                </w:p>
              </w:tc>
            </w:tr>
          </w:tbl>
          <w:p w14:paraId="32826700">
            <w:pPr>
              <w:widowControl/>
              <w:spacing w:line="360" w:lineRule="auto"/>
              <w:ind w:firstLine="420" w:firstLineChars="200"/>
              <w:jc w:val="left"/>
              <w:rPr>
                <w:rFonts w:hint="default" w:ascii="Times New Roman" w:hAnsi="Times New Roman" w:cs="Times New Roman"/>
                <w:color w:val="auto"/>
                <w:highlight w:val="none"/>
              </w:rPr>
            </w:pPr>
          </w:p>
          <w:p w14:paraId="4FB62944">
            <w:pPr>
              <w:pStyle w:val="23"/>
              <w:widowControl w:val="0"/>
              <w:spacing w:before="0" w:beforeAutospacing="0" w:after="0" w:afterAutospacing="0" w:line="360" w:lineRule="auto"/>
              <w:ind w:firstLine="482" w:firstLineChars="200"/>
              <w:rPr>
                <w:rFonts w:hint="default" w:ascii="Times New Roman" w:hAnsi="Times New Roman" w:cs="Times New Roman"/>
                <w:b/>
                <w:color w:val="auto"/>
                <w:szCs w:val="24"/>
                <w:highlight w:val="none"/>
              </w:rPr>
            </w:pPr>
            <w:r>
              <w:rPr>
                <w:rFonts w:hint="default" w:ascii="Times New Roman" w:hAnsi="Times New Roman" w:cs="Times New Roman"/>
                <w:b/>
                <w:color w:val="auto"/>
                <w:szCs w:val="24"/>
                <w:highlight w:val="none"/>
              </w:rPr>
              <w:t>（4）废气达标排放分析</w:t>
            </w:r>
          </w:p>
          <w:p w14:paraId="1A59ED5F">
            <w:pPr>
              <w:adjustRightInd w:val="0"/>
              <w:snapToGrid w:val="0"/>
              <w:spacing w:line="360" w:lineRule="auto"/>
              <w:ind w:firstLine="480" w:firstLineChars="200"/>
              <w:rPr>
                <w:rFonts w:hint="default" w:ascii="Times New Roman" w:hAnsi="Times New Roman" w:cs="Times New Roman"/>
                <w:b/>
                <w:bCs/>
                <w:color w:val="auto"/>
                <w:spacing w:val="-10"/>
                <w:sz w:val="24"/>
                <w:highlight w:val="none"/>
              </w:rPr>
            </w:pPr>
            <w:r>
              <w:rPr>
                <w:rFonts w:hint="default" w:ascii="Times New Roman" w:hAnsi="Times New Roman" w:cs="Times New Roman"/>
                <w:color w:val="auto"/>
                <w:sz w:val="24"/>
                <w:highlight w:val="none"/>
              </w:rPr>
              <w:t>本项目</w:t>
            </w:r>
            <w:r>
              <w:rPr>
                <w:rFonts w:hint="default" w:ascii="Times New Roman" w:hAnsi="Times New Roman" w:cs="Times New Roman"/>
                <w:color w:val="auto"/>
                <w:sz w:val="24"/>
                <w:highlight w:val="none"/>
                <w:lang w:bidi="ar"/>
              </w:rPr>
              <w:t>喷漆、烘烤</w:t>
            </w:r>
            <w:r>
              <w:rPr>
                <w:rFonts w:hint="default" w:ascii="Times New Roman" w:hAnsi="Times New Roman" w:cs="Times New Roman"/>
                <w:color w:val="auto"/>
                <w:kern w:val="0"/>
                <w:sz w:val="24"/>
                <w:highlight w:val="none"/>
                <w:lang w:bidi="ar"/>
              </w:rPr>
              <w:t>废气</w:t>
            </w:r>
            <w:r>
              <w:rPr>
                <w:rFonts w:hint="default" w:ascii="Times New Roman" w:hAnsi="Times New Roman" w:cs="Times New Roman"/>
                <w:color w:val="auto"/>
                <w:sz w:val="24"/>
                <w:highlight w:val="none"/>
              </w:rPr>
              <w:t>经1套</w:t>
            </w:r>
            <w:r>
              <w:rPr>
                <w:rFonts w:hint="default" w:ascii="Times New Roman" w:hAnsi="Times New Roman" w:cs="Times New Roman"/>
                <w:bCs/>
                <w:color w:val="auto"/>
                <w:sz w:val="24"/>
                <w:highlight w:val="none"/>
              </w:rPr>
              <w:t>水帘柜+除雾+</w:t>
            </w:r>
            <w:r>
              <w:rPr>
                <w:rFonts w:hint="default" w:ascii="Times New Roman" w:hAnsi="Times New Roman" w:cs="Times New Roman"/>
                <w:color w:val="auto"/>
                <w:sz w:val="24"/>
                <w:highlight w:val="none"/>
              </w:rPr>
              <w:t>二级活性炭+15m排气筒DA005排放，喷粉废气经1套滤筒除尘装置后接</w:t>
            </w:r>
            <w:r>
              <w:rPr>
                <w:rFonts w:hint="default" w:ascii="Times New Roman" w:hAnsi="Times New Roman" w:cs="Times New Roman"/>
                <w:color w:val="auto"/>
                <w:sz w:val="24"/>
                <w:highlight w:val="none"/>
                <w:lang w:bidi="ar"/>
              </w:rPr>
              <w:t>喷漆、烘烤</w:t>
            </w:r>
            <w:r>
              <w:rPr>
                <w:rFonts w:hint="default" w:ascii="Times New Roman" w:hAnsi="Times New Roman" w:cs="Times New Roman"/>
                <w:color w:val="auto"/>
                <w:kern w:val="0"/>
                <w:sz w:val="24"/>
                <w:highlight w:val="none"/>
                <w:lang w:bidi="ar"/>
              </w:rPr>
              <w:t>废气</w:t>
            </w:r>
            <w:r>
              <w:rPr>
                <w:rFonts w:hint="default" w:ascii="Times New Roman" w:hAnsi="Times New Roman" w:cs="Times New Roman"/>
                <w:color w:val="auto"/>
                <w:sz w:val="24"/>
                <w:highlight w:val="none"/>
              </w:rPr>
              <w:t>排气筒DA005排放。根据前文计算可知，</w:t>
            </w:r>
            <w:r>
              <w:rPr>
                <w:rFonts w:hint="default" w:ascii="Times New Roman" w:hAnsi="Times New Roman" w:cs="Times New Roman"/>
                <w:color w:val="auto"/>
                <w:sz w:val="24"/>
                <w:highlight w:val="none"/>
                <w:lang w:bidi="ar"/>
              </w:rPr>
              <w:t>喷漆、烘烤、喷粉</w:t>
            </w:r>
            <w:r>
              <w:rPr>
                <w:rFonts w:hint="default" w:ascii="Times New Roman" w:hAnsi="Times New Roman" w:cs="Times New Roman"/>
                <w:color w:val="auto"/>
                <w:kern w:val="0"/>
                <w:sz w:val="24"/>
                <w:highlight w:val="none"/>
                <w:lang w:bidi="ar"/>
              </w:rPr>
              <w:t>废气排放口</w:t>
            </w:r>
            <w:r>
              <w:rPr>
                <w:rFonts w:hint="default" w:ascii="Times New Roman" w:hAnsi="Times New Roman" w:cs="Times New Roman"/>
                <w:color w:val="auto"/>
                <w:sz w:val="24"/>
                <w:highlight w:val="none"/>
              </w:rPr>
              <w:t>颗粒物的排放浓度为1</w:t>
            </w:r>
            <w:r>
              <w:rPr>
                <w:rFonts w:hint="default" w:ascii="Times New Roman" w:hAnsi="Times New Roman" w:cs="Times New Roman"/>
                <w:color w:val="auto"/>
                <w:sz w:val="24"/>
                <w:highlight w:val="none"/>
                <w:lang w:val="en-US" w:eastAsia="zh-CN"/>
              </w:rPr>
              <w:t>.03</w:t>
            </w:r>
            <w:r>
              <w:rPr>
                <w:rFonts w:hint="default" w:ascii="Times New Roman" w:hAnsi="Times New Roman" w:cs="Times New Roman"/>
                <w:color w:val="auto"/>
                <w:kern w:val="0"/>
                <w:sz w:val="24"/>
                <w:highlight w:val="none"/>
                <w:lang w:bidi="ar"/>
              </w:rPr>
              <w:t>mg/</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kern w:val="0"/>
                <w:sz w:val="24"/>
                <w:highlight w:val="none"/>
              </w:rPr>
              <w:t>；TVOC</w:t>
            </w:r>
            <w:r>
              <w:rPr>
                <w:rFonts w:hint="default" w:ascii="Times New Roman" w:hAnsi="Times New Roman" w:cs="Times New Roman"/>
                <w:color w:val="auto"/>
                <w:sz w:val="24"/>
                <w:highlight w:val="none"/>
              </w:rPr>
              <w:t>的排放浓度为</w:t>
            </w:r>
            <w:r>
              <w:rPr>
                <w:rFonts w:hint="default" w:ascii="Times New Roman" w:hAnsi="Times New Roman" w:cs="Times New Roman"/>
                <w:color w:val="auto"/>
                <w:kern w:val="0"/>
                <w:sz w:val="24"/>
                <w:highlight w:val="none"/>
                <w:lang w:val="en-US" w:eastAsia="zh-CN" w:bidi="ar"/>
              </w:rPr>
              <w:t>2.33</w:t>
            </w:r>
            <w:r>
              <w:rPr>
                <w:rFonts w:hint="default" w:ascii="Times New Roman" w:hAnsi="Times New Roman" w:cs="Times New Roman"/>
                <w:color w:val="auto"/>
                <w:kern w:val="0"/>
                <w:sz w:val="24"/>
                <w:highlight w:val="none"/>
                <w:lang w:bidi="ar"/>
              </w:rPr>
              <w:t>mg/</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kern w:val="0"/>
                <w:sz w:val="24"/>
                <w:highlight w:val="none"/>
                <w:lang w:bidi="ar"/>
              </w:rPr>
              <w:t>；二甲苯</w:t>
            </w:r>
            <w:r>
              <w:rPr>
                <w:rFonts w:hint="default" w:ascii="Times New Roman" w:hAnsi="Times New Roman" w:cs="Times New Roman"/>
                <w:color w:val="auto"/>
                <w:sz w:val="24"/>
                <w:highlight w:val="none"/>
              </w:rPr>
              <w:t>的排放浓度为</w:t>
            </w:r>
            <w:r>
              <w:rPr>
                <w:rFonts w:hint="default" w:ascii="Times New Roman" w:hAnsi="Times New Roman" w:cs="Times New Roman"/>
                <w:color w:val="auto"/>
                <w:kern w:val="0"/>
                <w:sz w:val="24"/>
                <w:highlight w:val="none"/>
                <w:lang w:val="en-US" w:eastAsia="zh-CN" w:bidi="ar"/>
              </w:rPr>
              <w:t>1.50</w:t>
            </w:r>
            <w:r>
              <w:rPr>
                <w:rFonts w:hint="default" w:ascii="Times New Roman" w:hAnsi="Times New Roman" w:cs="Times New Roman"/>
                <w:color w:val="auto"/>
                <w:kern w:val="0"/>
                <w:sz w:val="24"/>
                <w:highlight w:val="none"/>
                <w:lang w:bidi="ar"/>
              </w:rPr>
              <w:t>mg/</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kern w:val="0"/>
                <w:sz w:val="24"/>
                <w:highlight w:val="none"/>
                <w:lang w:bidi="ar"/>
              </w:rPr>
              <w:t>；</w:t>
            </w:r>
            <w:r>
              <w:rPr>
                <w:rFonts w:hint="default" w:ascii="Times New Roman" w:hAnsi="Times New Roman" w:cs="Times New Roman"/>
                <w:color w:val="auto"/>
                <w:sz w:val="24"/>
                <w:highlight w:val="none"/>
              </w:rPr>
              <w:t>小于排放标准要求</w:t>
            </w:r>
            <w:r>
              <w:rPr>
                <w:rFonts w:hint="default" w:ascii="Times New Roman" w:hAnsi="Times New Roman" w:cs="Times New Roman"/>
                <w:color w:val="auto"/>
                <w:kern w:val="0"/>
                <w:sz w:val="24"/>
                <w:highlight w:val="none"/>
                <w:lang w:bidi="ar"/>
              </w:rPr>
              <w:t>，符合要求。</w:t>
            </w:r>
          </w:p>
          <w:p w14:paraId="06F41CEC">
            <w:pPr>
              <w:adjustRightInd w:val="0"/>
              <w:snapToGrid w:val="0"/>
              <w:spacing w:before="240" w:beforeLines="100" w:line="360" w:lineRule="auto"/>
              <w:ind w:firstLine="442" w:firstLineChars="200"/>
              <w:rPr>
                <w:rFonts w:hint="default" w:ascii="Times New Roman" w:hAnsi="Times New Roman" w:cs="Times New Roman"/>
                <w:b/>
                <w:bCs/>
                <w:color w:val="auto"/>
                <w:spacing w:val="-10"/>
                <w:sz w:val="24"/>
                <w:highlight w:val="none"/>
              </w:rPr>
            </w:pPr>
            <w:r>
              <w:rPr>
                <w:rFonts w:hint="default" w:ascii="Times New Roman" w:hAnsi="Times New Roman" w:cs="Times New Roman"/>
                <w:b/>
                <w:bCs/>
                <w:color w:val="auto"/>
                <w:spacing w:val="-10"/>
                <w:sz w:val="24"/>
                <w:highlight w:val="none"/>
              </w:rPr>
              <w:t>（5）非正常工况</w:t>
            </w:r>
          </w:p>
          <w:p w14:paraId="5E06412E">
            <w:pPr>
              <w:adjustRightInd w:val="0"/>
              <w:snapToGrid w:val="0"/>
              <w:spacing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非正常排放是指生产过程中开停炉（机）、设备检修、工艺设备运转异常等非正常工况下的污染物排放，以及污染物排放控制措施达不到应有效率等情况下的排放。本次评价废气非正常工况排放主要考虑项目废气治理设施发生故障，即去除效率为0 的排放。废气处理设施出现故障不能正常运行时，应立即停产进行维修，避免对周围环境造成污染。废气非正常工况源强情况见下。</w:t>
            </w:r>
          </w:p>
          <w:p w14:paraId="30FF6B70">
            <w:pPr>
              <w:autoSpaceDE w:val="0"/>
              <w:autoSpaceDN w:val="0"/>
              <w:adjustRightIn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表4-3 废气非正常工况排放量核算表</w:t>
            </w:r>
          </w:p>
          <w:tbl>
            <w:tblPr>
              <w:tblStyle w:val="26"/>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891"/>
              <w:gridCol w:w="1284"/>
              <w:gridCol w:w="846"/>
              <w:gridCol w:w="1065"/>
              <w:gridCol w:w="1000"/>
              <w:gridCol w:w="834"/>
              <w:gridCol w:w="1016"/>
              <w:gridCol w:w="1432"/>
            </w:tblGrid>
            <w:tr w14:paraId="7684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426" w:type="dxa"/>
                  <w:vAlign w:val="center"/>
                </w:tcPr>
                <w:p w14:paraId="51C9667A">
                  <w:pPr>
                    <w:adjustRightInd w:val="0"/>
                    <w:snapToGrid w:val="0"/>
                    <w:jc w:val="center"/>
                    <w:rPr>
                      <w:rFonts w:hint="default" w:ascii="Times New Roman" w:hAnsi="Times New Roman" w:cs="Times New Roman"/>
                      <w:b/>
                      <w:color w:val="auto"/>
                      <w:spacing w:val="-10"/>
                      <w:szCs w:val="21"/>
                      <w:highlight w:val="none"/>
                    </w:rPr>
                  </w:pPr>
                  <w:r>
                    <w:rPr>
                      <w:rFonts w:hint="default" w:ascii="Times New Roman" w:hAnsi="Times New Roman" w:cs="Times New Roman"/>
                      <w:b/>
                      <w:color w:val="auto"/>
                      <w:spacing w:val="-10"/>
                      <w:szCs w:val="21"/>
                      <w:highlight w:val="none"/>
                    </w:rPr>
                    <w:t>序号</w:t>
                  </w:r>
                </w:p>
              </w:tc>
              <w:tc>
                <w:tcPr>
                  <w:tcW w:w="891" w:type="dxa"/>
                  <w:vAlign w:val="center"/>
                </w:tcPr>
                <w:p w14:paraId="366D3867">
                  <w:pPr>
                    <w:adjustRightInd w:val="0"/>
                    <w:snapToGrid w:val="0"/>
                    <w:jc w:val="center"/>
                    <w:rPr>
                      <w:rFonts w:hint="default" w:ascii="Times New Roman" w:hAnsi="Times New Roman" w:cs="Times New Roman"/>
                      <w:b/>
                      <w:color w:val="auto"/>
                      <w:spacing w:val="-10"/>
                      <w:szCs w:val="21"/>
                      <w:highlight w:val="none"/>
                    </w:rPr>
                  </w:pPr>
                  <w:r>
                    <w:rPr>
                      <w:rFonts w:hint="default" w:ascii="Times New Roman" w:hAnsi="Times New Roman" w:cs="Times New Roman"/>
                      <w:b/>
                      <w:color w:val="auto"/>
                      <w:spacing w:val="-10"/>
                      <w:szCs w:val="21"/>
                      <w:highlight w:val="none"/>
                    </w:rPr>
                    <w:t>污染源</w:t>
                  </w:r>
                </w:p>
              </w:tc>
              <w:tc>
                <w:tcPr>
                  <w:tcW w:w="1284" w:type="dxa"/>
                  <w:vAlign w:val="center"/>
                </w:tcPr>
                <w:p w14:paraId="17199858">
                  <w:pPr>
                    <w:adjustRightInd w:val="0"/>
                    <w:snapToGrid w:val="0"/>
                    <w:jc w:val="center"/>
                    <w:rPr>
                      <w:rFonts w:hint="default" w:ascii="Times New Roman" w:hAnsi="Times New Roman" w:cs="Times New Roman"/>
                      <w:b/>
                      <w:color w:val="auto"/>
                      <w:spacing w:val="-10"/>
                      <w:szCs w:val="21"/>
                      <w:highlight w:val="none"/>
                    </w:rPr>
                  </w:pPr>
                  <w:r>
                    <w:rPr>
                      <w:rFonts w:hint="default" w:ascii="Times New Roman" w:hAnsi="Times New Roman" w:cs="Times New Roman"/>
                      <w:b/>
                      <w:color w:val="auto"/>
                      <w:spacing w:val="-10"/>
                      <w:szCs w:val="21"/>
                      <w:highlight w:val="none"/>
                    </w:rPr>
                    <w:t>非正常排放原因</w:t>
                  </w:r>
                </w:p>
              </w:tc>
              <w:tc>
                <w:tcPr>
                  <w:tcW w:w="846" w:type="dxa"/>
                  <w:vAlign w:val="center"/>
                </w:tcPr>
                <w:p w14:paraId="4BF6220A">
                  <w:pPr>
                    <w:adjustRightInd w:val="0"/>
                    <w:snapToGrid w:val="0"/>
                    <w:jc w:val="center"/>
                    <w:rPr>
                      <w:rFonts w:hint="default" w:ascii="Times New Roman" w:hAnsi="Times New Roman" w:cs="Times New Roman"/>
                      <w:b/>
                      <w:color w:val="auto"/>
                      <w:spacing w:val="-10"/>
                      <w:szCs w:val="21"/>
                      <w:highlight w:val="none"/>
                    </w:rPr>
                  </w:pPr>
                  <w:r>
                    <w:rPr>
                      <w:rFonts w:hint="default" w:ascii="Times New Roman" w:hAnsi="Times New Roman" w:cs="Times New Roman"/>
                      <w:b/>
                      <w:color w:val="auto"/>
                      <w:spacing w:val="-10"/>
                      <w:szCs w:val="21"/>
                      <w:highlight w:val="none"/>
                    </w:rPr>
                    <w:t>污染物</w:t>
                  </w:r>
                </w:p>
              </w:tc>
              <w:tc>
                <w:tcPr>
                  <w:tcW w:w="1065" w:type="dxa"/>
                  <w:vAlign w:val="center"/>
                </w:tcPr>
                <w:p w14:paraId="3C84AAB5">
                  <w:pPr>
                    <w:adjustRightInd w:val="0"/>
                    <w:snapToGrid w:val="0"/>
                    <w:jc w:val="center"/>
                    <w:rPr>
                      <w:rFonts w:hint="default" w:ascii="Times New Roman" w:hAnsi="Times New Roman" w:cs="Times New Roman"/>
                      <w:b/>
                      <w:color w:val="auto"/>
                      <w:spacing w:val="-10"/>
                      <w:szCs w:val="21"/>
                      <w:highlight w:val="none"/>
                    </w:rPr>
                  </w:pPr>
                  <w:r>
                    <w:rPr>
                      <w:rFonts w:hint="default" w:ascii="Times New Roman" w:hAnsi="Times New Roman" w:cs="Times New Roman"/>
                      <w:b/>
                      <w:color w:val="auto"/>
                      <w:spacing w:val="-10"/>
                      <w:szCs w:val="21"/>
                      <w:highlight w:val="none"/>
                    </w:rPr>
                    <w:t>非正常排放浓度（mg/m</w:t>
                  </w:r>
                  <w:r>
                    <w:rPr>
                      <w:rFonts w:hint="default" w:ascii="Times New Roman" w:hAnsi="Times New Roman" w:cs="Times New Roman"/>
                      <w:b/>
                      <w:color w:val="auto"/>
                      <w:spacing w:val="-10"/>
                      <w:szCs w:val="21"/>
                      <w:highlight w:val="none"/>
                      <w:vertAlign w:val="superscript"/>
                    </w:rPr>
                    <w:t>3</w:t>
                  </w:r>
                  <w:r>
                    <w:rPr>
                      <w:rFonts w:hint="default" w:ascii="Times New Roman" w:hAnsi="Times New Roman" w:cs="Times New Roman"/>
                      <w:b/>
                      <w:color w:val="auto"/>
                      <w:spacing w:val="-10"/>
                      <w:szCs w:val="21"/>
                      <w:highlight w:val="none"/>
                    </w:rPr>
                    <w:t>）</w:t>
                  </w:r>
                </w:p>
              </w:tc>
              <w:tc>
                <w:tcPr>
                  <w:tcW w:w="1000" w:type="dxa"/>
                  <w:vAlign w:val="center"/>
                </w:tcPr>
                <w:p w14:paraId="4895A9C3">
                  <w:pPr>
                    <w:adjustRightInd w:val="0"/>
                    <w:snapToGrid w:val="0"/>
                    <w:jc w:val="center"/>
                    <w:rPr>
                      <w:rFonts w:hint="default" w:ascii="Times New Roman" w:hAnsi="Times New Roman" w:cs="Times New Roman"/>
                      <w:b/>
                      <w:color w:val="auto"/>
                      <w:spacing w:val="-10"/>
                      <w:szCs w:val="21"/>
                      <w:highlight w:val="none"/>
                    </w:rPr>
                  </w:pPr>
                  <w:r>
                    <w:rPr>
                      <w:rFonts w:hint="default" w:ascii="Times New Roman" w:hAnsi="Times New Roman" w:cs="Times New Roman"/>
                      <w:b/>
                      <w:color w:val="auto"/>
                      <w:spacing w:val="-10"/>
                      <w:szCs w:val="21"/>
                      <w:highlight w:val="none"/>
                    </w:rPr>
                    <w:t>非正常排放速率（kg/h）</w:t>
                  </w:r>
                </w:p>
              </w:tc>
              <w:tc>
                <w:tcPr>
                  <w:tcW w:w="834" w:type="dxa"/>
                  <w:vAlign w:val="center"/>
                </w:tcPr>
                <w:p w14:paraId="309E66AC">
                  <w:pPr>
                    <w:adjustRightInd w:val="0"/>
                    <w:snapToGrid w:val="0"/>
                    <w:jc w:val="center"/>
                    <w:rPr>
                      <w:rFonts w:hint="default" w:ascii="Times New Roman" w:hAnsi="Times New Roman" w:cs="Times New Roman"/>
                      <w:b/>
                      <w:color w:val="auto"/>
                      <w:spacing w:val="-10"/>
                      <w:szCs w:val="21"/>
                      <w:highlight w:val="none"/>
                    </w:rPr>
                  </w:pPr>
                  <w:r>
                    <w:rPr>
                      <w:rFonts w:hint="default" w:ascii="Times New Roman" w:hAnsi="Times New Roman" w:cs="Times New Roman"/>
                      <w:b/>
                      <w:color w:val="auto"/>
                      <w:spacing w:val="-10"/>
                      <w:szCs w:val="21"/>
                      <w:highlight w:val="none"/>
                    </w:rPr>
                    <w:t>单次持续时间（h）</w:t>
                  </w:r>
                </w:p>
              </w:tc>
              <w:tc>
                <w:tcPr>
                  <w:tcW w:w="1016" w:type="dxa"/>
                  <w:vAlign w:val="center"/>
                </w:tcPr>
                <w:p w14:paraId="47D59D3D">
                  <w:pPr>
                    <w:adjustRightInd w:val="0"/>
                    <w:snapToGrid w:val="0"/>
                    <w:jc w:val="center"/>
                    <w:rPr>
                      <w:rFonts w:hint="default" w:ascii="Times New Roman" w:hAnsi="Times New Roman" w:cs="Times New Roman"/>
                      <w:b/>
                      <w:color w:val="auto"/>
                      <w:spacing w:val="-10"/>
                      <w:szCs w:val="21"/>
                      <w:highlight w:val="none"/>
                    </w:rPr>
                  </w:pPr>
                  <w:r>
                    <w:rPr>
                      <w:rFonts w:hint="default" w:ascii="Times New Roman" w:hAnsi="Times New Roman" w:cs="Times New Roman"/>
                      <w:b/>
                      <w:color w:val="auto"/>
                      <w:spacing w:val="-10"/>
                      <w:szCs w:val="21"/>
                      <w:highlight w:val="none"/>
                    </w:rPr>
                    <w:t>年发生频次（次）</w:t>
                  </w:r>
                </w:p>
              </w:tc>
              <w:tc>
                <w:tcPr>
                  <w:tcW w:w="1432" w:type="dxa"/>
                  <w:vAlign w:val="center"/>
                </w:tcPr>
                <w:p w14:paraId="68FE154F">
                  <w:pPr>
                    <w:adjustRightInd w:val="0"/>
                    <w:snapToGrid w:val="0"/>
                    <w:jc w:val="center"/>
                    <w:rPr>
                      <w:rFonts w:hint="default" w:ascii="Times New Roman" w:hAnsi="Times New Roman" w:cs="Times New Roman"/>
                      <w:b/>
                      <w:color w:val="auto"/>
                      <w:spacing w:val="-10"/>
                      <w:szCs w:val="21"/>
                      <w:highlight w:val="none"/>
                    </w:rPr>
                  </w:pPr>
                  <w:r>
                    <w:rPr>
                      <w:rFonts w:hint="default" w:ascii="Times New Roman" w:hAnsi="Times New Roman" w:cs="Times New Roman"/>
                      <w:b/>
                      <w:color w:val="auto"/>
                      <w:spacing w:val="-10"/>
                      <w:szCs w:val="21"/>
                      <w:highlight w:val="none"/>
                    </w:rPr>
                    <w:t>应对措施</w:t>
                  </w:r>
                </w:p>
              </w:tc>
            </w:tr>
            <w:tr w14:paraId="4D96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426" w:type="dxa"/>
                  <w:vMerge w:val="restart"/>
                  <w:vAlign w:val="center"/>
                </w:tcPr>
                <w:p w14:paraId="4FFC0CFD">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1</w:t>
                  </w:r>
                </w:p>
              </w:tc>
              <w:tc>
                <w:tcPr>
                  <w:tcW w:w="891" w:type="dxa"/>
                  <w:vMerge w:val="restart"/>
                  <w:vAlign w:val="center"/>
                </w:tcPr>
                <w:p w14:paraId="138B3555">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排气筒DA005</w:t>
                  </w:r>
                </w:p>
              </w:tc>
              <w:tc>
                <w:tcPr>
                  <w:tcW w:w="1284" w:type="dxa"/>
                  <w:vMerge w:val="restart"/>
                  <w:vAlign w:val="center"/>
                </w:tcPr>
                <w:p w14:paraId="5E89B52D">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末端废气处理设施故障、废气直排</w:t>
                  </w:r>
                </w:p>
              </w:tc>
              <w:tc>
                <w:tcPr>
                  <w:tcW w:w="846" w:type="dxa"/>
                  <w:vAlign w:val="center"/>
                </w:tcPr>
                <w:p w14:paraId="63F85B22">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颗粒物</w:t>
                  </w:r>
                </w:p>
              </w:tc>
              <w:tc>
                <w:tcPr>
                  <w:tcW w:w="1065" w:type="dxa"/>
                  <w:vAlign w:val="center"/>
                </w:tcPr>
                <w:p w14:paraId="49CD14BF">
                  <w:pPr>
                    <w:adjustRightInd w:val="0"/>
                    <w:snapToGrid w:val="0"/>
                    <w:jc w:val="center"/>
                    <w:rPr>
                      <w:rFonts w:hint="default" w:ascii="Times New Roman" w:hAnsi="Times New Roman" w:eastAsia="宋体" w:cs="Times New Roman"/>
                      <w:bCs/>
                      <w:color w:val="auto"/>
                      <w:spacing w:val="-10"/>
                      <w:szCs w:val="21"/>
                      <w:highlight w:val="none"/>
                      <w:lang w:val="en-US" w:eastAsia="zh-CN"/>
                    </w:rPr>
                  </w:pPr>
                  <w:r>
                    <w:rPr>
                      <w:rFonts w:hint="default" w:ascii="Times New Roman" w:hAnsi="Times New Roman" w:cs="Times New Roman"/>
                      <w:color w:val="auto"/>
                      <w:kern w:val="0"/>
                      <w:szCs w:val="21"/>
                      <w:highlight w:val="none"/>
                      <w:lang w:val="en-US" w:eastAsia="zh-CN" w:bidi="ar"/>
                    </w:rPr>
                    <w:t>20.51</w:t>
                  </w:r>
                </w:p>
              </w:tc>
              <w:tc>
                <w:tcPr>
                  <w:tcW w:w="1000" w:type="dxa"/>
                  <w:vAlign w:val="center"/>
                </w:tcPr>
                <w:p w14:paraId="5BA1C4B8">
                  <w:pPr>
                    <w:adjustRightInd w:val="0"/>
                    <w:snapToGrid w:val="0"/>
                    <w:jc w:val="center"/>
                    <w:rPr>
                      <w:rFonts w:hint="default" w:ascii="Times New Roman" w:hAnsi="Times New Roman" w:eastAsia="宋体" w:cs="Times New Roman"/>
                      <w:bCs/>
                      <w:color w:val="auto"/>
                      <w:spacing w:val="-10"/>
                      <w:szCs w:val="21"/>
                      <w:highlight w:val="none"/>
                      <w:lang w:val="en-US" w:eastAsia="zh-CN"/>
                    </w:rPr>
                  </w:pPr>
                  <w:r>
                    <w:rPr>
                      <w:rFonts w:hint="default" w:ascii="Times New Roman" w:hAnsi="Times New Roman" w:cs="Times New Roman"/>
                      <w:color w:val="auto"/>
                      <w:kern w:val="0"/>
                      <w:szCs w:val="21"/>
                      <w:highlight w:val="none"/>
                      <w:lang w:bidi="ar"/>
                    </w:rPr>
                    <w:t>0.</w:t>
                  </w:r>
                  <w:r>
                    <w:rPr>
                      <w:rFonts w:hint="default" w:ascii="Times New Roman" w:hAnsi="Times New Roman" w:cs="Times New Roman"/>
                      <w:color w:val="auto"/>
                      <w:kern w:val="0"/>
                      <w:szCs w:val="21"/>
                      <w:highlight w:val="none"/>
                      <w:lang w:val="en-US" w:eastAsia="zh-CN" w:bidi="ar"/>
                    </w:rPr>
                    <w:t>685</w:t>
                  </w:r>
                </w:p>
              </w:tc>
              <w:tc>
                <w:tcPr>
                  <w:tcW w:w="834" w:type="dxa"/>
                  <w:vMerge w:val="restart"/>
                  <w:vAlign w:val="center"/>
                </w:tcPr>
                <w:p w14:paraId="68049ECF">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0.5</w:t>
                  </w:r>
                </w:p>
              </w:tc>
              <w:tc>
                <w:tcPr>
                  <w:tcW w:w="1016" w:type="dxa"/>
                  <w:vMerge w:val="restart"/>
                  <w:vAlign w:val="center"/>
                </w:tcPr>
                <w:p w14:paraId="144D4E7B">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1</w:t>
                  </w:r>
                </w:p>
              </w:tc>
              <w:tc>
                <w:tcPr>
                  <w:tcW w:w="1432" w:type="dxa"/>
                  <w:vMerge w:val="restart"/>
                  <w:vAlign w:val="center"/>
                </w:tcPr>
                <w:p w14:paraId="74C89202">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立即停止生产，关闭排放阀，进行废气治理设施检修，待恢复后进行生产</w:t>
                  </w:r>
                </w:p>
              </w:tc>
            </w:tr>
            <w:tr w14:paraId="6D6B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426" w:type="dxa"/>
                  <w:vMerge w:val="continue"/>
                  <w:vAlign w:val="center"/>
                </w:tcPr>
                <w:p w14:paraId="186CDE6C">
                  <w:pPr>
                    <w:adjustRightInd w:val="0"/>
                    <w:snapToGrid w:val="0"/>
                    <w:jc w:val="center"/>
                    <w:rPr>
                      <w:rFonts w:hint="default" w:ascii="Times New Roman" w:hAnsi="Times New Roman" w:cs="Times New Roman"/>
                      <w:bCs/>
                      <w:color w:val="auto"/>
                      <w:spacing w:val="-10"/>
                      <w:szCs w:val="21"/>
                      <w:highlight w:val="none"/>
                    </w:rPr>
                  </w:pPr>
                </w:p>
              </w:tc>
              <w:tc>
                <w:tcPr>
                  <w:tcW w:w="891" w:type="dxa"/>
                  <w:vMerge w:val="continue"/>
                  <w:vAlign w:val="center"/>
                </w:tcPr>
                <w:p w14:paraId="239D923A">
                  <w:pPr>
                    <w:adjustRightInd w:val="0"/>
                    <w:snapToGrid w:val="0"/>
                    <w:jc w:val="center"/>
                    <w:rPr>
                      <w:rFonts w:hint="default" w:ascii="Times New Roman" w:hAnsi="Times New Roman" w:cs="Times New Roman"/>
                      <w:bCs/>
                      <w:color w:val="auto"/>
                      <w:spacing w:val="-10"/>
                      <w:szCs w:val="21"/>
                      <w:highlight w:val="none"/>
                    </w:rPr>
                  </w:pPr>
                </w:p>
              </w:tc>
              <w:tc>
                <w:tcPr>
                  <w:tcW w:w="1284" w:type="dxa"/>
                  <w:vMerge w:val="continue"/>
                  <w:vAlign w:val="center"/>
                </w:tcPr>
                <w:p w14:paraId="6EFF8F5D">
                  <w:pPr>
                    <w:adjustRightInd w:val="0"/>
                    <w:snapToGrid w:val="0"/>
                    <w:jc w:val="center"/>
                    <w:rPr>
                      <w:rFonts w:hint="default" w:ascii="Times New Roman" w:hAnsi="Times New Roman" w:cs="Times New Roman"/>
                      <w:bCs/>
                      <w:color w:val="auto"/>
                      <w:spacing w:val="-10"/>
                      <w:szCs w:val="21"/>
                      <w:highlight w:val="none"/>
                    </w:rPr>
                  </w:pPr>
                </w:p>
              </w:tc>
              <w:tc>
                <w:tcPr>
                  <w:tcW w:w="846" w:type="dxa"/>
                  <w:vAlign w:val="center"/>
                </w:tcPr>
                <w:p w14:paraId="5D2BC9E3">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TVOC</w:t>
                  </w:r>
                </w:p>
              </w:tc>
              <w:tc>
                <w:tcPr>
                  <w:tcW w:w="1065" w:type="dxa"/>
                  <w:vAlign w:val="center"/>
                </w:tcPr>
                <w:p w14:paraId="73ECE0E7">
                  <w:pPr>
                    <w:adjustRightInd w:val="0"/>
                    <w:snapToGrid w:val="0"/>
                    <w:jc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cs="Times New Roman"/>
                      <w:color w:val="auto"/>
                      <w:kern w:val="0"/>
                      <w:szCs w:val="21"/>
                      <w:highlight w:val="none"/>
                      <w:lang w:val="en-US" w:eastAsia="zh-CN" w:bidi="ar"/>
                    </w:rPr>
                    <w:t>18.99</w:t>
                  </w:r>
                </w:p>
              </w:tc>
              <w:tc>
                <w:tcPr>
                  <w:tcW w:w="1000" w:type="dxa"/>
                  <w:vAlign w:val="center"/>
                </w:tcPr>
                <w:p w14:paraId="617CFD25">
                  <w:pPr>
                    <w:adjustRightInd w:val="0"/>
                    <w:snapToGrid w:val="0"/>
                    <w:jc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cs="Times New Roman"/>
                      <w:color w:val="auto"/>
                      <w:kern w:val="0"/>
                      <w:szCs w:val="21"/>
                      <w:highlight w:val="none"/>
                      <w:lang w:bidi="ar"/>
                    </w:rPr>
                    <w:t>0.</w:t>
                  </w:r>
                  <w:r>
                    <w:rPr>
                      <w:rFonts w:hint="default" w:ascii="Times New Roman" w:hAnsi="Times New Roman" w:cs="Times New Roman"/>
                      <w:color w:val="auto"/>
                      <w:kern w:val="0"/>
                      <w:szCs w:val="21"/>
                      <w:highlight w:val="none"/>
                      <w:lang w:val="en-US" w:eastAsia="zh-CN" w:bidi="ar"/>
                    </w:rPr>
                    <w:t>634</w:t>
                  </w:r>
                </w:p>
              </w:tc>
              <w:tc>
                <w:tcPr>
                  <w:tcW w:w="834" w:type="dxa"/>
                  <w:vMerge w:val="continue"/>
                  <w:vAlign w:val="center"/>
                </w:tcPr>
                <w:p w14:paraId="13085EC5">
                  <w:pPr>
                    <w:adjustRightInd w:val="0"/>
                    <w:snapToGrid w:val="0"/>
                    <w:jc w:val="center"/>
                    <w:rPr>
                      <w:rFonts w:hint="default" w:ascii="Times New Roman" w:hAnsi="Times New Roman" w:cs="Times New Roman"/>
                      <w:bCs/>
                      <w:color w:val="auto"/>
                      <w:spacing w:val="-10"/>
                      <w:szCs w:val="21"/>
                      <w:highlight w:val="none"/>
                    </w:rPr>
                  </w:pPr>
                </w:p>
              </w:tc>
              <w:tc>
                <w:tcPr>
                  <w:tcW w:w="1016" w:type="dxa"/>
                  <w:vMerge w:val="continue"/>
                  <w:vAlign w:val="center"/>
                </w:tcPr>
                <w:p w14:paraId="43285560">
                  <w:pPr>
                    <w:adjustRightInd w:val="0"/>
                    <w:snapToGrid w:val="0"/>
                    <w:jc w:val="center"/>
                    <w:rPr>
                      <w:rFonts w:hint="default" w:ascii="Times New Roman" w:hAnsi="Times New Roman" w:cs="Times New Roman"/>
                      <w:bCs/>
                      <w:color w:val="auto"/>
                      <w:spacing w:val="-10"/>
                      <w:szCs w:val="21"/>
                      <w:highlight w:val="none"/>
                    </w:rPr>
                  </w:pPr>
                </w:p>
              </w:tc>
              <w:tc>
                <w:tcPr>
                  <w:tcW w:w="1432" w:type="dxa"/>
                  <w:vMerge w:val="continue"/>
                  <w:vAlign w:val="center"/>
                </w:tcPr>
                <w:p w14:paraId="7D602B59">
                  <w:pPr>
                    <w:adjustRightInd w:val="0"/>
                    <w:snapToGrid w:val="0"/>
                    <w:jc w:val="center"/>
                    <w:rPr>
                      <w:rFonts w:hint="default" w:ascii="Times New Roman" w:hAnsi="Times New Roman" w:cs="Times New Roman"/>
                      <w:bCs/>
                      <w:color w:val="auto"/>
                      <w:spacing w:val="-10"/>
                      <w:szCs w:val="21"/>
                      <w:highlight w:val="none"/>
                    </w:rPr>
                  </w:pPr>
                </w:p>
              </w:tc>
            </w:tr>
            <w:tr w14:paraId="6FDB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426" w:type="dxa"/>
                  <w:vMerge w:val="continue"/>
                  <w:vAlign w:val="center"/>
                </w:tcPr>
                <w:p w14:paraId="60D444A8">
                  <w:pPr>
                    <w:adjustRightInd w:val="0"/>
                    <w:snapToGrid w:val="0"/>
                    <w:jc w:val="center"/>
                    <w:rPr>
                      <w:rFonts w:hint="default" w:ascii="Times New Roman" w:hAnsi="Times New Roman" w:cs="Times New Roman"/>
                      <w:bCs/>
                      <w:color w:val="auto"/>
                      <w:spacing w:val="-10"/>
                      <w:szCs w:val="21"/>
                      <w:highlight w:val="none"/>
                    </w:rPr>
                  </w:pPr>
                </w:p>
              </w:tc>
              <w:tc>
                <w:tcPr>
                  <w:tcW w:w="891" w:type="dxa"/>
                  <w:vMerge w:val="continue"/>
                  <w:vAlign w:val="center"/>
                </w:tcPr>
                <w:p w14:paraId="4A5ACD27">
                  <w:pPr>
                    <w:adjustRightInd w:val="0"/>
                    <w:snapToGrid w:val="0"/>
                    <w:jc w:val="center"/>
                    <w:rPr>
                      <w:rFonts w:hint="default" w:ascii="Times New Roman" w:hAnsi="Times New Roman" w:cs="Times New Roman"/>
                      <w:bCs/>
                      <w:color w:val="auto"/>
                      <w:spacing w:val="-10"/>
                      <w:szCs w:val="21"/>
                      <w:highlight w:val="none"/>
                    </w:rPr>
                  </w:pPr>
                </w:p>
              </w:tc>
              <w:tc>
                <w:tcPr>
                  <w:tcW w:w="1284" w:type="dxa"/>
                  <w:vMerge w:val="continue"/>
                  <w:vAlign w:val="center"/>
                </w:tcPr>
                <w:p w14:paraId="187D2F21">
                  <w:pPr>
                    <w:adjustRightInd w:val="0"/>
                    <w:snapToGrid w:val="0"/>
                    <w:jc w:val="center"/>
                    <w:rPr>
                      <w:rFonts w:hint="default" w:ascii="Times New Roman" w:hAnsi="Times New Roman" w:cs="Times New Roman"/>
                      <w:bCs/>
                      <w:color w:val="auto"/>
                      <w:spacing w:val="-10"/>
                      <w:szCs w:val="21"/>
                      <w:highlight w:val="none"/>
                    </w:rPr>
                  </w:pPr>
                </w:p>
              </w:tc>
              <w:tc>
                <w:tcPr>
                  <w:tcW w:w="846" w:type="dxa"/>
                  <w:vAlign w:val="center"/>
                </w:tcPr>
                <w:p w14:paraId="1585D64A">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二甲苯</w:t>
                  </w:r>
                </w:p>
              </w:tc>
              <w:tc>
                <w:tcPr>
                  <w:tcW w:w="1065" w:type="dxa"/>
                  <w:vAlign w:val="center"/>
                </w:tcPr>
                <w:p w14:paraId="4A7A8B6E">
                  <w:pPr>
                    <w:adjustRightInd w:val="0"/>
                    <w:snapToGrid w:val="0"/>
                    <w:jc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cs="Times New Roman"/>
                      <w:color w:val="auto"/>
                      <w:kern w:val="0"/>
                      <w:szCs w:val="21"/>
                      <w:highlight w:val="none"/>
                      <w:lang w:val="en-US" w:eastAsia="zh-CN" w:bidi="ar"/>
                    </w:rPr>
                    <w:t>12.25</w:t>
                  </w:r>
                </w:p>
              </w:tc>
              <w:tc>
                <w:tcPr>
                  <w:tcW w:w="1000" w:type="dxa"/>
                  <w:vAlign w:val="center"/>
                </w:tcPr>
                <w:p w14:paraId="5A43DDCA">
                  <w:pPr>
                    <w:adjustRightInd w:val="0"/>
                    <w:snapToGrid w:val="0"/>
                    <w:jc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cs="Times New Roman"/>
                      <w:color w:val="auto"/>
                      <w:kern w:val="0"/>
                      <w:szCs w:val="21"/>
                      <w:highlight w:val="none"/>
                      <w:lang w:bidi="ar"/>
                    </w:rPr>
                    <w:t>0.</w:t>
                  </w:r>
                  <w:r>
                    <w:rPr>
                      <w:rFonts w:hint="default" w:ascii="Times New Roman" w:hAnsi="Times New Roman" w:cs="Times New Roman"/>
                      <w:color w:val="auto"/>
                      <w:kern w:val="0"/>
                      <w:szCs w:val="21"/>
                      <w:highlight w:val="none"/>
                      <w:lang w:val="en-US" w:eastAsia="zh-CN" w:bidi="ar"/>
                    </w:rPr>
                    <w:t>409</w:t>
                  </w:r>
                </w:p>
              </w:tc>
              <w:tc>
                <w:tcPr>
                  <w:tcW w:w="834" w:type="dxa"/>
                  <w:vMerge w:val="continue"/>
                  <w:vAlign w:val="center"/>
                </w:tcPr>
                <w:p w14:paraId="78A07E9F">
                  <w:pPr>
                    <w:adjustRightInd w:val="0"/>
                    <w:snapToGrid w:val="0"/>
                    <w:jc w:val="center"/>
                    <w:rPr>
                      <w:rFonts w:hint="default" w:ascii="Times New Roman" w:hAnsi="Times New Roman" w:cs="Times New Roman"/>
                      <w:bCs/>
                      <w:color w:val="auto"/>
                      <w:spacing w:val="-10"/>
                      <w:szCs w:val="21"/>
                      <w:highlight w:val="none"/>
                    </w:rPr>
                  </w:pPr>
                </w:p>
              </w:tc>
              <w:tc>
                <w:tcPr>
                  <w:tcW w:w="1016" w:type="dxa"/>
                  <w:vMerge w:val="continue"/>
                  <w:vAlign w:val="center"/>
                </w:tcPr>
                <w:p w14:paraId="40269DB6">
                  <w:pPr>
                    <w:adjustRightInd w:val="0"/>
                    <w:snapToGrid w:val="0"/>
                    <w:jc w:val="center"/>
                    <w:rPr>
                      <w:rFonts w:hint="default" w:ascii="Times New Roman" w:hAnsi="Times New Roman" w:cs="Times New Roman"/>
                      <w:bCs/>
                      <w:color w:val="auto"/>
                      <w:spacing w:val="-10"/>
                      <w:szCs w:val="21"/>
                      <w:highlight w:val="none"/>
                    </w:rPr>
                  </w:pPr>
                </w:p>
              </w:tc>
              <w:tc>
                <w:tcPr>
                  <w:tcW w:w="1432" w:type="dxa"/>
                  <w:vMerge w:val="continue"/>
                  <w:vAlign w:val="center"/>
                </w:tcPr>
                <w:p w14:paraId="247D2403">
                  <w:pPr>
                    <w:adjustRightInd w:val="0"/>
                    <w:snapToGrid w:val="0"/>
                    <w:jc w:val="center"/>
                    <w:rPr>
                      <w:rFonts w:hint="default" w:ascii="Times New Roman" w:hAnsi="Times New Roman" w:cs="Times New Roman"/>
                      <w:bCs/>
                      <w:color w:val="auto"/>
                      <w:spacing w:val="-10"/>
                      <w:szCs w:val="21"/>
                      <w:highlight w:val="none"/>
                    </w:rPr>
                  </w:pPr>
                </w:p>
              </w:tc>
            </w:tr>
          </w:tbl>
          <w:p w14:paraId="4CFA4974">
            <w:pPr>
              <w:adjustRightInd w:val="0"/>
              <w:snapToGrid w:val="0"/>
              <w:spacing w:before="120" w:beforeLines="5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（6）废气统计</w:t>
            </w:r>
          </w:p>
          <w:p w14:paraId="38E0C314">
            <w:pPr>
              <w:pStyle w:val="23"/>
              <w:widowControl w:val="0"/>
              <w:spacing w:before="0" w:beforeAutospacing="0" w:after="0" w:afterAutospacing="0"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本项目排放口基本情况和大气污染物排放核算见下表：</w:t>
            </w:r>
          </w:p>
          <w:p w14:paraId="21A8AB3D">
            <w:pPr>
              <w:pStyle w:val="23"/>
              <w:widowControl w:val="0"/>
              <w:spacing w:before="0" w:beforeAutospacing="0" w:after="0" w:afterAutospacing="0" w:line="360" w:lineRule="auto"/>
              <w:jc w:val="center"/>
              <w:rPr>
                <w:rFonts w:hint="default" w:ascii="Times New Roman" w:hAnsi="Times New Roman" w:cs="Times New Roman"/>
                <w:b/>
                <w:color w:val="auto"/>
                <w:szCs w:val="24"/>
                <w:highlight w:val="none"/>
              </w:rPr>
            </w:pPr>
            <w:r>
              <w:rPr>
                <w:rFonts w:hint="default" w:ascii="Times New Roman" w:hAnsi="Times New Roman" w:cs="Times New Roman"/>
                <w:b/>
                <w:color w:val="auto"/>
                <w:szCs w:val="24"/>
                <w:highlight w:val="none"/>
              </w:rPr>
              <w:t>表4-4 本项目排放口基本情况</w:t>
            </w:r>
          </w:p>
          <w:tbl>
            <w:tblPr>
              <w:tblStyle w:val="26"/>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014"/>
              <w:gridCol w:w="733"/>
              <w:gridCol w:w="733"/>
              <w:gridCol w:w="866"/>
              <w:gridCol w:w="700"/>
              <w:gridCol w:w="911"/>
              <w:gridCol w:w="855"/>
              <w:gridCol w:w="718"/>
              <w:gridCol w:w="805"/>
              <w:gridCol w:w="624"/>
            </w:tblGrid>
            <w:tr w14:paraId="53FD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Merge w:val="restart"/>
                  <w:tcBorders>
                    <w:top w:val="single" w:color="auto" w:sz="4" w:space="0"/>
                    <w:left w:val="single" w:color="auto" w:sz="4" w:space="0"/>
                    <w:bottom w:val="single" w:color="auto" w:sz="4" w:space="0"/>
                    <w:right w:val="single" w:color="auto" w:sz="4" w:space="0"/>
                  </w:tcBorders>
                  <w:vAlign w:val="center"/>
                </w:tcPr>
                <w:p w14:paraId="5EBDF5E3">
                  <w:pPr>
                    <w:pStyle w:val="23"/>
                    <w:widowControl w:val="0"/>
                    <w:spacing w:before="0" w:beforeAutospacing="0" w:after="0" w:afterAutospacing="0" w:line="360" w:lineRule="auto"/>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编号</w:t>
                  </w:r>
                </w:p>
              </w:tc>
              <w:tc>
                <w:tcPr>
                  <w:tcW w:w="1014" w:type="dxa"/>
                  <w:vMerge w:val="restart"/>
                  <w:tcBorders>
                    <w:top w:val="single" w:color="auto" w:sz="4" w:space="0"/>
                    <w:left w:val="single" w:color="auto" w:sz="4" w:space="0"/>
                    <w:bottom w:val="single" w:color="auto" w:sz="4" w:space="0"/>
                    <w:right w:val="single" w:color="auto" w:sz="4" w:space="0"/>
                  </w:tcBorders>
                  <w:vAlign w:val="center"/>
                </w:tcPr>
                <w:p w14:paraId="388EDE2E">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排放源</w:t>
                  </w:r>
                </w:p>
              </w:tc>
              <w:tc>
                <w:tcPr>
                  <w:tcW w:w="1466" w:type="dxa"/>
                  <w:gridSpan w:val="2"/>
                  <w:tcBorders>
                    <w:top w:val="single" w:color="auto" w:sz="4" w:space="0"/>
                    <w:left w:val="single" w:color="auto" w:sz="4" w:space="0"/>
                    <w:bottom w:val="single" w:color="auto" w:sz="4" w:space="0"/>
                    <w:right w:val="single" w:color="auto" w:sz="4" w:space="0"/>
                  </w:tcBorders>
                  <w:vAlign w:val="center"/>
                </w:tcPr>
                <w:p w14:paraId="5BEE66F2">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排气筒底部中心坐标</w:t>
                  </w:r>
                </w:p>
              </w:tc>
              <w:tc>
                <w:tcPr>
                  <w:tcW w:w="866" w:type="dxa"/>
                  <w:vMerge w:val="restart"/>
                  <w:tcBorders>
                    <w:top w:val="single" w:color="auto" w:sz="4" w:space="0"/>
                    <w:left w:val="single" w:color="auto" w:sz="4" w:space="0"/>
                    <w:bottom w:val="single" w:color="auto" w:sz="4" w:space="0"/>
                    <w:right w:val="single" w:color="auto" w:sz="4" w:space="0"/>
                  </w:tcBorders>
                  <w:vAlign w:val="center"/>
                </w:tcPr>
                <w:p w14:paraId="63F042C1">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排放口类型</w:t>
                  </w:r>
                </w:p>
              </w:tc>
              <w:tc>
                <w:tcPr>
                  <w:tcW w:w="700" w:type="dxa"/>
                  <w:vMerge w:val="restart"/>
                  <w:tcBorders>
                    <w:top w:val="single" w:color="auto" w:sz="4" w:space="0"/>
                    <w:left w:val="single" w:color="auto" w:sz="4" w:space="0"/>
                    <w:bottom w:val="single" w:color="auto" w:sz="4" w:space="0"/>
                    <w:right w:val="single" w:color="auto" w:sz="4" w:space="0"/>
                  </w:tcBorders>
                  <w:vAlign w:val="center"/>
                </w:tcPr>
                <w:p w14:paraId="133DD516">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排气筒高度m</w:t>
                  </w:r>
                </w:p>
              </w:tc>
              <w:tc>
                <w:tcPr>
                  <w:tcW w:w="911" w:type="dxa"/>
                  <w:vMerge w:val="restart"/>
                  <w:tcBorders>
                    <w:top w:val="single" w:color="auto" w:sz="4" w:space="0"/>
                    <w:left w:val="single" w:color="auto" w:sz="4" w:space="0"/>
                    <w:bottom w:val="single" w:color="auto" w:sz="4" w:space="0"/>
                    <w:right w:val="single" w:color="auto" w:sz="4" w:space="0"/>
                  </w:tcBorders>
                  <w:vAlign w:val="center"/>
                </w:tcPr>
                <w:p w14:paraId="462460D8">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排气筒出气口内径m</w:t>
                  </w:r>
                </w:p>
              </w:tc>
              <w:tc>
                <w:tcPr>
                  <w:tcW w:w="855" w:type="dxa"/>
                  <w:vMerge w:val="restart"/>
                  <w:tcBorders>
                    <w:top w:val="single" w:color="auto" w:sz="4" w:space="0"/>
                    <w:left w:val="single" w:color="auto" w:sz="4" w:space="0"/>
                    <w:bottom w:val="single" w:color="auto" w:sz="4" w:space="0"/>
                    <w:right w:val="single" w:color="auto" w:sz="4" w:space="0"/>
                  </w:tcBorders>
                  <w:vAlign w:val="center"/>
                </w:tcPr>
                <w:p w14:paraId="7CA40C9E">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烟气流量m/s</w:t>
                  </w:r>
                </w:p>
              </w:tc>
              <w:tc>
                <w:tcPr>
                  <w:tcW w:w="718" w:type="dxa"/>
                  <w:vMerge w:val="restart"/>
                  <w:tcBorders>
                    <w:top w:val="single" w:color="auto" w:sz="4" w:space="0"/>
                    <w:left w:val="single" w:color="auto" w:sz="4" w:space="0"/>
                    <w:bottom w:val="single" w:color="auto" w:sz="4" w:space="0"/>
                    <w:right w:val="single" w:color="auto" w:sz="4" w:space="0"/>
                  </w:tcBorders>
                  <w:vAlign w:val="center"/>
                </w:tcPr>
                <w:p w14:paraId="3C84F48C">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烟气温度℃</w:t>
                  </w:r>
                </w:p>
              </w:tc>
              <w:tc>
                <w:tcPr>
                  <w:tcW w:w="805" w:type="dxa"/>
                  <w:vMerge w:val="restart"/>
                  <w:tcBorders>
                    <w:top w:val="single" w:color="auto" w:sz="4" w:space="0"/>
                    <w:left w:val="single" w:color="auto" w:sz="4" w:space="0"/>
                    <w:bottom w:val="single" w:color="auto" w:sz="4" w:space="0"/>
                    <w:right w:val="single" w:color="auto" w:sz="4" w:space="0"/>
                  </w:tcBorders>
                  <w:vAlign w:val="center"/>
                </w:tcPr>
                <w:p w14:paraId="53A66F1B">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年排放小时数h</w:t>
                  </w:r>
                </w:p>
              </w:tc>
              <w:tc>
                <w:tcPr>
                  <w:tcW w:w="624" w:type="dxa"/>
                  <w:vMerge w:val="restart"/>
                  <w:tcBorders>
                    <w:top w:val="single" w:color="auto" w:sz="4" w:space="0"/>
                    <w:left w:val="single" w:color="auto" w:sz="4" w:space="0"/>
                    <w:bottom w:val="single" w:color="auto" w:sz="4" w:space="0"/>
                    <w:right w:val="single" w:color="auto" w:sz="4" w:space="0"/>
                  </w:tcBorders>
                  <w:vAlign w:val="center"/>
                </w:tcPr>
                <w:p w14:paraId="33014D41">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排放工况</w:t>
                  </w:r>
                </w:p>
              </w:tc>
            </w:tr>
            <w:tr w14:paraId="46D4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14:paraId="401A5524">
                  <w:pPr>
                    <w:widowControl/>
                    <w:jc w:val="left"/>
                    <w:rPr>
                      <w:rFonts w:hint="default" w:ascii="Times New Roman" w:hAnsi="Times New Roman" w:cs="Times New Roman"/>
                      <w:color w:val="auto"/>
                      <w:kern w:val="0"/>
                      <w:sz w:val="18"/>
                      <w:szCs w:val="18"/>
                      <w:highlight w:val="none"/>
                    </w:rPr>
                  </w:pPr>
                </w:p>
              </w:tc>
              <w:tc>
                <w:tcPr>
                  <w:tcW w:w="1014" w:type="dxa"/>
                  <w:vMerge w:val="continue"/>
                  <w:tcBorders>
                    <w:top w:val="single" w:color="auto" w:sz="4" w:space="0"/>
                    <w:left w:val="single" w:color="auto" w:sz="4" w:space="0"/>
                    <w:bottom w:val="single" w:color="auto" w:sz="4" w:space="0"/>
                    <w:right w:val="single" w:color="auto" w:sz="4" w:space="0"/>
                  </w:tcBorders>
                  <w:vAlign w:val="center"/>
                </w:tcPr>
                <w:p w14:paraId="4D412E9A">
                  <w:pPr>
                    <w:widowControl/>
                    <w:jc w:val="left"/>
                    <w:rPr>
                      <w:rFonts w:hint="default" w:ascii="Times New Roman" w:hAnsi="Times New Roman" w:cs="Times New Roman"/>
                      <w:color w:val="auto"/>
                      <w:kern w:val="0"/>
                      <w:sz w:val="18"/>
                      <w:szCs w:val="18"/>
                      <w:highlight w:val="none"/>
                    </w:rPr>
                  </w:pPr>
                </w:p>
              </w:tc>
              <w:tc>
                <w:tcPr>
                  <w:tcW w:w="733" w:type="dxa"/>
                  <w:tcBorders>
                    <w:top w:val="single" w:color="auto" w:sz="4" w:space="0"/>
                    <w:left w:val="single" w:color="auto" w:sz="4" w:space="0"/>
                    <w:bottom w:val="single" w:color="auto" w:sz="4" w:space="0"/>
                    <w:right w:val="single" w:color="auto" w:sz="4" w:space="0"/>
                  </w:tcBorders>
                  <w:vAlign w:val="center"/>
                </w:tcPr>
                <w:p w14:paraId="58A5B2B2">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X</w:t>
                  </w:r>
                </w:p>
              </w:tc>
              <w:tc>
                <w:tcPr>
                  <w:tcW w:w="733" w:type="dxa"/>
                  <w:tcBorders>
                    <w:top w:val="single" w:color="auto" w:sz="4" w:space="0"/>
                    <w:left w:val="single" w:color="auto" w:sz="4" w:space="0"/>
                    <w:bottom w:val="single" w:color="auto" w:sz="4" w:space="0"/>
                    <w:right w:val="single" w:color="auto" w:sz="4" w:space="0"/>
                  </w:tcBorders>
                  <w:vAlign w:val="center"/>
                </w:tcPr>
                <w:p w14:paraId="67C52DF4">
                  <w:pPr>
                    <w:pStyle w:val="23"/>
                    <w:widowControl w:val="0"/>
                    <w:spacing w:before="0" w:beforeAutospacing="0" w:after="0" w:afterAutospacing="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Y</w:t>
                  </w:r>
                </w:p>
              </w:tc>
              <w:tc>
                <w:tcPr>
                  <w:tcW w:w="866" w:type="dxa"/>
                  <w:vMerge w:val="continue"/>
                  <w:tcBorders>
                    <w:top w:val="single" w:color="auto" w:sz="4" w:space="0"/>
                    <w:left w:val="single" w:color="auto" w:sz="4" w:space="0"/>
                    <w:bottom w:val="single" w:color="auto" w:sz="4" w:space="0"/>
                    <w:right w:val="single" w:color="auto" w:sz="4" w:space="0"/>
                  </w:tcBorders>
                  <w:vAlign w:val="center"/>
                </w:tcPr>
                <w:p w14:paraId="1280DAEF">
                  <w:pPr>
                    <w:widowControl/>
                    <w:jc w:val="left"/>
                    <w:rPr>
                      <w:rFonts w:hint="default" w:ascii="Times New Roman" w:hAnsi="Times New Roman" w:cs="Times New Roman"/>
                      <w:color w:val="auto"/>
                      <w:kern w:val="0"/>
                      <w:sz w:val="18"/>
                      <w:szCs w:val="18"/>
                      <w:highlight w:val="none"/>
                    </w:rPr>
                  </w:pPr>
                </w:p>
              </w:tc>
              <w:tc>
                <w:tcPr>
                  <w:tcW w:w="700" w:type="dxa"/>
                  <w:vMerge w:val="continue"/>
                  <w:tcBorders>
                    <w:top w:val="single" w:color="auto" w:sz="4" w:space="0"/>
                    <w:left w:val="single" w:color="auto" w:sz="4" w:space="0"/>
                    <w:bottom w:val="single" w:color="auto" w:sz="4" w:space="0"/>
                    <w:right w:val="single" w:color="auto" w:sz="4" w:space="0"/>
                  </w:tcBorders>
                  <w:vAlign w:val="center"/>
                </w:tcPr>
                <w:p w14:paraId="745BCEE0">
                  <w:pPr>
                    <w:widowControl/>
                    <w:jc w:val="left"/>
                    <w:rPr>
                      <w:rFonts w:hint="default" w:ascii="Times New Roman" w:hAnsi="Times New Roman" w:cs="Times New Roman"/>
                      <w:color w:val="auto"/>
                      <w:kern w:val="0"/>
                      <w:sz w:val="18"/>
                      <w:szCs w:val="18"/>
                      <w:highlight w:val="none"/>
                    </w:rPr>
                  </w:pPr>
                </w:p>
              </w:tc>
              <w:tc>
                <w:tcPr>
                  <w:tcW w:w="911" w:type="dxa"/>
                  <w:vMerge w:val="continue"/>
                  <w:tcBorders>
                    <w:top w:val="single" w:color="auto" w:sz="4" w:space="0"/>
                    <w:left w:val="single" w:color="auto" w:sz="4" w:space="0"/>
                    <w:bottom w:val="single" w:color="auto" w:sz="4" w:space="0"/>
                    <w:right w:val="single" w:color="auto" w:sz="4" w:space="0"/>
                  </w:tcBorders>
                  <w:vAlign w:val="center"/>
                </w:tcPr>
                <w:p w14:paraId="011C4F3B">
                  <w:pPr>
                    <w:widowControl/>
                    <w:jc w:val="left"/>
                    <w:rPr>
                      <w:rFonts w:hint="default" w:ascii="Times New Roman" w:hAnsi="Times New Roman" w:cs="Times New Roman"/>
                      <w:color w:val="auto"/>
                      <w:kern w:val="0"/>
                      <w:sz w:val="18"/>
                      <w:szCs w:val="18"/>
                      <w:highlight w:val="none"/>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14:paraId="3618349F">
                  <w:pPr>
                    <w:widowControl/>
                    <w:jc w:val="left"/>
                    <w:rPr>
                      <w:rFonts w:hint="default" w:ascii="Times New Roman" w:hAnsi="Times New Roman" w:cs="Times New Roman"/>
                      <w:color w:val="auto"/>
                      <w:kern w:val="0"/>
                      <w:sz w:val="18"/>
                      <w:szCs w:val="18"/>
                      <w:highlight w:val="none"/>
                    </w:rPr>
                  </w:pPr>
                </w:p>
              </w:tc>
              <w:tc>
                <w:tcPr>
                  <w:tcW w:w="718" w:type="dxa"/>
                  <w:vMerge w:val="continue"/>
                  <w:tcBorders>
                    <w:top w:val="single" w:color="auto" w:sz="4" w:space="0"/>
                    <w:left w:val="single" w:color="auto" w:sz="4" w:space="0"/>
                    <w:bottom w:val="single" w:color="auto" w:sz="4" w:space="0"/>
                    <w:right w:val="single" w:color="auto" w:sz="4" w:space="0"/>
                  </w:tcBorders>
                  <w:vAlign w:val="center"/>
                </w:tcPr>
                <w:p w14:paraId="59A7755A">
                  <w:pPr>
                    <w:widowControl/>
                    <w:jc w:val="left"/>
                    <w:rPr>
                      <w:rFonts w:hint="default" w:ascii="Times New Roman" w:hAnsi="Times New Roman" w:cs="Times New Roman"/>
                      <w:color w:val="auto"/>
                      <w:kern w:val="0"/>
                      <w:sz w:val="18"/>
                      <w:szCs w:val="18"/>
                      <w:highlight w:val="none"/>
                    </w:rPr>
                  </w:pPr>
                </w:p>
              </w:tc>
              <w:tc>
                <w:tcPr>
                  <w:tcW w:w="805" w:type="dxa"/>
                  <w:vMerge w:val="continue"/>
                  <w:tcBorders>
                    <w:top w:val="single" w:color="auto" w:sz="4" w:space="0"/>
                    <w:left w:val="single" w:color="auto" w:sz="4" w:space="0"/>
                    <w:bottom w:val="single" w:color="auto" w:sz="4" w:space="0"/>
                    <w:right w:val="single" w:color="auto" w:sz="4" w:space="0"/>
                  </w:tcBorders>
                  <w:vAlign w:val="center"/>
                </w:tcPr>
                <w:p w14:paraId="084DEED7">
                  <w:pPr>
                    <w:widowControl/>
                    <w:jc w:val="left"/>
                    <w:rPr>
                      <w:rFonts w:hint="default" w:ascii="Times New Roman" w:hAnsi="Times New Roman" w:cs="Times New Roman"/>
                      <w:color w:val="auto"/>
                      <w:kern w:val="0"/>
                      <w:sz w:val="18"/>
                      <w:szCs w:val="18"/>
                      <w:highlight w:val="none"/>
                    </w:rPr>
                  </w:pPr>
                </w:p>
              </w:tc>
              <w:tc>
                <w:tcPr>
                  <w:tcW w:w="624" w:type="dxa"/>
                  <w:vMerge w:val="continue"/>
                  <w:tcBorders>
                    <w:top w:val="single" w:color="auto" w:sz="4" w:space="0"/>
                    <w:left w:val="single" w:color="auto" w:sz="4" w:space="0"/>
                    <w:bottom w:val="single" w:color="auto" w:sz="4" w:space="0"/>
                    <w:right w:val="single" w:color="auto" w:sz="4" w:space="0"/>
                  </w:tcBorders>
                  <w:vAlign w:val="center"/>
                </w:tcPr>
                <w:p w14:paraId="30D06C39">
                  <w:pPr>
                    <w:widowControl/>
                    <w:jc w:val="left"/>
                    <w:rPr>
                      <w:rFonts w:hint="default" w:ascii="Times New Roman" w:hAnsi="Times New Roman" w:cs="Times New Roman"/>
                      <w:color w:val="auto"/>
                      <w:kern w:val="0"/>
                      <w:sz w:val="18"/>
                      <w:szCs w:val="18"/>
                      <w:highlight w:val="none"/>
                    </w:rPr>
                  </w:pPr>
                </w:p>
              </w:tc>
            </w:tr>
            <w:tr w14:paraId="3B80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tcBorders>
                    <w:top w:val="single" w:color="auto" w:sz="4" w:space="0"/>
                    <w:left w:val="single" w:color="auto" w:sz="4" w:space="0"/>
                    <w:bottom w:val="single" w:color="auto" w:sz="4" w:space="0"/>
                    <w:right w:val="single" w:color="auto" w:sz="4" w:space="0"/>
                  </w:tcBorders>
                  <w:vAlign w:val="center"/>
                </w:tcPr>
                <w:p w14:paraId="63B5E856">
                  <w:pPr>
                    <w:spacing w:line="360" w:lineRule="auto"/>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DA005</w:t>
                  </w:r>
                </w:p>
              </w:tc>
              <w:tc>
                <w:tcPr>
                  <w:tcW w:w="1014" w:type="dxa"/>
                  <w:tcBorders>
                    <w:top w:val="single" w:color="auto" w:sz="4" w:space="0"/>
                    <w:left w:val="single" w:color="auto" w:sz="4" w:space="0"/>
                    <w:bottom w:val="single" w:color="auto" w:sz="4" w:space="0"/>
                    <w:right w:val="single" w:color="auto" w:sz="4" w:space="0"/>
                  </w:tcBorders>
                  <w:vAlign w:val="center"/>
                </w:tcPr>
                <w:p w14:paraId="549F084D">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喷漆、烘烤、喷粉</w:t>
                  </w:r>
                </w:p>
              </w:tc>
              <w:tc>
                <w:tcPr>
                  <w:tcW w:w="733" w:type="dxa"/>
                  <w:tcBorders>
                    <w:top w:val="single" w:color="auto" w:sz="4" w:space="0"/>
                    <w:left w:val="single" w:color="auto" w:sz="4" w:space="0"/>
                    <w:bottom w:val="single" w:color="auto" w:sz="4" w:space="0"/>
                    <w:right w:val="single" w:color="auto" w:sz="4" w:space="0"/>
                  </w:tcBorders>
                  <w:vAlign w:val="center"/>
                </w:tcPr>
                <w:p w14:paraId="740E62BD">
                  <w:pPr>
                    <w:spacing w:line="360" w:lineRule="auto"/>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w:t>
                  </w:r>
                </w:p>
              </w:tc>
              <w:tc>
                <w:tcPr>
                  <w:tcW w:w="733" w:type="dxa"/>
                  <w:tcBorders>
                    <w:top w:val="single" w:color="auto" w:sz="4" w:space="0"/>
                    <w:left w:val="single" w:color="auto" w:sz="4" w:space="0"/>
                    <w:bottom w:val="single" w:color="auto" w:sz="4" w:space="0"/>
                    <w:right w:val="single" w:color="auto" w:sz="4" w:space="0"/>
                  </w:tcBorders>
                  <w:vAlign w:val="center"/>
                </w:tcPr>
                <w:p w14:paraId="66EED4A9">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w:t>
                  </w:r>
                </w:p>
              </w:tc>
              <w:tc>
                <w:tcPr>
                  <w:tcW w:w="866" w:type="dxa"/>
                  <w:tcBorders>
                    <w:top w:val="single" w:color="auto" w:sz="4" w:space="0"/>
                    <w:left w:val="single" w:color="auto" w:sz="4" w:space="0"/>
                    <w:bottom w:val="single" w:color="auto" w:sz="4" w:space="0"/>
                    <w:right w:val="single" w:color="auto" w:sz="4" w:space="0"/>
                  </w:tcBorders>
                  <w:vAlign w:val="center"/>
                </w:tcPr>
                <w:p w14:paraId="736135BA">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一般排放口</w:t>
                  </w:r>
                </w:p>
              </w:tc>
              <w:tc>
                <w:tcPr>
                  <w:tcW w:w="700" w:type="dxa"/>
                  <w:tcBorders>
                    <w:top w:val="single" w:color="auto" w:sz="4" w:space="0"/>
                    <w:left w:val="single" w:color="auto" w:sz="4" w:space="0"/>
                    <w:bottom w:val="single" w:color="auto" w:sz="4" w:space="0"/>
                    <w:right w:val="single" w:color="auto" w:sz="4" w:space="0"/>
                  </w:tcBorders>
                  <w:vAlign w:val="center"/>
                </w:tcPr>
                <w:p w14:paraId="735714B5">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w:t>
                  </w:r>
                </w:p>
              </w:tc>
              <w:tc>
                <w:tcPr>
                  <w:tcW w:w="911" w:type="dxa"/>
                  <w:tcBorders>
                    <w:top w:val="single" w:color="auto" w:sz="4" w:space="0"/>
                    <w:left w:val="single" w:color="auto" w:sz="4" w:space="0"/>
                    <w:bottom w:val="single" w:color="auto" w:sz="4" w:space="0"/>
                    <w:right w:val="single" w:color="auto" w:sz="4" w:space="0"/>
                  </w:tcBorders>
                  <w:vAlign w:val="center"/>
                </w:tcPr>
                <w:p w14:paraId="6EC25292">
                  <w:pPr>
                    <w:spacing w:line="360" w:lineRule="auto"/>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55" w:type="dxa"/>
                  <w:tcBorders>
                    <w:top w:val="single" w:color="auto" w:sz="4" w:space="0"/>
                    <w:left w:val="single" w:color="auto" w:sz="4" w:space="0"/>
                    <w:bottom w:val="single" w:color="auto" w:sz="4" w:space="0"/>
                    <w:right w:val="single" w:color="auto" w:sz="4" w:space="0"/>
                  </w:tcBorders>
                  <w:vAlign w:val="center"/>
                </w:tcPr>
                <w:p w14:paraId="2FE69DC1">
                  <w:pPr>
                    <w:adjustRightInd w:val="0"/>
                    <w:snapToGrid w:val="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11.</w:t>
                  </w:r>
                  <w:r>
                    <w:rPr>
                      <w:rFonts w:hint="default" w:ascii="Times New Roman" w:hAnsi="Times New Roman" w:cs="Times New Roman"/>
                      <w:color w:val="auto"/>
                      <w:sz w:val="18"/>
                      <w:szCs w:val="18"/>
                      <w:highlight w:val="none"/>
                      <w:lang w:val="en-US" w:eastAsia="zh-CN"/>
                    </w:rPr>
                    <w:t>82</w:t>
                  </w:r>
                </w:p>
              </w:tc>
              <w:tc>
                <w:tcPr>
                  <w:tcW w:w="718" w:type="dxa"/>
                  <w:tcBorders>
                    <w:top w:val="single" w:color="auto" w:sz="4" w:space="0"/>
                    <w:left w:val="single" w:color="auto" w:sz="4" w:space="0"/>
                    <w:bottom w:val="single" w:color="auto" w:sz="4" w:space="0"/>
                    <w:right w:val="single" w:color="auto" w:sz="4" w:space="0"/>
                  </w:tcBorders>
                  <w:vAlign w:val="center"/>
                </w:tcPr>
                <w:p w14:paraId="3D3ED28D">
                  <w:pPr>
                    <w:spacing w:line="360" w:lineRule="auto"/>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3</w:t>
                  </w:r>
                  <w:r>
                    <w:rPr>
                      <w:rFonts w:hint="default" w:ascii="Times New Roman" w:hAnsi="Times New Roman" w:cs="Times New Roman"/>
                      <w:color w:val="auto"/>
                      <w:sz w:val="18"/>
                      <w:szCs w:val="18"/>
                      <w:highlight w:val="none"/>
                    </w:rPr>
                    <w:t>0</w:t>
                  </w:r>
                </w:p>
              </w:tc>
              <w:tc>
                <w:tcPr>
                  <w:tcW w:w="805" w:type="dxa"/>
                  <w:tcBorders>
                    <w:top w:val="single" w:color="auto" w:sz="4" w:space="0"/>
                    <w:left w:val="single" w:color="auto" w:sz="4" w:space="0"/>
                    <w:bottom w:val="single" w:color="auto" w:sz="4" w:space="0"/>
                    <w:right w:val="single" w:color="auto" w:sz="4" w:space="0"/>
                  </w:tcBorders>
                  <w:vAlign w:val="center"/>
                </w:tcPr>
                <w:p w14:paraId="2E20321B">
                  <w:pPr>
                    <w:adjustRightInd w:val="0"/>
                    <w:snapToGrid w:val="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5400</w:t>
                  </w:r>
                </w:p>
              </w:tc>
              <w:tc>
                <w:tcPr>
                  <w:tcW w:w="624" w:type="dxa"/>
                  <w:tcBorders>
                    <w:top w:val="single" w:color="auto" w:sz="4" w:space="0"/>
                    <w:left w:val="single" w:color="auto" w:sz="4" w:space="0"/>
                    <w:bottom w:val="single" w:color="auto" w:sz="4" w:space="0"/>
                    <w:right w:val="single" w:color="auto" w:sz="4" w:space="0"/>
                  </w:tcBorders>
                  <w:vAlign w:val="center"/>
                </w:tcPr>
                <w:p w14:paraId="242F0935">
                  <w:pPr>
                    <w:spacing w:line="360" w:lineRule="auto"/>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正常</w:t>
                  </w:r>
                </w:p>
              </w:tc>
            </w:tr>
            <w:tr w14:paraId="6181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845" w:type="dxa"/>
                  <w:gridSpan w:val="11"/>
                  <w:tcBorders>
                    <w:top w:val="single" w:color="auto" w:sz="4" w:space="0"/>
                    <w:left w:val="single" w:color="auto" w:sz="4" w:space="0"/>
                    <w:bottom w:val="single" w:color="auto" w:sz="4" w:space="0"/>
                    <w:right w:val="single" w:color="auto" w:sz="4" w:space="0"/>
                  </w:tcBorders>
                  <w:vAlign w:val="center"/>
                </w:tcPr>
                <w:p w14:paraId="5C87D19C">
                  <w:pPr>
                    <w:widowControl/>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sz w:val="18"/>
                      <w:szCs w:val="18"/>
                      <w:highlight w:val="none"/>
                    </w:rPr>
                    <w:t>备注：1.以本厂址的中心（</w:t>
                  </w:r>
                  <w:r>
                    <w:rPr>
                      <w:rFonts w:hint="default" w:ascii="Times New Roman" w:hAnsi="Times New Roman" w:cs="Times New Roman"/>
                      <w:color w:val="auto"/>
                      <w:sz w:val="18"/>
                      <w:szCs w:val="18"/>
                      <w:highlight w:val="none"/>
                      <w:u w:val="single"/>
                    </w:rPr>
                    <w:t>东经113</w:t>
                  </w:r>
                  <w:r>
                    <w:rPr>
                      <w:rFonts w:hint="default" w:ascii="Times New Roman" w:hAnsi="Times New Roman" w:cs="Times New Roman"/>
                      <w:color w:val="auto"/>
                      <w:sz w:val="18"/>
                      <w:szCs w:val="18"/>
                      <w:highlight w:val="none"/>
                    </w:rPr>
                    <w:t>度</w:t>
                  </w:r>
                  <w:r>
                    <w:rPr>
                      <w:rFonts w:hint="default" w:ascii="Times New Roman" w:hAnsi="Times New Roman" w:cs="Times New Roman"/>
                      <w:color w:val="auto"/>
                      <w:sz w:val="18"/>
                      <w:szCs w:val="18"/>
                      <w:highlight w:val="none"/>
                      <w:u w:val="single"/>
                    </w:rPr>
                    <w:t>23</w:t>
                  </w:r>
                  <w:r>
                    <w:rPr>
                      <w:rFonts w:hint="default" w:ascii="Times New Roman" w:hAnsi="Times New Roman" w:cs="Times New Roman"/>
                      <w:color w:val="auto"/>
                      <w:sz w:val="18"/>
                      <w:szCs w:val="18"/>
                      <w:highlight w:val="none"/>
                    </w:rPr>
                    <w:t>分</w:t>
                  </w:r>
                  <w:r>
                    <w:rPr>
                      <w:rFonts w:hint="default" w:ascii="Times New Roman" w:hAnsi="Times New Roman" w:cs="Times New Roman"/>
                      <w:color w:val="auto"/>
                      <w:sz w:val="18"/>
                      <w:szCs w:val="18"/>
                      <w:highlight w:val="none"/>
                      <w:u w:val="single"/>
                    </w:rPr>
                    <w:t>57.961</w:t>
                  </w:r>
                  <w:r>
                    <w:rPr>
                      <w:rFonts w:hint="default" w:ascii="Times New Roman" w:hAnsi="Times New Roman" w:cs="Times New Roman"/>
                      <w:color w:val="auto"/>
                      <w:sz w:val="18"/>
                      <w:szCs w:val="18"/>
                      <w:highlight w:val="none"/>
                    </w:rPr>
                    <w:t>秒，</w:t>
                  </w:r>
                  <w:r>
                    <w:rPr>
                      <w:rFonts w:hint="default" w:ascii="Times New Roman" w:hAnsi="Times New Roman" w:cs="Times New Roman"/>
                      <w:color w:val="auto"/>
                      <w:sz w:val="18"/>
                      <w:szCs w:val="18"/>
                      <w:highlight w:val="none"/>
                      <w:u w:val="single"/>
                    </w:rPr>
                    <w:t>北纬25</w:t>
                  </w:r>
                  <w:r>
                    <w:rPr>
                      <w:rFonts w:hint="default" w:ascii="Times New Roman" w:hAnsi="Times New Roman" w:cs="Times New Roman"/>
                      <w:color w:val="auto"/>
                      <w:sz w:val="18"/>
                      <w:szCs w:val="18"/>
                      <w:highlight w:val="none"/>
                    </w:rPr>
                    <w:t>度</w:t>
                  </w:r>
                  <w:r>
                    <w:rPr>
                      <w:rFonts w:hint="default" w:ascii="Times New Roman" w:hAnsi="Times New Roman" w:cs="Times New Roman"/>
                      <w:color w:val="auto"/>
                      <w:sz w:val="18"/>
                      <w:szCs w:val="18"/>
                      <w:highlight w:val="none"/>
                      <w:u w:val="single"/>
                    </w:rPr>
                    <w:t>8</w:t>
                  </w:r>
                  <w:r>
                    <w:rPr>
                      <w:rFonts w:hint="default" w:ascii="Times New Roman" w:hAnsi="Times New Roman" w:cs="Times New Roman"/>
                      <w:color w:val="auto"/>
                      <w:sz w:val="18"/>
                      <w:szCs w:val="18"/>
                      <w:highlight w:val="none"/>
                    </w:rPr>
                    <w:t>分</w:t>
                  </w:r>
                  <w:r>
                    <w:rPr>
                      <w:rFonts w:hint="default" w:ascii="Times New Roman" w:hAnsi="Times New Roman" w:cs="Times New Roman"/>
                      <w:color w:val="auto"/>
                      <w:sz w:val="18"/>
                      <w:szCs w:val="18"/>
                      <w:highlight w:val="none"/>
                      <w:u w:val="single"/>
                    </w:rPr>
                    <w:t>25.007</w:t>
                  </w:r>
                  <w:r>
                    <w:rPr>
                      <w:rFonts w:hint="default" w:ascii="Times New Roman" w:hAnsi="Times New Roman" w:cs="Times New Roman"/>
                      <w:color w:val="auto"/>
                      <w:sz w:val="18"/>
                      <w:szCs w:val="18"/>
                      <w:highlight w:val="none"/>
                    </w:rPr>
                    <w:t>秒）为原点（X=0,Y=0）；</w:t>
                  </w:r>
                </w:p>
              </w:tc>
            </w:tr>
          </w:tbl>
          <w:p w14:paraId="37C3857D">
            <w:pPr>
              <w:pStyle w:val="23"/>
              <w:widowControl w:val="0"/>
              <w:spacing w:before="0" w:beforeAutospacing="0" w:after="0" w:afterAutospacing="0" w:line="360" w:lineRule="auto"/>
              <w:jc w:val="center"/>
              <w:rPr>
                <w:rFonts w:hint="default" w:ascii="Times New Roman" w:hAnsi="Times New Roman" w:cs="Times New Roman"/>
                <w:bCs/>
                <w:color w:val="auto"/>
                <w:sz w:val="21"/>
                <w:szCs w:val="21"/>
                <w:highlight w:val="none"/>
              </w:rPr>
            </w:pPr>
            <w:r>
              <w:rPr>
                <w:rFonts w:hint="default" w:ascii="Times New Roman" w:hAnsi="Times New Roman" w:cs="Times New Roman"/>
                <w:b/>
                <w:bCs/>
                <w:color w:val="auto"/>
                <w:szCs w:val="24"/>
                <w:highlight w:val="none"/>
              </w:rPr>
              <w:t>表4-5 本项目大气污染物有组织排放量核算表</w:t>
            </w:r>
          </w:p>
          <w:tbl>
            <w:tblPr>
              <w:tblStyle w:val="26"/>
              <w:tblW w:w="8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869"/>
              <w:gridCol w:w="1801"/>
              <w:gridCol w:w="1350"/>
              <w:gridCol w:w="2153"/>
              <w:gridCol w:w="2104"/>
            </w:tblGrid>
            <w:tr w14:paraId="39AB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519" w:type="dxa"/>
                  <w:tcBorders>
                    <w:top w:val="single" w:color="auto" w:sz="4" w:space="0"/>
                    <w:left w:val="single" w:color="auto" w:sz="4" w:space="0"/>
                    <w:bottom w:val="single" w:color="auto" w:sz="4" w:space="0"/>
                    <w:right w:val="single" w:color="auto" w:sz="4" w:space="0"/>
                  </w:tcBorders>
                  <w:vAlign w:val="center"/>
                </w:tcPr>
                <w:p w14:paraId="62E4DFBB">
                  <w:pPr>
                    <w:pStyle w:val="23"/>
                    <w:widowControl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869" w:type="dxa"/>
                  <w:tcBorders>
                    <w:top w:val="single" w:color="auto" w:sz="4" w:space="0"/>
                    <w:left w:val="nil"/>
                    <w:bottom w:val="single" w:color="auto" w:sz="4" w:space="0"/>
                    <w:right w:val="single" w:color="auto" w:sz="4" w:space="0"/>
                  </w:tcBorders>
                  <w:vAlign w:val="center"/>
                </w:tcPr>
                <w:p w14:paraId="0167E22D">
                  <w:pPr>
                    <w:pStyle w:val="23"/>
                    <w:widowControl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排污口</w:t>
                  </w:r>
                </w:p>
              </w:tc>
              <w:tc>
                <w:tcPr>
                  <w:tcW w:w="1801" w:type="dxa"/>
                  <w:tcBorders>
                    <w:top w:val="single" w:color="auto" w:sz="4" w:space="0"/>
                    <w:left w:val="nil"/>
                    <w:bottom w:val="single" w:color="auto" w:sz="4" w:space="0"/>
                    <w:right w:val="single" w:color="auto" w:sz="4" w:space="0"/>
                  </w:tcBorders>
                  <w:vAlign w:val="center"/>
                </w:tcPr>
                <w:p w14:paraId="095C98A4">
                  <w:pPr>
                    <w:pStyle w:val="23"/>
                    <w:widowControl w:val="0"/>
                    <w:spacing w:before="0" w:beforeAutospacing="0" w:after="0" w:afterAutospacing="0" w:line="36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产污环节</w:t>
                  </w:r>
                </w:p>
              </w:tc>
              <w:tc>
                <w:tcPr>
                  <w:tcW w:w="1350" w:type="dxa"/>
                  <w:tcBorders>
                    <w:top w:val="single" w:color="auto" w:sz="4" w:space="0"/>
                    <w:left w:val="nil"/>
                    <w:bottom w:val="single" w:color="auto" w:sz="4" w:space="0"/>
                    <w:right w:val="single" w:color="auto" w:sz="4" w:space="0"/>
                  </w:tcBorders>
                  <w:vAlign w:val="center"/>
                </w:tcPr>
                <w:p w14:paraId="40587936">
                  <w:pPr>
                    <w:pStyle w:val="23"/>
                    <w:widowControl w:val="0"/>
                    <w:spacing w:before="0" w:beforeAutospacing="0" w:after="0" w:afterAutospacing="0" w:line="36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w:t>
                  </w:r>
                </w:p>
              </w:tc>
              <w:tc>
                <w:tcPr>
                  <w:tcW w:w="2153" w:type="dxa"/>
                  <w:tcBorders>
                    <w:top w:val="single" w:color="auto" w:sz="4" w:space="0"/>
                    <w:left w:val="nil"/>
                    <w:bottom w:val="single" w:color="auto" w:sz="4" w:space="0"/>
                    <w:right w:val="single" w:color="auto" w:sz="4" w:space="0"/>
                  </w:tcBorders>
                  <w:vAlign w:val="center"/>
                </w:tcPr>
                <w:p w14:paraId="1D2EE359">
                  <w:pPr>
                    <w:pStyle w:val="23"/>
                    <w:widowControl w:val="0"/>
                    <w:spacing w:before="0" w:beforeAutospacing="0" w:after="0" w:afterAutospacing="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主要污染防治措施</w:t>
                  </w:r>
                </w:p>
              </w:tc>
              <w:tc>
                <w:tcPr>
                  <w:tcW w:w="2104" w:type="dxa"/>
                  <w:tcBorders>
                    <w:top w:val="single" w:color="auto" w:sz="4" w:space="0"/>
                    <w:left w:val="nil"/>
                    <w:bottom w:val="single" w:color="auto" w:sz="4" w:space="0"/>
                    <w:right w:val="single" w:color="auto" w:sz="4" w:space="0"/>
                  </w:tcBorders>
                  <w:vAlign w:val="center"/>
                </w:tcPr>
                <w:p w14:paraId="2AD49D82">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排放量t/a</w:t>
                  </w:r>
                </w:p>
              </w:tc>
            </w:tr>
            <w:tr w14:paraId="6E87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19" w:type="dxa"/>
                  <w:vMerge w:val="restart"/>
                  <w:tcBorders>
                    <w:top w:val="nil"/>
                    <w:left w:val="single" w:color="auto" w:sz="4" w:space="0"/>
                    <w:right w:val="single" w:color="auto" w:sz="4" w:space="0"/>
                  </w:tcBorders>
                  <w:vAlign w:val="center"/>
                </w:tcPr>
                <w:p w14:paraId="7A8FEE86">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w:t>
                  </w:r>
                </w:p>
              </w:tc>
              <w:tc>
                <w:tcPr>
                  <w:tcW w:w="869" w:type="dxa"/>
                  <w:vMerge w:val="restart"/>
                  <w:tcBorders>
                    <w:top w:val="nil"/>
                    <w:left w:val="nil"/>
                    <w:right w:val="single" w:color="auto" w:sz="4" w:space="0"/>
                  </w:tcBorders>
                  <w:vAlign w:val="center"/>
                </w:tcPr>
                <w:p w14:paraId="7EBE754D">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DA005</w:t>
                  </w:r>
                </w:p>
              </w:tc>
              <w:tc>
                <w:tcPr>
                  <w:tcW w:w="1801" w:type="dxa"/>
                  <w:vMerge w:val="restart"/>
                  <w:tcBorders>
                    <w:top w:val="nil"/>
                    <w:left w:val="nil"/>
                    <w:right w:val="single" w:color="auto" w:sz="4" w:space="0"/>
                  </w:tcBorders>
                  <w:vAlign w:val="center"/>
                </w:tcPr>
                <w:p w14:paraId="6BA6F718">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喷漆、烘烤、喷粉</w:t>
                  </w:r>
                </w:p>
              </w:tc>
              <w:tc>
                <w:tcPr>
                  <w:tcW w:w="1350" w:type="dxa"/>
                  <w:tcBorders>
                    <w:top w:val="single" w:color="auto" w:sz="4" w:space="0"/>
                    <w:left w:val="nil"/>
                    <w:bottom w:val="single" w:color="auto" w:sz="4" w:space="0"/>
                    <w:right w:val="single" w:color="auto" w:sz="4" w:space="0"/>
                  </w:tcBorders>
                  <w:vAlign w:val="center"/>
                </w:tcPr>
                <w:p w14:paraId="7F6231C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颗粒物</w:t>
                  </w:r>
                </w:p>
              </w:tc>
              <w:tc>
                <w:tcPr>
                  <w:tcW w:w="2153" w:type="dxa"/>
                  <w:tcBorders>
                    <w:top w:val="single" w:color="auto" w:sz="4" w:space="0"/>
                    <w:left w:val="nil"/>
                    <w:bottom w:val="single" w:color="auto" w:sz="4" w:space="0"/>
                    <w:right w:val="single" w:color="auto" w:sz="4" w:space="0"/>
                  </w:tcBorders>
                  <w:vAlign w:val="center"/>
                </w:tcPr>
                <w:p w14:paraId="751B9173">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喷漆采用水帘柜+除雾、喷粉采用滤筒除尘</w:t>
                  </w:r>
                </w:p>
              </w:tc>
              <w:tc>
                <w:tcPr>
                  <w:tcW w:w="2104" w:type="dxa"/>
                  <w:tcBorders>
                    <w:top w:val="single" w:color="auto" w:sz="4" w:space="0"/>
                    <w:left w:val="nil"/>
                    <w:bottom w:val="single" w:color="auto" w:sz="4" w:space="0"/>
                    <w:right w:val="single" w:color="auto" w:sz="4" w:space="0"/>
                  </w:tcBorders>
                  <w:vAlign w:val="center"/>
                </w:tcPr>
                <w:p w14:paraId="3DA7EEF9">
                  <w:pPr>
                    <w:pStyle w:val="23"/>
                    <w:widowControl w:val="0"/>
                    <w:spacing w:before="0" w:beforeAutospacing="0" w:after="0" w:afterAutospacing="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079</w:t>
                  </w:r>
                </w:p>
              </w:tc>
            </w:tr>
            <w:tr w14:paraId="44F7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19" w:type="dxa"/>
                  <w:vMerge w:val="continue"/>
                  <w:tcBorders>
                    <w:left w:val="single" w:color="auto" w:sz="4" w:space="0"/>
                    <w:right w:val="single" w:color="auto" w:sz="4" w:space="0"/>
                  </w:tcBorders>
                  <w:vAlign w:val="center"/>
                </w:tcPr>
                <w:p w14:paraId="65F4C012">
                  <w:pPr>
                    <w:widowControl/>
                    <w:jc w:val="center"/>
                    <w:rPr>
                      <w:rFonts w:hint="default" w:ascii="Times New Roman" w:hAnsi="Times New Roman" w:cs="Times New Roman"/>
                      <w:color w:val="auto"/>
                      <w:kern w:val="0"/>
                      <w:szCs w:val="21"/>
                      <w:highlight w:val="none"/>
                    </w:rPr>
                  </w:pPr>
                </w:p>
              </w:tc>
              <w:tc>
                <w:tcPr>
                  <w:tcW w:w="869" w:type="dxa"/>
                  <w:vMerge w:val="continue"/>
                  <w:tcBorders>
                    <w:left w:val="nil"/>
                    <w:right w:val="single" w:color="auto" w:sz="4" w:space="0"/>
                  </w:tcBorders>
                  <w:vAlign w:val="center"/>
                </w:tcPr>
                <w:p w14:paraId="79795AC3">
                  <w:pPr>
                    <w:spacing w:line="360" w:lineRule="auto"/>
                    <w:jc w:val="center"/>
                    <w:rPr>
                      <w:rFonts w:hint="default" w:ascii="Times New Roman" w:hAnsi="Times New Roman" w:cs="Times New Roman"/>
                      <w:color w:val="auto"/>
                      <w:szCs w:val="21"/>
                      <w:highlight w:val="none"/>
                    </w:rPr>
                  </w:pPr>
                </w:p>
              </w:tc>
              <w:tc>
                <w:tcPr>
                  <w:tcW w:w="1801" w:type="dxa"/>
                  <w:vMerge w:val="continue"/>
                  <w:tcBorders>
                    <w:left w:val="nil"/>
                    <w:right w:val="single" w:color="auto" w:sz="4" w:space="0"/>
                  </w:tcBorders>
                  <w:vAlign w:val="center"/>
                </w:tcPr>
                <w:p w14:paraId="3F9BDE14">
                  <w:pPr>
                    <w:adjustRightInd w:val="0"/>
                    <w:snapToGrid w:val="0"/>
                    <w:jc w:val="center"/>
                    <w:rPr>
                      <w:rFonts w:hint="default" w:ascii="Times New Roman" w:hAnsi="Times New Roman" w:cs="Times New Roman"/>
                      <w:color w:val="auto"/>
                      <w:szCs w:val="21"/>
                      <w:highlight w:val="none"/>
                    </w:rPr>
                  </w:pPr>
                </w:p>
              </w:tc>
              <w:tc>
                <w:tcPr>
                  <w:tcW w:w="1350" w:type="dxa"/>
                  <w:tcBorders>
                    <w:top w:val="single" w:color="auto" w:sz="4" w:space="0"/>
                    <w:left w:val="nil"/>
                    <w:bottom w:val="single" w:color="auto" w:sz="4" w:space="0"/>
                    <w:right w:val="single" w:color="auto" w:sz="4" w:space="0"/>
                  </w:tcBorders>
                  <w:vAlign w:val="center"/>
                </w:tcPr>
                <w:p w14:paraId="59A38D3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w:t>
                  </w:r>
                </w:p>
              </w:tc>
              <w:tc>
                <w:tcPr>
                  <w:tcW w:w="2153" w:type="dxa"/>
                  <w:vMerge w:val="restart"/>
                  <w:tcBorders>
                    <w:top w:val="single" w:color="auto" w:sz="4" w:space="0"/>
                    <w:left w:val="nil"/>
                    <w:right w:val="single" w:color="auto" w:sz="4" w:space="0"/>
                  </w:tcBorders>
                  <w:vAlign w:val="center"/>
                </w:tcPr>
                <w:p w14:paraId="726C682A">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二级活性炭</w:t>
                  </w:r>
                </w:p>
              </w:tc>
              <w:tc>
                <w:tcPr>
                  <w:tcW w:w="2104" w:type="dxa"/>
                  <w:tcBorders>
                    <w:top w:val="single" w:color="auto" w:sz="4" w:space="0"/>
                    <w:left w:val="nil"/>
                    <w:bottom w:val="single" w:color="auto" w:sz="4" w:space="0"/>
                    <w:right w:val="single" w:color="auto" w:sz="4" w:space="0"/>
                  </w:tcBorders>
                  <w:vAlign w:val="center"/>
                </w:tcPr>
                <w:p w14:paraId="43E50B85">
                  <w:pPr>
                    <w:pStyle w:val="23"/>
                    <w:widowControl w:val="0"/>
                    <w:spacing w:before="0" w:beforeAutospacing="0" w:after="0" w:afterAutospacing="0"/>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180</w:t>
                  </w:r>
                </w:p>
              </w:tc>
            </w:tr>
            <w:tr w14:paraId="32C6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19" w:type="dxa"/>
                  <w:vMerge w:val="continue"/>
                  <w:tcBorders>
                    <w:left w:val="single" w:color="auto" w:sz="4" w:space="0"/>
                    <w:bottom w:val="single" w:color="auto" w:sz="4" w:space="0"/>
                    <w:right w:val="single" w:color="auto" w:sz="4" w:space="0"/>
                  </w:tcBorders>
                  <w:vAlign w:val="center"/>
                </w:tcPr>
                <w:p w14:paraId="6DF3F9FB">
                  <w:pPr>
                    <w:widowControl/>
                    <w:jc w:val="center"/>
                    <w:rPr>
                      <w:rFonts w:hint="default" w:ascii="Times New Roman" w:hAnsi="Times New Roman" w:cs="Times New Roman"/>
                      <w:color w:val="auto"/>
                      <w:kern w:val="0"/>
                      <w:szCs w:val="21"/>
                      <w:highlight w:val="none"/>
                    </w:rPr>
                  </w:pPr>
                </w:p>
              </w:tc>
              <w:tc>
                <w:tcPr>
                  <w:tcW w:w="869" w:type="dxa"/>
                  <w:vMerge w:val="continue"/>
                  <w:tcBorders>
                    <w:left w:val="nil"/>
                    <w:bottom w:val="single" w:color="auto" w:sz="4" w:space="0"/>
                    <w:right w:val="single" w:color="auto" w:sz="4" w:space="0"/>
                  </w:tcBorders>
                  <w:vAlign w:val="center"/>
                </w:tcPr>
                <w:p w14:paraId="43CA014D">
                  <w:pPr>
                    <w:spacing w:line="360" w:lineRule="auto"/>
                    <w:jc w:val="center"/>
                    <w:rPr>
                      <w:rFonts w:hint="default" w:ascii="Times New Roman" w:hAnsi="Times New Roman" w:cs="Times New Roman"/>
                      <w:color w:val="auto"/>
                      <w:szCs w:val="21"/>
                      <w:highlight w:val="none"/>
                    </w:rPr>
                  </w:pPr>
                </w:p>
              </w:tc>
              <w:tc>
                <w:tcPr>
                  <w:tcW w:w="1801" w:type="dxa"/>
                  <w:vMerge w:val="continue"/>
                  <w:tcBorders>
                    <w:left w:val="nil"/>
                    <w:bottom w:val="single" w:color="auto" w:sz="4" w:space="0"/>
                    <w:right w:val="single" w:color="auto" w:sz="4" w:space="0"/>
                  </w:tcBorders>
                  <w:vAlign w:val="center"/>
                </w:tcPr>
                <w:p w14:paraId="37A0CF33">
                  <w:pPr>
                    <w:adjustRightInd w:val="0"/>
                    <w:snapToGrid w:val="0"/>
                    <w:jc w:val="center"/>
                    <w:rPr>
                      <w:rFonts w:hint="default" w:ascii="Times New Roman" w:hAnsi="Times New Roman" w:cs="Times New Roman"/>
                      <w:color w:val="auto"/>
                      <w:szCs w:val="21"/>
                      <w:highlight w:val="none"/>
                    </w:rPr>
                  </w:pPr>
                </w:p>
              </w:tc>
              <w:tc>
                <w:tcPr>
                  <w:tcW w:w="1350" w:type="dxa"/>
                  <w:tcBorders>
                    <w:top w:val="single" w:color="auto" w:sz="4" w:space="0"/>
                    <w:left w:val="nil"/>
                    <w:bottom w:val="single" w:color="auto" w:sz="4" w:space="0"/>
                    <w:right w:val="single" w:color="auto" w:sz="4" w:space="0"/>
                  </w:tcBorders>
                  <w:vAlign w:val="center"/>
                </w:tcPr>
                <w:p w14:paraId="2F39A46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lang w:val="en-US" w:eastAsia="zh-CN"/>
                    </w:rPr>
                    <w:t>其中：</w:t>
                  </w:r>
                  <w:r>
                    <w:rPr>
                      <w:rFonts w:hint="default" w:ascii="Times New Roman" w:hAnsi="Times New Roman" w:cs="Times New Roman"/>
                      <w:color w:val="auto"/>
                      <w:szCs w:val="21"/>
                      <w:highlight w:val="none"/>
                    </w:rPr>
                    <w:t>二甲苯</w:t>
                  </w:r>
                </w:p>
              </w:tc>
              <w:tc>
                <w:tcPr>
                  <w:tcW w:w="2153" w:type="dxa"/>
                  <w:vMerge w:val="continue"/>
                  <w:tcBorders>
                    <w:left w:val="nil"/>
                    <w:bottom w:val="single" w:color="auto" w:sz="4" w:space="0"/>
                    <w:right w:val="single" w:color="auto" w:sz="4" w:space="0"/>
                  </w:tcBorders>
                  <w:vAlign w:val="center"/>
                </w:tcPr>
                <w:p w14:paraId="5164EB31">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2104" w:type="dxa"/>
                  <w:tcBorders>
                    <w:top w:val="single" w:color="auto" w:sz="4" w:space="0"/>
                    <w:left w:val="nil"/>
                    <w:bottom w:val="single" w:color="auto" w:sz="4" w:space="0"/>
                    <w:right w:val="single" w:color="auto" w:sz="4" w:space="0"/>
                  </w:tcBorders>
                  <w:vAlign w:val="center"/>
                </w:tcPr>
                <w:p w14:paraId="279FA698">
                  <w:pPr>
                    <w:pStyle w:val="23"/>
                    <w:widowControl w:val="0"/>
                    <w:spacing w:before="0" w:beforeAutospacing="0" w:after="0" w:afterAutospacing="0"/>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115</w:t>
                  </w:r>
                </w:p>
              </w:tc>
            </w:tr>
            <w:tr w14:paraId="72CE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796" w:type="dxa"/>
                  <w:gridSpan w:val="6"/>
                  <w:tcBorders>
                    <w:top w:val="single" w:color="auto" w:sz="4" w:space="0"/>
                    <w:left w:val="single" w:color="auto" w:sz="4" w:space="0"/>
                    <w:bottom w:val="single" w:color="auto" w:sz="4" w:space="0"/>
                    <w:right w:val="single" w:color="auto" w:sz="4" w:space="0"/>
                  </w:tcBorders>
                  <w:vAlign w:val="center"/>
                </w:tcPr>
                <w:p w14:paraId="14D9639B">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有组织排放总量</w:t>
                  </w:r>
                </w:p>
              </w:tc>
            </w:tr>
            <w:tr w14:paraId="63E1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692" w:type="dxa"/>
                  <w:gridSpan w:val="5"/>
                  <w:tcBorders>
                    <w:left w:val="single" w:color="auto" w:sz="4" w:space="0"/>
                    <w:right w:val="single" w:color="auto" w:sz="4" w:space="0"/>
                  </w:tcBorders>
                  <w:vAlign w:val="center"/>
                </w:tcPr>
                <w:p w14:paraId="0961DFB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颗粒物</w:t>
                  </w:r>
                </w:p>
              </w:tc>
              <w:tc>
                <w:tcPr>
                  <w:tcW w:w="2104" w:type="dxa"/>
                  <w:tcBorders>
                    <w:top w:val="single" w:color="auto" w:sz="4" w:space="0"/>
                    <w:left w:val="nil"/>
                    <w:bottom w:val="single" w:color="auto" w:sz="4" w:space="0"/>
                    <w:right w:val="single" w:color="auto" w:sz="4" w:space="0"/>
                  </w:tcBorders>
                  <w:vAlign w:val="center"/>
                </w:tcPr>
                <w:p w14:paraId="0ACFE06C">
                  <w:pPr>
                    <w:pStyle w:val="23"/>
                    <w:widowControl w:val="0"/>
                    <w:spacing w:before="0" w:beforeAutospacing="0" w:after="0" w:afterAutospacing="0"/>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bidi="ar"/>
                    </w:rPr>
                    <w:t>0.0</w:t>
                  </w:r>
                  <w:r>
                    <w:rPr>
                      <w:rFonts w:hint="default" w:ascii="Times New Roman" w:hAnsi="Times New Roman" w:cs="Times New Roman"/>
                      <w:color w:val="auto"/>
                      <w:sz w:val="21"/>
                      <w:szCs w:val="21"/>
                      <w:highlight w:val="none"/>
                      <w:lang w:val="en-US" w:eastAsia="zh-CN" w:bidi="ar"/>
                    </w:rPr>
                    <w:t>79</w:t>
                  </w:r>
                </w:p>
              </w:tc>
            </w:tr>
            <w:tr w14:paraId="0586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692" w:type="dxa"/>
                  <w:gridSpan w:val="5"/>
                  <w:tcBorders>
                    <w:left w:val="single" w:color="auto" w:sz="4" w:space="0"/>
                    <w:right w:val="single" w:color="auto" w:sz="4" w:space="0"/>
                  </w:tcBorders>
                  <w:vAlign w:val="center"/>
                </w:tcPr>
                <w:p w14:paraId="569A915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w:t>
                  </w:r>
                </w:p>
              </w:tc>
              <w:tc>
                <w:tcPr>
                  <w:tcW w:w="2104" w:type="dxa"/>
                  <w:tcBorders>
                    <w:top w:val="single" w:color="auto" w:sz="4" w:space="0"/>
                    <w:left w:val="nil"/>
                    <w:bottom w:val="single" w:color="auto" w:sz="4" w:space="0"/>
                    <w:right w:val="single" w:color="auto" w:sz="4" w:space="0"/>
                  </w:tcBorders>
                  <w:vAlign w:val="center"/>
                </w:tcPr>
                <w:p w14:paraId="02C61E55">
                  <w:pPr>
                    <w:pStyle w:val="23"/>
                    <w:widowControl w:val="0"/>
                    <w:spacing w:before="0" w:beforeAutospacing="0" w:after="0" w:afterAutospacing="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180</w:t>
                  </w:r>
                </w:p>
              </w:tc>
            </w:tr>
            <w:tr w14:paraId="545E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692" w:type="dxa"/>
                  <w:gridSpan w:val="5"/>
                  <w:tcBorders>
                    <w:left w:val="single" w:color="auto" w:sz="4" w:space="0"/>
                    <w:right w:val="single" w:color="auto" w:sz="4" w:space="0"/>
                  </w:tcBorders>
                  <w:vAlign w:val="center"/>
                </w:tcPr>
                <w:p w14:paraId="0E8628E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lang w:val="en-US" w:eastAsia="zh-CN"/>
                    </w:rPr>
                    <w:t>其中：</w:t>
                  </w:r>
                  <w:r>
                    <w:rPr>
                      <w:rFonts w:hint="default" w:ascii="Times New Roman" w:hAnsi="Times New Roman" w:cs="Times New Roman"/>
                      <w:color w:val="auto"/>
                      <w:szCs w:val="21"/>
                      <w:highlight w:val="none"/>
                    </w:rPr>
                    <w:t>二甲苯</w:t>
                  </w:r>
                </w:p>
              </w:tc>
              <w:tc>
                <w:tcPr>
                  <w:tcW w:w="2104" w:type="dxa"/>
                  <w:tcBorders>
                    <w:top w:val="single" w:color="auto" w:sz="4" w:space="0"/>
                    <w:left w:val="nil"/>
                    <w:bottom w:val="single" w:color="auto" w:sz="4" w:space="0"/>
                    <w:right w:val="single" w:color="auto" w:sz="4" w:space="0"/>
                  </w:tcBorders>
                  <w:vAlign w:val="center"/>
                </w:tcPr>
                <w:p w14:paraId="4BDC1002">
                  <w:pPr>
                    <w:pStyle w:val="23"/>
                    <w:widowControl w:val="0"/>
                    <w:spacing w:before="0" w:beforeAutospacing="0" w:after="0" w:afterAutospacing="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115</w:t>
                  </w:r>
                </w:p>
              </w:tc>
            </w:tr>
          </w:tbl>
          <w:p w14:paraId="5907E72D">
            <w:pPr>
              <w:adjustRightInd w:val="0"/>
              <w:snapToGrid w:val="0"/>
              <w:spacing w:before="120" w:beforeLines="5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表4-6本项目大气污染物无组织排放量核算表</w:t>
            </w:r>
          </w:p>
          <w:tbl>
            <w:tblPr>
              <w:tblStyle w:val="26"/>
              <w:tblW w:w="8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864"/>
              <w:gridCol w:w="1414"/>
              <w:gridCol w:w="1091"/>
              <w:gridCol w:w="3025"/>
              <w:gridCol w:w="1362"/>
            </w:tblGrid>
            <w:tr w14:paraId="0AE0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6" w:type="dxa"/>
                  <w:vMerge w:val="restart"/>
                  <w:tcBorders>
                    <w:top w:val="single" w:color="auto" w:sz="4" w:space="0"/>
                    <w:left w:val="single" w:color="auto" w:sz="4" w:space="0"/>
                    <w:bottom w:val="single" w:color="auto" w:sz="4" w:space="0"/>
                    <w:right w:val="single" w:color="auto" w:sz="4" w:space="0"/>
                  </w:tcBorders>
                  <w:vAlign w:val="center"/>
                </w:tcPr>
                <w:p w14:paraId="1F3C99AB">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864" w:type="dxa"/>
                  <w:vMerge w:val="restart"/>
                  <w:tcBorders>
                    <w:top w:val="single" w:color="auto" w:sz="4" w:space="0"/>
                    <w:left w:val="single" w:color="auto" w:sz="4" w:space="0"/>
                    <w:bottom w:val="single" w:color="auto" w:sz="4" w:space="0"/>
                    <w:right w:val="single" w:color="auto" w:sz="4" w:space="0"/>
                  </w:tcBorders>
                  <w:vAlign w:val="center"/>
                </w:tcPr>
                <w:p w14:paraId="72DFF34F">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排污口</w:t>
                  </w:r>
                </w:p>
              </w:tc>
              <w:tc>
                <w:tcPr>
                  <w:tcW w:w="1414" w:type="dxa"/>
                  <w:vMerge w:val="restart"/>
                  <w:tcBorders>
                    <w:top w:val="single" w:color="auto" w:sz="4" w:space="0"/>
                    <w:left w:val="single" w:color="auto" w:sz="4" w:space="0"/>
                    <w:bottom w:val="single" w:color="auto" w:sz="4" w:space="0"/>
                    <w:right w:val="single" w:color="auto" w:sz="4" w:space="0"/>
                  </w:tcBorders>
                  <w:vAlign w:val="center"/>
                </w:tcPr>
                <w:p w14:paraId="148614C3">
                  <w:pPr>
                    <w:pStyle w:val="23"/>
                    <w:widowControl w:val="0"/>
                    <w:spacing w:before="0" w:beforeAutospacing="0" w:after="0" w:afterAutospacing="0" w:line="36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产污环节</w:t>
                  </w:r>
                </w:p>
              </w:tc>
              <w:tc>
                <w:tcPr>
                  <w:tcW w:w="1091" w:type="dxa"/>
                  <w:vMerge w:val="restart"/>
                  <w:tcBorders>
                    <w:top w:val="single" w:color="auto" w:sz="4" w:space="0"/>
                    <w:left w:val="single" w:color="auto" w:sz="4" w:space="0"/>
                    <w:bottom w:val="single" w:color="auto" w:sz="4" w:space="0"/>
                    <w:right w:val="single" w:color="auto" w:sz="4" w:space="0"/>
                  </w:tcBorders>
                  <w:vAlign w:val="center"/>
                </w:tcPr>
                <w:p w14:paraId="76D74871">
                  <w:pPr>
                    <w:pStyle w:val="23"/>
                    <w:widowControl w:val="0"/>
                    <w:spacing w:before="0" w:beforeAutospacing="0" w:after="0" w:afterAutospacing="0" w:line="36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w:t>
                  </w:r>
                </w:p>
              </w:tc>
              <w:tc>
                <w:tcPr>
                  <w:tcW w:w="3025" w:type="dxa"/>
                  <w:vMerge w:val="restart"/>
                  <w:tcBorders>
                    <w:top w:val="single" w:color="auto" w:sz="4" w:space="0"/>
                    <w:left w:val="single" w:color="auto" w:sz="4" w:space="0"/>
                    <w:bottom w:val="single" w:color="auto" w:sz="4" w:space="0"/>
                    <w:right w:val="single" w:color="auto" w:sz="4" w:space="0"/>
                  </w:tcBorders>
                  <w:vAlign w:val="center"/>
                </w:tcPr>
                <w:p w14:paraId="3C02FB75">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主要污染防治措施</w:t>
                  </w:r>
                </w:p>
              </w:tc>
              <w:tc>
                <w:tcPr>
                  <w:tcW w:w="1362" w:type="dxa"/>
                  <w:vMerge w:val="restart"/>
                  <w:tcBorders>
                    <w:top w:val="single" w:color="auto" w:sz="4" w:space="0"/>
                    <w:left w:val="single" w:color="auto" w:sz="4" w:space="0"/>
                    <w:bottom w:val="single" w:color="auto" w:sz="4" w:space="0"/>
                    <w:right w:val="single" w:color="auto" w:sz="4" w:space="0"/>
                  </w:tcBorders>
                  <w:vAlign w:val="center"/>
                </w:tcPr>
                <w:p w14:paraId="59757A44">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年排放量t/a</w:t>
                  </w:r>
                </w:p>
              </w:tc>
            </w:tr>
            <w:tr w14:paraId="4370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6" w:type="dxa"/>
                  <w:vMerge w:val="continue"/>
                  <w:tcBorders>
                    <w:top w:val="single" w:color="auto" w:sz="4" w:space="0"/>
                    <w:left w:val="single" w:color="auto" w:sz="4" w:space="0"/>
                    <w:bottom w:val="single" w:color="auto" w:sz="4" w:space="0"/>
                    <w:right w:val="single" w:color="auto" w:sz="4" w:space="0"/>
                  </w:tcBorders>
                  <w:vAlign w:val="center"/>
                </w:tcPr>
                <w:p w14:paraId="5B623CA4">
                  <w:pPr>
                    <w:widowControl/>
                    <w:jc w:val="left"/>
                    <w:rPr>
                      <w:rFonts w:hint="default" w:ascii="Times New Roman" w:hAnsi="Times New Roman" w:cs="Times New Roman"/>
                      <w:color w:val="auto"/>
                      <w:szCs w:val="21"/>
                      <w:highlight w:val="none"/>
                    </w:rPr>
                  </w:pPr>
                </w:p>
              </w:tc>
              <w:tc>
                <w:tcPr>
                  <w:tcW w:w="864" w:type="dxa"/>
                  <w:vMerge w:val="continue"/>
                  <w:tcBorders>
                    <w:top w:val="single" w:color="auto" w:sz="4" w:space="0"/>
                    <w:left w:val="single" w:color="auto" w:sz="4" w:space="0"/>
                    <w:bottom w:val="single" w:color="auto" w:sz="4" w:space="0"/>
                    <w:right w:val="single" w:color="auto" w:sz="4" w:space="0"/>
                  </w:tcBorders>
                  <w:vAlign w:val="center"/>
                </w:tcPr>
                <w:p w14:paraId="62BD53DD">
                  <w:pPr>
                    <w:widowControl/>
                    <w:jc w:val="left"/>
                    <w:rPr>
                      <w:rFonts w:hint="default" w:ascii="Times New Roman" w:hAnsi="Times New Roman" w:cs="Times New Roman"/>
                      <w:color w:val="auto"/>
                      <w:szCs w:val="21"/>
                      <w:highlight w:val="none"/>
                    </w:rPr>
                  </w:pPr>
                </w:p>
              </w:tc>
              <w:tc>
                <w:tcPr>
                  <w:tcW w:w="1414" w:type="dxa"/>
                  <w:vMerge w:val="continue"/>
                  <w:tcBorders>
                    <w:top w:val="single" w:color="auto" w:sz="4" w:space="0"/>
                    <w:left w:val="single" w:color="auto" w:sz="4" w:space="0"/>
                    <w:bottom w:val="single" w:color="auto" w:sz="4" w:space="0"/>
                    <w:right w:val="single" w:color="auto" w:sz="4" w:space="0"/>
                  </w:tcBorders>
                  <w:vAlign w:val="center"/>
                </w:tcPr>
                <w:p w14:paraId="144741E5">
                  <w:pPr>
                    <w:widowControl/>
                    <w:jc w:val="left"/>
                    <w:rPr>
                      <w:rFonts w:hint="default" w:ascii="Times New Roman" w:hAnsi="Times New Roman" w:cs="Times New Roman"/>
                      <w:color w:val="auto"/>
                      <w:szCs w:val="21"/>
                      <w:highlight w:val="none"/>
                    </w:rPr>
                  </w:pPr>
                </w:p>
              </w:tc>
              <w:tc>
                <w:tcPr>
                  <w:tcW w:w="1091" w:type="dxa"/>
                  <w:vMerge w:val="continue"/>
                  <w:tcBorders>
                    <w:top w:val="single" w:color="auto" w:sz="4" w:space="0"/>
                    <w:left w:val="single" w:color="auto" w:sz="4" w:space="0"/>
                    <w:bottom w:val="single" w:color="auto" w:sz="4" w:space="0"/>
                    <w:right w:val="single" w:color="auto" w:sz="4" w:space="0"/>
                  </w:tcBorders>
                  <w:vAlign w:val="center"/>
                </w:tcPr>
                <w:p w14:paraId="0CB7A44B">
                  <w:pPr>
                    <w:widowControl/>
                    <w:jc w:val="left"/>
                    <w:rPr>
                      <w:rFonts w:hint="default" w:ascii="Times New Roman" w:hAnsi="Times New Roman" w:cs="Times New Roman"/>
                      <w:color w:val="auto"/>
                      <w:szCs w:val="21"/>
                      <w:highlight w:val="none"/>
                    </w:rPr>
                  </w:pPr>
                </w:p>
              </w:tc>
              <w:tc>
                <w:tcPr>
                  <w:tcW w:w="3025" w:type="dxa"/>
                  <w:vMerge w:val="continue"/>
                  <w:tcBorders>
                    <w:top w:val="single" w:color="auto" w:sz="4" w:space="0"/>
                    <w:left w:val="single" w:color="auto" w:sz="4" w:space="0"/>
                    <w:bottom w:val="single" w:color="auto" w:sz="4" w:space="0"/>
                    <w:right w:val="single" w:color="auto" w:sz="4" w:space="0"/>
                  </w:tcBorders>
                  <w:vAlign w:val="center"/>
                </w:tcPr>
                <w:p w14:paraId="7C268A43">
                  <w:pPr>
                    <w:widowControl/>
                    <w:jc w:val="left"/>
                    <w:rPr>
                      <w:rFonts w:hint="default" w:ascii="Times New Roman" w:hAnsi="Times New Roman" w:cs="Times New Roman"/>
                      <w:color w:val="auto"/>
                      <w:szCs w:val="21"/>
                      <w:highlight w:val="none"/>
                    </w:rPr>
                  </w:pPr>
                </w:p>
              </w:tc>
              <w:tc>
                <w:tcPr>
                  <w:tcW w:w="1362" w:type="dxa"/>
                  <w:vMerge w:val="continue"/>
                  <w:tcBorders>
                    <w:top w:val="single" w:color="auto" w:sz="4" w:space="0"/>
                    <w:left w:val="single" w:color="auto" w:sz="4" w:space="0"/>
                    <w:bottom w:val="single" w:color="auto" w:sz="4" w:space="0"/>
                    <w:right w:val="single" w:color="auto" w:sz="4" w:space="0"/>
                  </w:tcBorders>
                  <w:vAlign w:val="center"/>
                </w:tcPr>
                <w:p w14:paraId="6D93354E">
                  <w:pPr>
                    <w:widowControl/>
                    <w:jc w:val="left"/>
                    <w:rPr>
                      <w:rFonts w:hint="default" w:ascii="Times New Roman" w:hAnsi="Times New Roman" w:cs="Times New Roman"/>
                      <w:color w:val="auto"/>
                      <w:szCs w:val="21"/>
                      <w:highlight w:val="none"/>
                    </w:rPr>
                  </w:pPr>
                </w:p>
              </w:tc>
            </w:tr>
            <w:tr w14:paraId="740B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16" w:type="dxa"/>
                  <w:tcBorders>
                    <w:top w:val="single" w:color="auto" w:sz="4" w:space="0"/>
                    <w:left w:val="single" w:color="auto" w:sz="4" w:space="0"/>
                    <w:bottom w:val="single" w:color="auto" w:sz="4" w:space="0"/>
                    <w:right w:val="single" w:color="auto" w:sz="4" w:space="0"/>
                  </w:tcBorders>
                  <w:vAlign w:val="center"/>
                </w:tcPr>
                <w:p w14:paraId="5F288A4B">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64" w:type="dxa"/>
                  <w:vMerge w:val="restart"/>
                  <w:tcBorders>
                    <w:top w:val="nil"/>
                    <w:left w:val="single" w:color="auto" w:sz="4" w:space="0"/>
                    <w:right w:val="single" w:color="auto" w:sz="4" w:space="0"/>
                  </w:tcBorders>
                  <w:vAlign w:val="center"/>
                </w:tcPr>
                <w:p w14:paraId="314E39E9">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厂界</w:t>
                  </w:r>
                </w:p>
              </w:tc>
              <w:tc>
                <w:tcPr>
                  <w:tcW w:w="1414" w:type="dxa"/>
                  <w:vMerge w:val="restart"/>
                  <w:tcBorders>
                    <w:top w:val="single" w:color="auto" w:sz="4" w:space="0"/>
                    <w:left w:val="single" w:color="auto" w:sz="4" w:space="0"/>
                    <w:right w:val="single" w:color="auto" w:sz="4" w:space="0"/>
                  </w:tcBorders>
                  <w:vAlign w:val="center"/>
                </w:tcPr>
                <w:p w14:paraId="2110713E">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喷漆、烘烤、喷粉</w:t>
                  </w:r>
                </w:p>
              </w:tc>
              <w:tc>
                <w:tcPr>
                  <w:tcW w:w="1091" w:type="dxa"/>
                  <w:tcBorders>
                    <w:top w:val="single" w:color="auto" w:sz="4" w:space="0"/>
                    <w:left w:val="single" w:color="auto" w:sz="4" w:space="0"/>
                    <w:bottom w:val="single" w:color="auto" w:sz="4" w:space="0"/>
                    <w:right w:val="single" w:color="auto" w:sz="4" w:space="0"/>
                  </w:tcBorders>
                  <w:vAlign w:val="center"/>
                </w:tcPr>
                <w:p w14:paraId="0ED529F3">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3025" w:type="dxa"/>
                  <w:tcBorders>
                    <w:top w:val="single" w:color="auto" w:sz="4" w:space="0"/>
                    <w:left w:val="single" w:color="auto" w:sz="4" w:space="0"/>
                    <w:right w:val="single" w:color="auto" w:sz="4" w:space="0"/>
                  </w:tcBorders>
                  <w:vAlign w:val="center"/>
                </w:tcPr>
                <w:p w14:paraId="22B6FB43">
                  <w:pPr>
                    <w:pStyle w:val="23"/>
                    <w:widowControl w:val="0"/>
                    <w:spacing w:before="0" w:after="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加强废气收集、车间阻隔沉降</w:t>
                  </w:r>
                </w:p>
              </w:tc>
              <w:tc>
                <w:tcPr>
                  <w:tcW w:w="1362" w:type="dxa"/>
                  <w:tcBorders>
                    <w:top w:val="single" w:color="auto" w:sz="4" w:space="0"/>
                    <w:left w:val="single" w:color="auto" w:sz="4" w:space="0"/>
                    <w:bottom w:val="single" w:color="auto" w:sz="4" w:space="0"/>
                    <w:right w:val="single" w:color="auto" w:sz="4" w:space="0"/>
                  </w:tcBorders>
                  <w:vAlign w:val="center"/>
                </w:tcPr>
                <w:p w14:paraId="60D204B7">
                  <w:pPr>
                    <w:pStyle w:val="23"/>
                    <w:widowControl w:val="0"/>
                    <w:spacing w:before="0" w:beforeAutospacing="0" w:after="0" w:afterAutospacing="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164</w:t>
                  </w:r>
                </w:p>
              </w:tc>
            </w:tr>
            <w:tr w14:paraId="5F92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16" w:type="dxa"/>
                  <w:tcBorders>
                    <w:top w:val="single" w:color="auto" w:sz="4" w:space="0"/>
                    <w:left w:val="single" w:color="auto" w:sz="4" w:space="0"/>
                    <w:bottom w:val="single" w:color="auto" w:sz="4" w:space="0"/>
                    <w:right w:val="single" w:color="auto" w:sz="4" w:space="0"/>
                  </w:tcBorders>
                  <w:vAlign w:val="center"/>
                </w:tcPr>
                <w:p w14:paraId="052ABD19">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864" w:type="dxa"/>
                  <w:vMerge w:val="continue"/>
                  <w:tcBorders>
                    <w:left w:val="single" w:color="auto" w:sz="4" w:space="0"/>
                    <w:right w:val="single" w:color="auto" w:sz="4" w:space="0"/>
                  </w:tcBorders>
                  <w:vAlign w:val="center"/>
                </w:tcPr>
                <w:p w14:paraId="53A5145D">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1414" w:type="dxa"/>
                  <w:vMerge w:val="continue"/>
                  <w:tcBorders>
                    <w:left w:val="single" w:color="auto" w:sz="4" w:space="0"/>
                    <w:right w:val="single" w:color="auto" w:sz="4" w:space="0"/>
                  </w:tcBorders>
                  <w:vAlign w:val="center"/>
                </w:tcPr>
                <w:p w14:paraId="7F0B1B08">
                  <w:pPr>
                    <w:adjustRightInd w:val="0"/>
                    <w:snapToGrid w:val="0"/>
                    <w:rPr>
                      <w:rFonts w:hint="default" w:ascii="Times New Roman" w:hAnsi="Times New Roman" w:cs="Times New Roman"/>
                      <w:color w:val="auto"/>
                      <w:szCs w:val="21"/>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14:paraId="68190DA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w:t>
                  </w:r>
                </w:p>
              </w:tc>
              <w:tc>
                <w:tcPr>
                  <w:tcW w:w="3025" w:type="dxa"/>
                  <w:tcBorders>
                    <w:top w:val="single" w:color="auto" w:sz="4" w:space="0"/>
                    <w:left w:val="single" w:color="auto" w:sz="4" w:space="0"/>
                    <w:right w:val="single" w:color="auto" w:sz="4" w:space="0"/>
                  </w:tcBorders>
                  <w:vAlign w:val="center"/>
                </w:tcPr>
                <w:p w14:paraId="242D6A0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加强废气收集</w:t>
                  </w:r>
                </w:p>
              </w:tc>
              <w:tc>
                <w:tcPr>
                  <w:tcW w:w="1362" w:type="dxa"/>
                  <w:tcBorders>
                    <w:top w:val="single" w:color="auto" w:sz="4" w:space="0"/>
                    <w:left w:val="single" w:color="auto" w:sz="4" w:space="0"/>
                    <w:bottom w:val="single" w:color="auto" w:sz="4" w:space="0"/>
                    <w:right w:val="single" w:color="auto" w:sz="4" w:space="0"/>
                  </w:tcBorders>
                  <w:vAlign w:val="center"/>
                </w:tcPr>
                <w:p w14:paraId="7D4873E3">
                  <w:pPr>
                    <w:pStyle w:val="23"/>
                    <w:widowControl w:val="0"/>
                    <w:spacing w:before="0" w:beforeAutospacing="0" w:after="0" w:afterAutospacing="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163</w:t>
                  </w:r>
                </w:p>
              </w:tc>
            </w:tr>
            <w:tr w14:paraId="4459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016" w:type="dxa"/>
                  <w:tcBorders>
                    <w:top w:val="single" w:color="auto" w:sz="4" w:space="0"/>
                    <w:left w:val="single" w:color="auto" w:sz="4" w:space="0"/>
                    <w:bottom w:val="single" w:color="auto" w:sz="4" w:space="0"/>
                    <w:right w:val="single" w:color="auto" w:sz="4" w:space="0"/>
                  </w:tcBorders>
                  <w:vAlign w:val="center"/>
                </w:tcPr>
                <w:p w14:paraId="1E262AAA">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864" w:type="dxa"/>
                  <w:vMerge w:val="continue"/>
                  <w:tcBorders>
                    <w:left w:val="single" w:color="auto" w:sz="4" w:space="0"/>
                    <w:right w:val="single" w:color="auto" w:sz="4" w:space="0"/>
                  </w:tcBorders>
                  <w:vAlign w:val="center"/>
                </w:tcPr>
                <w:p w14:paraId="393F6FC2">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1414" w:type="dxa"/>
                  <w:vMerge w:val="continue"/>
                  <w:tcBorders>
                    <w:left w:val="single" w:color="auto" w:sz="4" w:space="0"/>
                    <w:right w:val="single" w:color="auto" w:sz="4" w:space="0"/>
                  </w:tcBorders>
                  <w:vAlign w:val="center"/>
                </w:tcPr>
                <w:p w14:paraId="51AF4190">
                  <w:pPr>
                    <w:adjustRightInd w:val="0"/>
                    <w:snapToGrid w:val="0"/>
                    <w:jc w:val="center"/>
                    <w:rPr>
                      <w:rFonts w:hint="default" w:ascii="Times New Roman" w:hAnsi="Times New Roman" w:cs="Times New Roman"/>
                      <w:color w:val="auto"/>
                      <w:szCs w:val="21"/>
                      <w:highlight w:val="none"/>
                      <w:lang w:bidi="ar"/>
                    </w:rPr>
                  </w:pPr>
                </w:p>
              </w:tc>
              <w:tc>
                <w:tcPr>
                  <w:tcW w:w="1091" w:type="dxa"/>
                  <w:tcBorders>
                    <w:top w:val="single" w:color="auto" w:sz="4" w:space="0"/>
                    <w:left w:val="single" w:color="auto" w:sz="4" w:space="0"/>
                    <w:bottom w:val="single" w:color="auto" w:sz="4" w:space="0"/>
                    <w:right w:val="single" w:color="auto" w:sz="4" w:space="0"/>
                  </w:tcBorders>
                  <w:vAlign w:val="center"/>
                </w:tcPr>
                <w:p w14:paraId="4B73143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lang w:val="en-US" w:eastAsia="zh-CN"/>
                    </w:rPr>
                    <w:t>其中：</w:t>
                  </w:r>
                  <w:r>
                    <w:rPr>
                      <w:rFonts w:hint="default" w:ascii="Times New Roman" w:hAnsi="Times New Roman" w:cs="Times New Roman"/>
                      <w:color w:val="auto"/>
                      <w:szCs w:val="21"/>
                      <w:highlight w:val="none"/>
                    </w:rPr>
                    <w:t>二甲苯</w:t>
                  </w:r>
                </w:p>
              </w:tc>
              <w:tc>
                <w:tcPr>
                  <w:tcW w:w="3025" w:type="dxa"/>
                  <w:tcBorders>
                    <w:top w:val="single" w:color="auto" w:sz="4" w:space="0"/>
                    <w:left w:val="single" w:color="auto" w:sz="4" w:space="0"/>
                    <w:right w:val="single" w:color="auto" w:sz="4" w:space="0"/>
                  </w:tcBorders>
                  <w:vAlign w:val="center"/>
                </w:tcPr>
                <w:p w14:paraId="18DB793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加强废气收集</w:t>
                  </w:r>
                </w:p>
              </w:tc>
              <w:tc>
                <w:tcPr>
                  <w:tcW w:w="1362" w:type="dxa"/>
                  <w:tcBorders>
                    <w:top w:val="single" w:color="auto" w:sz="4" w:space="0"/>
                    <w:left w:val="single" w:color="auto" w:sz="4" w:space="0"/>
                    <w:bottom w:val="single" w:color="auto" w:sz="4" w:space="0"/>
                    <w:right w:val="single" w:color="auto" w:sz="4" w:space="0"/>
                  </w:tcBorders>
                  <w:vAlign w:val="center"/>
                </w:tcPr>
                <w:p w14:paraId="36C52644">
                  <w:pPr>
                    <w:pStyle w:val="23"/>
                    <w:widowControl w:val="0"/>
                    <w:spacing w:before="0" w:beforeAutospacing="0" w:after="0" w:afterAutospacing="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104</w:t>
                  </w:r>
                </w:p>
              </w:tc>
            </w:tr>
            <w:tr w14:paraId="1045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294" w:type="dxa"/>
                  <w:gridSpan w:val="3"/>
                  <w:vMerge w:val="restart"/>
                  <w:tcBorders>
                    <w:top w:val="single" w:color="auto" w:sz="4" w:space="0"/>
                    <w:left w:val="single" w:color="auto" w:sz="4" w:space="0"/>
                    <w:right w:val="single" w:color="auto" w:sz="4" w:space="0"/>
                  </w:tcBorders>
                  <w:vAlign w:val="center"/>
                </w:tcPr>
                <w:p w14:paraId="4522E630">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总计</w:t>
                  </w:r>
                </w:p>
              </w:tc>
              <w:tc>
                <w:tcPr>
                  <w:tcW w:w="1091" w:type="dxa"/>
                  <w:tcBorders>
                    <w:top w:val="single" w:color="auto" w:sz="4" w:space="0"/>
                    <w:left w:val="single" w:color="auto" w:sz="4" w:space="0"/>
                    <w:bottom w:val="single" w:color="auto" w:sz="4" w:space="0"/>
                    <w:right w:val="single" w:color="auto" w:sz="4" w:space="0"/>
                  </w:tcBorders>
                  <w:vAlign w:val="center"/>
                </w:tcPr>
                <w:p w14:paraId="66E58BCA">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3025" w:type="dxa"/>
                  <w:tcBorders>
                    <w:top w:val="single" w:color="auto" w:sz="4" w:space="0"/>
                    <w:left w:val="single" w:color="auto" w:sz="4" w:space="0"/>
                    <w:bottom w:val="single" w:color="auto" w:sz="4" w:space="0"/>
                    <w:right w:val="single" w:color="auto" w:sz="4" w:space="0"/>
                  </w:tcBorders>
                  <w:vAlign w:val="center"/>
                </w:tcPr>
                <w:p w14:paraId="0F30A1BF">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362" w:type="dxa"/>
                  <w:tcBorders>
                    <w:top w:val="single" w:color="auto" w:sz="4" w:space="0"/>
                    <w:left w:val="single" w:color="auto" w:sz="4" w:space="0"/>
                    <w:bottom w:val="single" w:color="auto" w:sz="4" w:space="0"/>
                    <w:right w:val="single" w:color="auto" w:sz="4" w:space="0"/>
                  </w:tcBorders>
                  <w:vAlign w:val="center"/>
                </w:tcPr>
                <w:p w14:paraId="57B9DC4D">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164</w:t>
                  </w:r>
                </w:p>
              </w:tc>
            </w:tr>
            <w:tr w14:paraId="1F21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294" w:type="dxa"/>
                  <w:gridSpan w:val="3"/>
                  <w:vMerge w:val="continue"/>
                  <w:tcBorders>
                    <w:left w:val="single" w:color="auto" w:sz="4" w:space="0"/>
                    <w:right w:val="single" w:color="auto" w:sz="4" w:space="0"/>
                  </w:tcBorders>
                  <w:vAlign w:val="center"/>
                </w:tcPr>
                <w:p w14:paraId="4DBA943E">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14:paraId="09D5F494">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TVOC</w:t>
                  </w:r>
                </w:p>
              </w:tc>
              <w:tc>
                <w:tcPr>
                  <w:tcW w:w="3025" w:type="dxa"/>
                  <w:tcBorders>
                    <w:top w:val="single" w:color="auto" w:sz="4" w:space="0"/>
                    <w:left w:val="single" w:color="auto" w:sz="4" w:space="0"/>
                    <w:bottom w:val="single" w:color="auto" w:sz="4" w:space="0"/>
                    <w:right w:val="single" w:color="auto" w:sz="4" w:space="0"/>
                  </w:tcBorders>
                  <w:vAlign w:val="center"/>
                </w:tcPr>
                <w:p w14:paraId="70149460">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362" w:type="dxa"/>
                  <w:tcBorders>
                    <w:top w:val="single" w:color="auto" w:sz="4" w:space="0"/>
                    <w:left w:val="single" w:color="auto" w:sz="4" w:space="0"/>
                    <w:bottom w:val="single" w:color="auto" w:sz="4" w:space="0"/>
                    <w:right w:val="single" w:color="auto" w:sz="4" w:space="0"/>
                  </w:tcBorders>
                  <w:vAlign w:val="center"/>
                </w:tcPr>
                <w:p w14:paraId="608D1312">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163</w:t>
                  </w:r>
                </w:p>
              </w:tc>
            </w:tr>
            <w:tr w14:paraId="281B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94" w:type="dxa"/>
                  <w:gridSpan w:val="3"/>
                  <w:vMerge w:val="continue"/>
                  <w:tcBorders>
                    <w:left w:val="single" w:color="auto" w:sz="4" w:space="0"/>
                    <w:right w:val="single" w:color="auto" w:sz="4" w:space="0"/>
                  </w:tcBorders>
                  <w:vAlign w:val="center"/>
                </w:tcPr>
                <w:p w14:paraId="62FD8EC5">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14:paraId="345AF8DA">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lang w:val="en-US" w:eastAsia="zh-CN"/>
                    </w:rPr>
                    <w:t>其中：</w:t>
                  </w:r>
                  <w:r>
                    <w:rPr>
                      <w:rFonts w:hint="default" w:ascii="Times New Roman" w:hAnsi="Times New Roman" w:cs="Times New Roman"/>
                      <w:color w:val="auto"/>
                      <w:sz w:val="21"/>
                      <w:szCs w:val="21"/>
                      <w:highlight w:val="none"/>
                    </w:rPr>
                    <w:t>二甲苯</w:t>
                  </w:r>
                </w:p>
              </w:tc>
              <w:tc>
                <w:tcPr>
                  <w:tcW w:w="3025" w:type="dxa"/>
                  <w:tcBorders>
                    <w:top w:val="single" w:color="auto" w:sz="4" w:space="0"/>
                    <w:left w:val="single" w:color="auto" w:sz="4" w:space="0"/>
                    <w:bottom w:val="single" w:color="auto" w:sz="4" w:space="0"/>
                    <w:right w:val="single" w:color="auto" w:sz="4" w:space="0"/>
                  </w:tcBorders>
                  <w:vAlign w:val="center"/>
                </w:tcPr>
                <w:p w14:paraId="2109A282">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362" w:type="dxa"/>
                  <w:tcBorders>
                    <w:top w:val="single" w:color="auto" w:sz="4" w:space="0"/>
                    <w:left w:val="single" w:color="auto" w:sz="4" w:space="0"/>
                    <w:bottom w:val="single" w:color="auto" w:sz="4" w:space="0"/>
                    <w:right w:val="single" w:color="auto" w:sz="4" w:space="0"/>
                  </w:tcBorders>
                  <w:vAlign w:val="center"/>
                </w:tcPr>
                <w:p w14:paraId="09AC0A81">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104</w:t>
                  </w:r>
                </w:p>
              </w:tc>
            </w:tr>
          </w:tbl>
          <w:p w14:paraId="493A3394">
            <w:pPr>
              <w:adjustRightInd w:val="0"/>
              <w:snapToGrid w:val="0"/>
              <w:spacing w:before="120" w:beforeLines="5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表4-7本项目大气污染物年排放量核算表</w:t>
            </w:r>
          </w:p>
          <w:tbl>
            <w:tblPr>
              <w:tblStyle w:val="26"/>
              <w:tblW w:w="8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9"/>
              <w:gridCol w:w="3120"/>
              <w:gridCol w:w="2680"/>
            </w:tblGrid>
            <w:tr w14:paraId="6428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959" w:type="dxa"/>
                  <w:tcBorders>
                    <w:top w:val="single" w:color="auto" w:sz="4" w:space="0"/>
                    <w:left w:val="single" w:color="auto" w:sz="4" w:space="0"/>
                    <w:bottom w:val="single" w:color="auto" w:sz="4" w:space="0"/>
                    <w:right w:val="single" w:color="auto" w:sz="4" w:space="0"/>
                  </w:tcBorders>
                  <w:vAlign w:val="center"/>
                </w:tcPr>
                <w:p w14:paraId="58D98BF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p>
              </w:tc>
              <w:tc>
                <w:tcPr>
                  <w:tcW w:w="3120" w:type="dxa"/>
                  <w:tcBorders>
                    <w:top w:val="single" w:color="auto" w:sz="4" w:space="0"/>
                    <w:left w:val="single" w:color="auto" w:sz="4" w:space="0"/>
                    <w:bottom w:val="single" w:color="auto" w:sz="4" w:space="0"/>
                    <w:right w:val="single" w:color="auto" w:sz="4" w:space="0"/>
                  </w:tcBorders>
                  <w:vAlign w:val="center"/>
                </w:tcPr>
                <w:p w14:paraId="2CDC068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污染物</w:t>
                  </w:r>
                </w:p>
              </w:tc>
              <w:tc>
                <w:tcPr>
                  <w:tcW w:w="2680" w:type="dxa"/>
                  <w:tcBorders>
                    <w:top w:val="single" w:color="auto" w:sz="4" w:space="0"/>
                    <w:left w:val="single" w:color="auto" w:sz="4" w:space="0"/>
                    <w:bottom w:val="single" w:color="auto" w:sz="4" w:space="0"/>
                    <w:right w:val="single" w:color="auto" w:sz="4" w:space="0"/>
                  </w:tcBorders>
                  <w:vAlign w:val="center"/>
                </w:tcPr>
                <w:p w14:paraId="0FF2796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年排放量t/a</w:t>
                  </w:r>
                </w:p>
              </w:tc>
            </w:tr>
            <w:tr w14:paraId="2428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959" w:type="dxa"/>
                  <w:vMerge w:val="restart"/>
                  <w:tcBorders>
                    <w:top w:val="single" w:color="auto" w:sz="4" w:space="0"/>
                    <w:left w:val="single" w:color="auto" w:sz="4" w:space="0"/>
                    <w:right w:val="single" w:color="auto" w:sz="4" w:space="0"/>
                  </w:tcBorders>
                  <w:vAlign w:val="center"/>
                </w:tcPr>
                <w:p w14:paraId="7334A65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有组织</w:t>
                  </w:r>
                </w:p>
              </w:tc>
              <w:tc>
                <w:tcPr>
                  <w:tcW w:w="3120" w:type="dxa"/>
                  <w:tcBorders>
                    <w:top w:val="single" w:color="auto" w:sz="4" w:space="0"/>
                    <w:left w:val="single" w:color="auto" w:sz="4" w:space="0"/>
                    <w:bottom w:val="single" w:color="auto" w:sz="4" w:space="0"/>
                    <w:right w:val="single" w:color="auto" w:sz="4" w:space="0"/>
                  </w:tcBorders>
                  <w:vAlign w:val="center"/>
                </w:tcPr>
                <w:p w14:paraId="45DDA8C6">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2680" w:type="dxa"/>
                  <w:tcBorders>
                    <w:top w:val="single" w:color="auto" w:sz="4" w:space="0"/>
                    <w:left w:val="single" w:color="auto" w:sz="4" w:space="0"/>
                    <w:bottom w:val="single" w:color="auto" w:sz="4" w:space="0"/>
                    <w:right w:val="single" w:color="auto" w:sz="4" w:space="0"/>
                  </w:tcBorders>
                  <w:vAlign w:val="center"/>
                </w:tcPr>
                <w:p w14:paraId="63A0A00D">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0.0</w:t>
                  </w:r>
                  <w:r>
                    <w:rPr>
                      <w:rFonts w:hint="default" w:ascii="Times New Roman" w:hAnsi="Times New Roman" w:cs="Times New Roman"/>
                      <w:color w:val="auto"/>
                      <w:sz w:val="21"/>
                      <w:szCs w:val="21"/>
                      <w:highlight w:val="none"/>
                      <w:lang w:val="en-US" w:eastAsia="zh-CN" w:bidi="ar"/>
                    </w:rPr>
                    <w:t>79</w:t>
                  </w:r>
                </w:p>
              </w:tc>
            </w:tr>
            <w:tr w14:paraId="6379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959" w:type="dxa"/>
                  <w:vMerge w:val="continue"/>
                  <w:tcBorders>
                    <w:left w:val="single" w:color="auto" w:sz="4" w:space="0"/>
                    <w:right w:val="single" w:color="auto" w:sz="4" w:space="0"/>
                  </w:tcBorders>
                  <w:vAlign w:val="center"/>
                </w:tcPr>
                <w:p w14:paraId="51A63ADF">
                  <w:pPr>
                    <w:jc w:val="center"/>
                    <w:rPr>
                      <w:rFonts w:hint="default" w:ascii="Times New Roman" w:hAnsi="Times New Roman" w:cs="Times New Roman"/>
                      <w:color w:val="auto"/>
                      <w:highlight w:val="none"/>
                    </w:rPr>
                  </w:pPr>
                </w:p>
              </w:tc>
              <w:tc>
                <w:tcPr>
                  <w:tcW w:w="3120" w:type="dxa"/>
                  <w:tcBorders>
                    <w:top w:val="single" w:color="auto" w:sz="4" w:space="0"/>
                    <w:left w:val="single" w:color="auto" w:sz="4" w:space="0"/>
                    <w:bottom w:val="single" w:color="auto" w:sz="4" w:space="0"/>
                    <w:right w:val="single" w:color="auto" w:sz="4" w:space="0"/>
                  </w:tcBorders>
                  <w:vAlign w:val="center"/>
                </w:tcPr>
                <w:p w14:paraId="712D59E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w:t>
                  </w:r>
                </w:p>
              </w:tc>
              <w:tc>
                <w:tcPr>
                  <w:tcW w:w="2680" w:type="dxa"/>
                  <w:tcBorders>
                    <w:top w:val="single" w:color="auto" w:sz="4" w:space="0"/>
                    <w:left w:val="single" w:color="auto" w:sz="4" w:space="0"/>
                    <w:bottom w:val="single" w:color="auto" w:sz="4" w:space="0"/>
                    <w:right w:val="single" w:color="auto" w:sz="4" w:space="0"/>
                  </w:tcBorders>
                  <w:vAlign w:val="center"/>
                </w:tcPr>
                <w:p w14:paraId="73DF9590">
                  <w:pPr>
                    <w:pStyle w:val="23"/>
                    <w:widowControl w:val="0"/>
                    <w:spacing w:before="0" w:beforeAutospacing="0" w:after="0" w:afterAutospacing="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180</w:t>
                  </w:r>
                </w:p>
              </w:tc>
            </w:tr>
            <w:tr w14:paraId="2753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959" w:type="dxa"/>
                  <w:vMerge w:val="continue"/>
                  <w:tcBorders>
                    <w:left w:val="single" w:color="auto" w:sz="4" w:space="0"/>
                    <w:right w:val="single" w:color="auto" w:sz="4" w:space="0"/>
                  </w:tcBorders>
                  <w:vAlign w:val="center"/>
                </w:tcPr>
                <w:p w14:paraId="4CD3F61E">
                  <w:pPr>
                    <w:jc w:val="center"/>
                    <w:rPr>
                      <w:rFonts w:hint="default" w:ascii="Times New Roman" w:hAnsi="Times New Roman" w:cs="Times New Roman"/>
                      <w:color w:val="auto"/>
                      <w:highlight w:val="none"/>
                    </w:rPr>
                  </w:pPr>
                </w:p>
              </w:tc>
              <w:tc>
                <w:tcPr>
                  <w:tcW w:w="3120" w:type="dxa"/>
                  <w:tcBorders>
                    <w:top w:val="single" w:color="auto" w:sz="4" w:space="0"/>
                    <w:left w:val="single" w:color="auto" w:sz="4" w:space="0"/>
                    <w:bottom w:val="single" w:color="auto" w:sz="4" w:space="0"/>
                    <w:right w:val="single" w:color="auto" w:sz="4" w:space="0"/>
                  </w:tcBorders>
                  <w:vAlign w:val="center"/>
                </w:tcPr>
                <w:p w14:paraId="7A95B49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lang w:val="en-US" w:eastAsia="zh-CN"/>
                    </w:rPr>
                    <w:t>其中：</w:t>
                  </w:r>
                  <w:r>
                    <w:rPr>
                      <w:rFonts w:hint="default" w:ascii="Times New Roman" w:hAnsi="Times New Roman" w:cs="Times New Roman"/>
                      <w:color w:val="auto"/>
                      <w:szCs w:val="21"/>
                      <w:highlight w:val="none"/>
                    </w:rPr>
                    <w:t>二甲苯</w:t>
                  </w:r>
                </w:p>
              </w:tc>
              <w:tc>
                <w:tcPr>
                  <w:tcW w:w="2680" w:type="dxa"/>
                  <w:tcBorders>
                    <w:top w:val="single" w:color="auto" w:sz="4" w:space="0"/>
                    <w:left w:val="single" w:color="auto" w:sz="4" w:space="0"/>
                    <w:bottom w:val="single" w:color="auto" w:sz="4" w:space="0"/>
                    <w:right w:val="single" w:color="auto" w:sz="4" w:space="0"/>
                  </w:tcBorders>
                  <w:vAlign w:val="center"/>
                </w:tcPr>
                <w:p w14:paraId="5C3CE615">
                  <w:pPr>
                    <w:pStyle w:val="23"/>
                    <w:widowControl w:val="0"/>
                    <w:spacing w:before="0" w:beforeAutospacing="0" w:after="0" w:afterAutospacing="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115</w:t>
                  </w:r>
                </w:p>
              </w:tc>
            </w:tr>
            <w:tr w14:paraId="6A63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959" w:type="dxa"/>
                  <w:vMerge w:val="restart"/>
                  <w:tcBorders>
                    <w:top w:val="single" w:color="auto" w:sz="4" w:space="0"/>
                    <w:left w:val="single" w:color="auto" w:sz="4" w:space="0"/>
                    <w:right w:val="single" w:color="auto" w:sz="4" w:space="0"/>
                  </w:tcBorders>
                  <w:vAlign w:val="center"/>
                </w:tcPr>
                <w:p w14:paraId="4C023F4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无组织</w:t>
                  </w:r>
                </w:p>
              </w:tc>
              <w:tc>
                <w:tcPr>
                  <w:tcW w:w="3120" w:type="dxa"/>
                  <w:tcBorders>
                    <w:top w:val="single" w:color="auto" w:sz="4" w:space="0"/>
                    <w:left w:val="single" w:color="auto" w:sz="4" w:space="0"/>
                    <w:bottom w:val="single" w:color="auto" w:sz="4" w:space="0"/>
                    <w:right w:val="single" w:color="auto" w:sz="4" w:space="0"/>
                  </w:tcBorders>
                  <w:vAlign w:val="center"/>
                </w:tcPr>
                <w:p w14:paraId="0D428E31">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2680" w:type="dxa"/>
                  <w:tcBorders>
                    <w:top w:val="single" w:color="auto" w:sz="4" w:space="0"/>
                    <w:left w:val="single" w:color="auto" w:sz="4" w:space="0"/>
                    <w:bottom w:val="single" w:color="auto" w:sz="4" w:space="0"/>
                    <w:right w:val="single" w:color="auto" w:sz="4" w:space="0"/>
                  </w:tcBorders>
                  <w:vAlign w:val="center"/>
                </w:tcPr>
                <w:p w14:paraId="4D55A9E5">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164</w:t>
                  </w:r>
                </w:p>
              </w:tc>
            </w:tr>
            <w:tr w14:paraId="0344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959" w:type="dxa"/>
                  <w:vMerge w:val="continue"/>
                  <w:tcBorders>
                    <w:left w:val="single" w:color="auto" w:sz="4" w:space="0"/>
                    <w:right w:val="single" w:color="auto" w:sz="4" w:space="0"/>
                  </w:tcBorders>
                  <w:vAlign w:val="center"/>
                </w:tcPr>
                <w:p w14:paraId="06BC2A0D">
                  <w:pPr>
                    <w:jc w:val="center"/>
                    <w:rPr>
                      <w:rFonts w:hint="default" w:ascii="Times New Roman" w:hAnsi="Times New Roman" w:cs="Times New Roman"/>
                      <w:color w:val="auto"/>
                      <w:highlight w:val="none"/>
                    </w:rPr>
                  </w:pPr>
                </w:p>
              </w:tc>
              <w:tc>
                <w:tcPr>
                  <w:tcW w:w="3120" w:type="dxa"/>
                  <w:tcBorders>
                    <w:top w:val="single" w:color="auto" w:sz="4" w:space="0"/>
                    <w:left w:val="single" w:color="auto" w:sz="4" w:space="0"/>
                    <w:bottom w:val="single" w:color="auto" w:sz="4" w:space="0"/>
                    <w:right w:val="single" w:color="auto" w:sz="4" w:space="0"/>
                  </w:tcBorders>
                  <w:vAlign w:val="center"/>
                </w:tcPr>
                <w:p w14:paraId="7BA5E14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w:t>
                  </w:r>
                </w:p>
              </w:tc>
              <w:tc>
                <w:tcPr>
                  <w:tcW w:w="2680" w:type="dxa"/>
                  <w:tcBorders>
                    <w:top w:val="single" w:color="auto" w:sz="4" w:space="0"/>
                    <w:left w:val="single" w:color="auto" w:sz="4" w:space="0"/>
                    <w:bottom w:val="single" w:color="auto" w:sz="4" w:space="0"/>
                    <w:right w:val="single" w:color="auto" w:sz="4" w:space="0"/>
                  </w:tcBorders>
                  <w:vAlign w:val="center"/>
                </w:tcPr>
                <w:p w14:paraId="25C14A19">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163</w:t>
                  </w:r>
                </w:p>
              </w:tc>
            </w:tr>
            <w:tr w14:paraId="276E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959" w:type="dxa"/>
                  <w:vMerge w:val="continue"/>
                  <w:tcBorders>
                    <w:left w:val="single" w:color="auto" w:sz="4" w:space="0"/>
                    <w:right w:val="single" w:color="auto" w:sz="4" w:space="0"/>
                  </w:tcBorders>
                  <w:vAlign w:val="center"/>
                </w:tcPr>
                <w:p w14:paraId="747489AE">
                  <w:pPr>
                    <w:jc w:val="center"/>
                    <w:rPr>
                      <w:rFonts w:hint="default" w:ascii="Times New Roman" w:hAnsi="Times New Roman" w:cs="Times New Roman"/>
                      <w:color w:val="auto"/>
                      <w:highlight w:val="none"/>
                    </w:rPr>
                  </w:pPr>
                </w:p>
              </w:tc>
              <w:tc>
                <w:tcPr>
                  <w:tcW w:w="3120" w:type="dxa"/>
                  <w:tcBorders>
                    <w:top w:val="single" w:color="auto" w:sz="4" w:space="0"/>
                    <w:left w:val="single" w:color="auto" w:sz="4" w:space="0"/>
                    <w:bottom w:val="single" w:color="auto" w:sz="4" w:space="0"/>
                    <w:right w:val="single" w:color="auto" w:sz="4" w:space="0"/>
                  </w:tcBorders>
                  <w:vAlign w:val="center"/>
                </w:tcPr>
                <w:p w14:paraId="35D2D32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lang w:val="en-US" w:eastAsia="zh-CN"/>
                    </w:rPr>
                    <w:t>其中：</w:t>
                  </w:r>
                  <w:r>
                    <w:rPr>
                      <w:rFonts w:hint="default" w:ascii="Times New Roman" w:hAnsi="Times New Roman" w:cs="Times New Roman"/>
                      <w:color w:val="auto"/>
                      <w:szCs w:val="21"/>
                      <w:highlight w:val="none"/>
                    </w:rPr>
                    <w:t>二甲苯</w:t>
                  </w:r>
                </w:p>
              </w:tc>
              <w:tc>
                <w:tcPr>
                  <w:tcW w:w="2680" w:type="dxa"/>
                  <w:tcBorders>
                    <w:top w:val="single" w:color="auto" w:sz="4" w:space="0"/>
                    <w:left w:val="single" w:color="auto" w:sz="4" w:space="0"/>
                    <w:bottom w:val="single" w:color="auto" w:sz="4" w:space="0"/>
                    <w:right w:val="single" w:color="auto" w:sz="4" w:space="0"/>
                  </w:tcBorders>
                  <w:vAlign w:val="center"/>
                </w:tcPr>
                <w:p w14:paraId="73FC0C3C">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0.</w:t>
                  </w:r>
                  <w:r>
                    <w:rPr>
                      <w:rFonts w:hint="default" w:ascii="Times New Roman" w:hAnsi="Times New Roman" w:cs="Times New Roman"/>
                      <w:color w:val="auto"/>
                      <w:sz w:val="21"/>
                      <w:szCs w:val="21"/>
                      <w:highlight w:val="none"/>
                      <w:lang w:val="en-US" w:eastAsia="zh-CN" w:bidi="ar"/>
                    </w:rPr>
                    <w:t>104</w:t>
                  </w:r>
                </w:p>
              </w:tc>
            </w:tr>
            <w:tr w14:paraId="55E0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959" w:type="dxa"/>
                  <w:vMerge w:val="restart"/>
                  <w:tcBorders>
                    <w:top w:val="single" w:color="auto" w:sz="4" w:space="0"/>
                    <w:left w:val="single" w:color="auto" w:sz="4" w:space="0"/>
                    <w:right w:val="single" w:color="auto" w:sz="4" w:space="0"/>
                  </w:tcBorders>
                  <w:vAlign w:val="center"/>
                </w:tcPr>
                <w:p w14:paraId="4B4F540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合计</w:t>
                  </w:r>
                </w:p>
              </w:tc>
              <w:tc>
                <w:tcPr>
                  <w:tcW w:w="3120" w:type="dxa"/>
                  <w:tcBorders>
                    <w:top w:val="single" w:color="auto" w:sz="4" w:space="0"/>
                    <w:left w:val="single" w:color="auto" w:sz="4" w:space="0"/>
                    <w:bottom w:val="single" w:color="auto" w:sz="4" w:space="0"/>
                    <w:right w:val="single" w:color="auto" w:sz="4" w:space="0"/>
                  </w:tcBorders>
                  <w:vAlign w:val="center"/>
                </w:tcPr>
                <w:p w14:paraId="3D58AD66">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2680" w:type="dxa"/>
                  <w:tcBorders>
                    <w:top w:val="single" w:color="auto" w:sz="4" w:space="0"/>
                    <w:left w:val="single" w:color="auto" w:sz="4" w:space="0"/>
                    <w:bottom w:val="single" w:color="auto" w:sz="4" w:space="0"/>
                    <w:right w:val="single" w:color="auto" w:sz="4" w:space="0"/>
                  </w:tcBorders>
                  <w:vAlign w:val="center"/>
                </w:tcPr>
                <w:p w14:paraId="0E00F5C1">
                  <w:pPr>
                    <w:widowControl/>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0.</w:t>
                  </w:r>
                  <w:r>
                    <w:rPr>
                      <w:rFonts w:hint="default" w:ascii="Times New Roman" w:hAnsi="Times New Roman" w:cs="Times New Roman"/>
                      <w:color w:val="auto"/>
                      <w:highlight w:val="none"/>
                      <w:lang w:val="en-US" w:eastAsia="zh-CN"/>
                    </w:rPr>
                    <w:t>243</w:t>
                  </w:r>
                </w:p>
              </w:tc>
            </w:tr>
            <w:tr w14:paraId="3725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959" w:type="dxa"/>
                  <w:vMerge w:val="continue"/>
                  <w:tcBorders>
                    <w:left w:val="single" w:color="auto" w:sz="4" w:space="0"/>
                    <w:right w:val="single" w:color="auto" w:sz="4" w:space="0"/>
                  </w:tcBorders>
                  <w:vAlign w:val="center"/>
                </w:tcPr>
                <w:p w14:paraId="24DF79A4">
                  <w:pPr>
                    <w:jc w:val="center"/>
                    <w:rPr>
                      <w:rFonts w:hint="default" w:ascii="Times New Roman" w:hAnsi="Times New Roman" w:cs="Times New Roman"/>
                      <w:color w:val="auto"/>
                      <w:highlight w:val="none"/>
                    </w:rPr>
                  </w:pPr>
                </w:p>
              </w:tc>
              <w:tc>
                <w:tcPr>
                  <w:tcW w:w="3120" w:type="dxa"/>
                  <w:tcBorders>
                    <w:top w:val="single" w:color="auto" w:sz="4" w:space="0"/>
                    <w:left w:val="single" w:color="auto" w:sz="4" w:space="0"/>
                    <w:bottom w:val="single" w:color="auto" w:sz="4" w:space="0"/>
                    <w:right w:val="single" w:color="auto" w:sz="4" w:space="0"/>
                  </w:tcBorders>
                  <w:vAlign w:val="center"/>
                </w:tcPr>
                <w:p w14:paraId="2C4A5E7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w:t>
                  </w:r>
                </w:p>
              </w:tc>
              <w:tc>
                <w:tcPr>
                  <w:tcW w:w="2680" w:type="dxa"/>
                  <w:tcBorders>
                    <w:top w:val="single" w:color="auto" w:sz="4" w:space="0"/>
                    <w:left w:val="single" w:color="auto" w:sz="4" w:space="0"/>
                    <w:bottom w:val="single" w:color="auto" w:sz="4" w:space="0"/>
                    <w:right w:val="single" w:color="auto" w:sz="4" w:space="0"/>
                  </w:tcBorders>
                  <w:vAlign w:val="center"/>
                </w:tcPr>
                <w:p w14:paraId="3C161B66">
                  <w:pPr>
                    <w:widowControl/>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0.</w:t>
                  </w:r>
                  <w:r>
                    <w:rPr>
                      <w:rFonts w:hint="default" w:ascii="Times New Roman" w:hAnsi="Times New Roman" w:cs="Times New Roman"/>
                      <w:color w:val="auto"/>
                      <w:highlight w:val="none"/>
                      <w:lang w:val="en-US" w:eastAsia="zh-CN"/>
                    </w:rPr>
                    <w:t>343</w:t>
                  </w:r>
                </w:p>
              </w:tc>
            </w:tr>
            <w:tr w14:paraId="5958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959" w:type="dxa"/>
                  <w:vMerge w:val="continue"/>
                  <w:tcBorders>
                    <w:left w:val="single" w:color="auto" w:sz="4" w:space="0"/>
                    <w:right w:val="single" w:color="auto" w:sz="4" w:space="0"/>
                  </w:tcBorders>
                  <w:vAlign w:val="center"/>
                </w:tcPr>
                <w:p w14:paraId="43E924F2">
                  <w:pPr>
                    <w:jc w:val="center"/>
                    <w:rPr>
                      <w:rFonts w:hint="default" w:ascii="Times New Roman" w:hAnsi="Times New Roman" w:cs="Times New Roman"/>
                      <w:color w:val="auto"/>
                      <w:highlight w:val="none"/>
                    </w:rPr>
                  </w:pPr>
                </w:p>
              </w:tc>
              <w:tc>
                <w:tcPr>
                  <w:tcW w:w="3120" w:type="dxa"/>
                  <w:tcBorders>
                    <w:top w:val="single" w:color="auto" w:sz="4" w:space="0"/>
                    <w:left w:val="single" w:color="auto" w:sz="4" w:space="0"/>
                    <w:bottom w:val="single" w:color="auto" w:sz="4" w:space="0"/>
                    <w:right w:val="single" w:color="auto" w:sz="4" w:space="0"/>
                  </w:tcBorders>
                  <w:vAlign w:val="center"/>
                </w:tcPr>
                <w:p w14:paraId="623B1E7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lang w:val="en-US" w:eastAsia="zh-CN"/>
                    </w:rPr>
                    <w:t>其中：</w:t>
                  </w:r>
                  <w:r>
                    <w:rPr>
                      <w:rFonts w:hint="default" w:ascii="Times New Roman" w:hAnsi="Times New Roman" w:cs="Times New Roman"/>
                      <w:color w:val="auto"/>
                      <w:szCs w:val="21"/>
                      <w:highlight w:val="none"/>
                    </w:rPr>
                    <w:t>二甲苯</w:t>
                  </w:r>
                </w:p>
              </w:tc>
              <w:tc>
                <w:tcPr>
                  <w:tcW w:w="2680" w:type="dxa"/>
                  <w:tcBorders>
                    <w:top w:val="single" w:color="auto" w:sz="4" w:space="0"/>
                    <w:left w:val="single" w:color="auto" w:sz="4" w:space="0"/>
                    <w:bottom w:val="single" w:color="auto" w:sz="4" w:space="0"/>
                    <w:right w:val="single" w:color="auto" w:sz="4" w:space="0"/>
                  </w:tcBorders>
                  <w:vAlign w:val="center"/>
                </w:tcPr>
                <w:p w14:paraId="110DCC06">
                  <w:pPr>
                    <w:widowControl/>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0.</w:t>
                  </w:r>
                  <w:r>
                    <w:rPr>
                      <w:rFonts w:hint="default" w:ascii="Times New Roman" w:hAnsi="Times New Roman" w:cs="Times New Roman"/>
                      <w:color w:val="auto"/>
                      <w:highlight w:val="none"/>
                      <w:lang w:val="en-US" w:eastAsia="zh-CN"/>
                    </w:rPr>
                    <w:t>219</w:t>
                  </w:r>
                </w:p>
              </w:tc>
            </w:tr>
          </w:tbl>
          <w:p w14:paraId="3EAA7842">
            <w:pPr>
              <w:adjustRightInd w:val="0"/>
              <w:snapToGrid w:val="0"/>
              <w:spacing w:before="120" w:beforeLines="5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（7）排污口设置情况及监测计划</w:t>
            </w:r>
          </w:p>
          <w:p w14:paraId="2CD45E6F">
            <w:pPr>
              <w:pStyle w:val="10"/>
              <w:spacing w:line="360" w:lineRule="auto"/>
              <w:ind w:firstLine="480" w:firstLineChars="20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参照《排污单位自行监测技术指南 总则》（HJ 819-2017）</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highlight w:val="none"/>
              </w:rPr>
              <w:t>《排污单位自行监测技术指南 涂装》（HJ1086-2020）</w:t>
            </w:r>
            <w:r>
              <w:rPr>
                <w:rFonts w:hint="default" w:ascii="Times New Roman" w:hAnsi="Times New Roman" w:cs="Times New Roman"/>
                <w:color w:val="auto"/>
                <w:highlight w:val="none"/>
                <w:lang w:val="en-US" w:eastAsia="zh-CN"/>
              </w:rPr>
              <w:t>及《排污单位自行监测技术指南 金属铸造工业》（HJ1251-2022）</w:t>
            </w:r>
            <w:r>
              <w:rPr>
                <w:rFonts w:hint="default" w:ascii="Times New Roman" w:hAnsi="Times New Roman" w:cs="Times New Roman"/>
                <w:color w:val="auto"/>
                <w:szCs w:val="24"/>
                <w:highlight w:val="none"/>
              </w:rPr>
              <w:t>，制定本项目大气环境监测计划如下：</w:t>
            </w:r>
          </w:p>
          <w:p w14:paraId="6A3795B9">
            <w:pPr>
              <w:adjustRightInd w:val="0"/>
              <w:snapToGrid w:val="0"/>
              <w:spacing w:before="120" w:beforeLines="50"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表4-8 排污口设置情况及监测计划一览表</w:t>
            </w:r>
          </w:p>
          <w:tbl>
            <w:tblPr>
              <w:tblStyle w:val="26"/>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1770"/>
              <w:gridCol w:w="1268"/>
              <w:gridCol w:w="1077"/>
              <w:gridCol w:w="3764"/>
            </w:tblGrid>
            <w:tr w14:paraId="2AAD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tcBorders>
                    <w:top w:val="single" w:color="auto" w:sz="4" w:space="0"/>
                    <w:left w:val="single" w:color="auto" w:sz="4" w:space="0"/>
                    <w:bottom w:val="single" w:color="auto" w:sz="4" w:space="0"/>
                    <w:right w:val="single" w:color="auto" w:sz="4" w:space="0"/>
                  </w:tcBorders>
                  <w:vAlign w:val="center"/>
                </w:tcPr>
                <w:p w14:paraId="7177CC65">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w:t>
                  </w:r>
                </w:p>
              </w:tc>
              <w:tc>
                <w:tcPr>
                  <w:tcW w:w="1770" w:type="dxa"/>
                  <w:tcBorders>
                    <w:top w:val="single" w:color="auto" w:sz="4" w:space="0"/>
                    <w:left w:val="single" w:color="auto" w:sz="4" w:space="0"/>
                    <w:bottom w:val="single" w:color="auto" w:sz="4" w:space="0"/>
                    <w:right w:val="single" w:color="auto" w:sz="4" w:space="0"/>
                  </w:tcBorders>
                  <w:vAlign w:val="center"/>
                </w:tcPr>
                <w:p w14:paraId="1BE93801">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监测点位</w:t>
                  </w:r>
                </w:p>
              </w:tc>
              <w:tc>
                <w:tcPr>
                  <w:tcW w:w="1268" w:type="dxa"/>
                  <w:tcBorders>
                    <w:top w:val="single" w:color="auto" w:sz="4" w:space="0"/>
                    <w:left w:val="single" w:color="auto" w:sz="4" w:space="0"/>
                    <w:bottom w:val="single" w:color="auto" w:sz="4" w:space="0"/>
                    <w:right w:val="single" w:color="auto" w:sz="4" w:space="0"/>
                  </w:tcBorders>
                  <w:vAlign w:val="center"/>
                </w:tcPr>
                <w:p w14:paraId="5D1634D6">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监测指标</w:t>
                  </w:r>
                </w:p>
              </w:tc>
              <w:tc>
                <w:tcPr>
                  <w:tcW w:w="1077" w:type="dxa"/>
                  <w:tcBorders>
                    <w:top w:val="single" w:color="auto" w:sz="4" w:space="0"/>
                    <w:left w:val="single" w:color="auto" w:sz="4" w:space="0"/>
                    <w:bottom w:val="single" w:color="auto" w:sz="4" w:space="0"/>
                    <w:right w:val="single" w:color="auto" w:sz="4" w:space="0"/>
                  </w:tcBorders>
                  <w:vAlign w:val="center"/>
                </w:tcPr>
                <w:p w14:paraId="37F5D19B">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监测频次</w:t>
                  </w:r>
                </w:p>
              </w:tc>
              <w:tc>
                <w:tcPr>
                  <w:tcW w:w="3764" w:type="dxa"/>
                  <w:tcBorders>
                    <w:top w:val="single" w:color="auto" w:sz="4" w:space="0"/>
                    <w:left w:val="single" w:color="auto" w:sz="4" w:space="0"/>
                    <w:bottom w:val="single" w:color="auto" w:sz="4" w:space="0"/>
                    <w:right w:val="single" w:color="auto" w:sz="4" w:space="0"/>
                  </w:tcBorders>
                  <w:vAlign w:val="center"/>
                </w:tcPr>
                <w:p w14:paraId="6C76F54E">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执行排放标准</w:t>
                  </w:r>
                </w:p>
              </w:tc>
            </w:tr>
            <w:tr w14:paraId="04BD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18" w:type="dxa"/>
                  <w:vMerge w:val="restart"/>
                  <w:tcBorders>
                    <w:top w:val="single" w:color="auto" w:sz="4" w:space="0"/>
                    <w:left w:val="single" w:color="auto" w:sz="4" w:space="0"/>
                    <w:right w:val="single" w:color="auto" w:sz="4" w:space="0"/>
                  </w:tcBorders>
                  <w:vAlign w:val="center"/>
                </w:tcPr>
                <w:p w14:paraId="650226FC">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有组织</w:t>
                  </w:r>
                </w:p>
              </w:tc>
              <w:tc>
                <w:tcPr>
                  <w:tcW w:w="1770" w:type="dxa"/>
                  <w:vMerge w:val="restart"/>
                  <w:tcBorders>
                    <w:top w:val="single" w:color="auto" w:sz="4" w:space="0"/>
                    <w:left w:val="single" w:color="auto" w:sz="4" w:space="0"/>
                    <w:right w:val="single" w:color="auto" w:sz="4" w:space="0"/>
                  </w:tcBorders>
                  <w:vAlign w:val="center"/>
                </w:tcPr>
                <w:p w14:paraId="1E9E714F">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喷漆、烘干和喷粉废气排放口</w:t>
                  </w:r>
                </w:p>
                <w:p w14:paraId="3F6D9C6C">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DA005</w:t>
                  </w:r>
                </w:p>
              </w:tc>
              <w:tc>
                <w:tcPr>
                  <w:tcW w:w="1268" w:type="dxa"/>
                  <w:tcBorders>
                    <w:top w:val="single" w:color="auto" w:sz="4" w:space="0"/>
                    <w:left w:val="single" w:color="auto" w:sz="4" w:space="0"/>
                    <w:bottom w:val="single" w:color="auto" w:sz="4" w:space="0"/>
                    <w:right w:val="single" w:color="auto" w:sz="4" w:space="0"/>
                  </w:tcBorders>
                  <w:vAlign w:val="center"/>
                </w:tcPr>
                <w:p w14:paraId="6B16A1F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TVOC、二甲苯</w:t>
                  </w:r>
                </w:p>
              </w:tc>
              <w:tc>
                <w:tcPr>
                  <w:tcW w:w="1077" w:type="dxa"/>
                  <w:vMerge w:val="restart"/>
                  <w:tcBorders>
                    <w:top w:val="single" w:color="auto" w:sz="4" w:space="0"/>
                    <w:left w:val="single" w:color="auto" w:sz="4" w:space="0"/>
                    <w:right w:val="single" w:color="auto" w:sz="4" w:space="0"/>
                  </w:tcBorders>
                  <w:vAlign w:val="center"/>
                </w:tcPr>
                <w:p w14:paraId="5E506C8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1次/年</w:t>
                  </w:r>
                </w:p>
              </w:tc>
              <w:tc>
                <w:tcPr>
                  <w:tcW w:w="3764" w:type="dxa"/>
                  <w:vMerge w:val="restart"/>
                  <w:tcBorders>
                    <w:top w:val="single" w:color="auto" w:sz="4" w:space="0"/>
                    <w:left w:val="single" w:color="auto" w:sz="4" w:space="0"/>
                    <w:right w:val="single" w:color="auto" w:sz="4" w:space="0"/>
                  </w:tcBorders>
                  <w:vAlign w:val="center"/>
                </w:tcPr>
                <w:p w14:paraId="4E6145BF">
                  <w:pPr>
                    <w:jc w:val="center"/>
                    <w:rPr>
                      <w:rFonts w:hint="default" w:ascii="Times New Roman" w:hAnsi="Times New Roman" w:cs="Times New Roman"/>
                      <w:color w:val="auto"/>
                      <w:szCs w:val="21"/>
                      <w:highlight w:val="none"/>
                      <w:lang w:val="ru-RU"/>
                    </w:rPr>
                  </w:pPr>
                  <w:r>
                    <w:rPr>
                      <w:rFonts w:hint="default" w:ascii="Times New Roman" w:hAnsi="Times New Roman" w:cs="Times New Roman"/>
                      <w:color w:val="auto"/>
                      <w:sz w:val="21"/>
                      <w:szCs w:val="21"/>
                      <w:highlight w:val="none"/>
                    </w:rPr>
                    <w:t>《铸造工业大气污染物排放标准》（GB 39726—2020）</w:t>
                  </w:r>
                  <w:r>
                    <w:rPr>
                      <w:rFonts w:hint="default" w:ascii="Times New Roman" w:hAnsi="Times New Roman" w:cs="Times New Roman"/>
                      <w:color w:val="auto"/>
                      <w:sz w:val="21"/>
                      <w:szCs w:val="21"/>
                      <w:highlight w:val="none"/>
                      <w:lang w:val="en-US" w:eastAsia="zh-CN"/>
                    </w:rPr>
                    <w:t>表1大气污染物排放限值</w:t>
                  </w:r>
                </w:p>
              </w:tc>
            </w:tr>
            <w:tr w14:paraId="462E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18" w:type="dxa"/>
                  <w:vMerge w:val="continue"/>
                  <w:tcBorders>
                    <w:left w:val="single" w:color="auto" w:sz="4" w:space="0"/>
                    <w:right w:val="single" w:color="auto" w:sz="4" w:space="0"/>
                  </w:tcBorders>
                  <w:vAlign w:val="center"/>
                </w:tcPr>
                <w:p w14:paraId="78A8AB01">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1770" w:type="dxa"/>
                  <w:vMerge w:val="continue"/>
                  <w:tcBorders>
                    <w:left w:val="single" w:color="auto" w:sz="4" w:space="0"/>
                    <w:right w:val="single" w:color="auto" w:sz="4" w:space="0"/>
                  </w:tcBorders>
                  <w:vAlign w:val="center"/>
                </w:tcPr>
                <w:p w14:paraId="79B536A7">
                  <w:pPr>
                    <w:pStyle w:val="23"/>
                    <w:widowControl w:val="0"/>
                    <w:spacing w:before="0" w:beforeAutospacing="0" w:after="0" w:afterAutospacing="0" w:line="360" w:lineRule="auto"/>
                    <w:jc w:val="center"/>
                    <w:rPr>
                      <w:rFonts w:hint="default" w:ascii="Times New Roman" w:hAnsi="Times New Roman" w:cs="Times New Roman"/>
                      <w:color w:val="auto"/>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37FE971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颗粒物</w:t>
                  </w:r>
                </w:p>
              </w:tc>
              <w:tc>
                <w:tcPr>
                  <w:tcW w:w="1077" w:type="dxa"/>
                  <w:vMerge w:val="continue"/>
                  <w:tcBorders>
                    <w:left w:val="single" w:color="auto" w:sz="4" w:space="0"/>
                    <w:bottom w:val="single" w:color="auto" w:sz="4" w:space="0"/>
                    <w:right w:val="single" w:color="auto" w:sz="4" w:space="0"/>
                  </w:tcBorders>
                  <w:vAlign w:val="center"/>
                </w:tcPr>
                <w:p w14:paraId="3CF6E88E">
                  <w:pPr>
                    <w:jc w:val="center"/>
                    <w:rPr>
                      <w:rFonts w:hint="default" w:ascii="Times New Roman" w:hAnsi="Times New Roman" w:cs="Times New Roman"/>
                      <w:color w:val="auto"/>
                      <w:szCs w:val="21"/>
                      <w:highlight w:val="none"/>
                    </w:rPr>
                  </w:pPr>
                </w:p>
              </w:tc>
              <w:tc>
                <w:tcPr>
                  <w:tcW w:w="3764" w:type="dxa"/>
                  <w:vMerge w:val="continue"/>
                  <w:tcBorders>
                    <w:left w:val="single" w:color="auto" w:sz="4" w:space="0"/>
                    <w:right w:val="single" w:color="auto" w:sz="4" w:space="0"/>
                  </w:tcBorders>
                  <w:vAlign w:val="center"/>
                </w:tcPr>
                <w:p w14:paraId="674466F3">
                  <w:pPr>
                    <w:jc w:val="center"/>
                    <w:rPr>
                      <w:rFonts w:hint="default" w:ascii="Times New Roman" w:hAnsi="Times New Roman" w:cs="Times New Roman"/>
                      <w:color w:val="auto"/>
                      <w:szCs w:val="21"/>
                      <w:highlight w:val="none"/>
                    </w:rPr>
                  </w:pPr>
                </w:p>
              </w:tc>
            </w:tr>
            <w:tr w14:paraId="5591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18" w:type="dxa"/>
                  <w:vMerge w:val="restart"/>
                  <w:tcBorders>
                    <w:top w:val="single" w:color="auto" w:sz="4" w:space="0"/>
                    <w:left w:val="single" w:color="auto" w:sz="4" w:space="0"/>
                    <w:right w:val="single" w:color="auto" w:sz="4" w:space="0"/>
                  </w:tcBorders>
                  <w:vAlign w:val="center"/>
                </w:tcPr>
                <w:p w14:paraId="7EA0260F">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无组织</w:t>
                  </w:r>
                </w:p>
              </w:tc>
              <w:tc>
                <w:tcPr>
                  <w:tcW w:w="1770" w:type="dxa"/>
                  <w:vMerge w:val="restart"/>
                  <w:tcBorders>
                    <w:top w:val="single" w:color="auto" w:sz="4" w:space="0"/>
                    <w:left w:val="single" w:color="auto" w:sz="4" w:space="0"/>
                    <w:right w:val="single" w:color="auto" w:sz="4" w:space="0"/>
                  </w:tcBorders>
                  <w:vAlign w:val="center"/>
                </w:tcPr>
                <w:p w14:paraId="60E11C09">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厂界外上风向设1个参照点，下风向设3个监控点</w:t>
                  </w:r>
                </w:p>
              </w:tc>
              <w:tc>
                <w:tcPr>
                  <w:tcW w:w="1268" w:type="dxa"/>
                  <w:tcBorders>
                    <w:top w:val="single" w:color="auto" w:sz="4" w:space="0"/>
                    <w:left w:val="single" w:color="auto" w:sz="4" w:space="0"/>
                    <w:bottom w:val="single" w:color="auto" w:sz="4" w:space="0"/>
                    <w:right w:val="single" w:color="auto" w:sz="4" w:space="0"/>
                  </w:tcBorders>
                  <w:vAlign w:val="center"/>
                </w:tcPr>
                <w:p w14:paraId="36FD7896">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1077" w:type="dxa"/>
                  <w:vMerge w:val="restart"/>
                  <w:tcBorders>
                    <w:top w:val="single" w:color="auto" w:sz="4" w:space="0"/>
                    <w:left w:val="single" w:color="auto" w:sz="4" w:space="0"/>
                    <w:right w:val="single" w:color="auto" w:sz="4" w:space="0"/>
                  </w:tcBorders>
                  <w:vAlign w:val="center"/>
                </w:tcPr>
                <w:p w14:paraId="3507DAE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1次/半年</w:t>
                  </w:r>
                </w:p>
              </w:tc>
              <w:tc>
                <w:tcPr>
                  <w:tcW w:w="3764" w:type="dxa"/>
                  <w:vMerge w:val="restart"/>
                  <w:tcBorders>
                    <w:top w:val="single" w:color="auto" w:sz="4" w:space="0"/>
                    <w:left w:val="single" w:color="auto" w:sz="4" w:space="0"/>
                    <w:right w:val="single" w:color="auto" w:sz="4" w:space="0"/>
                  </w:tcBorders>
                  <w:vAlign w:val="center"/>
                </w:tcPr>
                <w:p w14:paraId="096488B0">
                  <w:pPr>
                    <w:widowControl/>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kern w:val="0"/>
                      <w:szCs w:val="21"/>
                      <w:highlight w:val="none"/>
                      <w:lang w:val="ru-RU"/>
                    </w:rPr>
                    <w:t>广东省地方标准《大气污染</w:t>
                  </w:r>
                </w:p>
                <w:p w14:paraId="70DC7C16">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ru-RU"/>
                    </w:rPr>
                    <w:t>物排放限值》（DB44/27-2001）第二时段无组织排放监控浓度限值</w:t>
                  </w:r>
                </w:p>
              </w:tc>
            </w:tr>
            <w:tr w14:paraId="410F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18" w:type="dxa"/>
                  <w:vMerge w:val="continue"/>
                  <w:tcBorders>
                    <w:left w:val="single" w:color="auto" w:sz="4" w:space="0"/>
                    <w:right w:val="single" w:color="auto" w:sz="4" w:space="0"/>
                  </w:tcBorders>
                  <w:vAlign w:val="center"/>
                </w:tcPr>
                <w:p w14:paraId="409E6E31">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1770" w:type="dxa"/>
                  <w:vMerge w:val="continue"/>
                  <w:tcBorders>
                    <w:left w:val="single" w:color="auto" w:sz="4" w:space="0"/>
                    <w:right w:val="single" w:color="auto" w:sz="4" w:space="0"/>
                  </w:tcBorders>
                  <w:vAlign w:val="center"/>
                </w:tcPr>
                <w:p w14:paraId="18F6265E">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362AB273">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非甲烷总烃</w:t>
                  </w:r>
                </w:p>
              </w:tc>
              <w:tc>
                <w:tcPr>
                  <w:tcW w:w="1077" w:type="dxa"/>
                  <w:vMerge w:val="continue"/>
                  <w:tcBorders>
                    <w:left w:val="single" w:color="auto" w:sz="4" w:space="0"/>
                    <w:right w:val="single" w:color="auto" w:sz="4" w:space="0"/>
                  </w:tcBorders>
                  <w:vAlign w:val="center"/>
                </w:tcPr>
                <w:p w14:paraId="1F0CB880">
                  <w:pPr>
                    <w:jc w:val="center"/>
                    <w:rPr>
                      <w:rFonts w:hint="default" w:ascii="Times New Roman" w:hAnsi="Times New Roman" w:cs="Times New Roman"/>
                      <w:color w:val="auto"/>
                      <w:szCs w:val="21"/>
                      <w:highlight w:val="none"/>
                    </w:rPr>
                  </w:pPr>
                </w:p>
              </w:tc>
              <w:tc>
                <w:tcPr>
                  <w:tcW w:w="3764" w:type="dxa"/>
                  <w:vMerge w:val="continue"/>
                  <w:tcBorders>
                    <w:left w:val="single" w:color="auto" w:sz="4" w:space="0"/>
                    <w:bottom w:val="single" w:color="auto" w:sz="4" w:space="0"/>
                    <w:right w:val="single" w:color="auto" w:sz="4" w:space="0"/>
                  </w:tcBorders>
                  <w:vAlign w:val="center"/>
                </w:tcPr>
                <w:p w14:paraId="460ECE5B">
                  <w:pPr>
                    <w:pStyle w:val="23"/>
                    <w:widowControl w:val="0"/>
                    <w:spacing w:before="0" w:beforeAutospacing="0" w:after="0" w:afterAutospacing="0"/>
                    <w:jc w:val="center"/>
                    <w:rPr>
                      <w:rFonts w:hint="default" w:ascii="Times New Roman" w:hAnsi="Times New Roman" w:cs="Times New Roman"/>
                      <w:color w:val="auto"/>
                      <w:sz w:val="21"/>
                      <w:szCs w:val="21"/>
                      <w:highlight w:val="none"/>
                      <w:lang w:val="ru-RU"/>
                    </w:rPr>
                  </w:pPr>
                </w:p>
              </w:tc>
            </w:tr>
            <w:tr w14:paraId="6C37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18" w:type="dxa"/>
                  <w:vMerge w:val="restart"/>
                  <w:tcBorders>
                    <w:left w:val="single" w:color="auto" w:sz="4" w:space="0"/>
                    <w:right w:val="single" w:color="auto" w:sz="4" w:space="0"/>
                  </w:tcBorders>
                  <w:vAlign w:val="center"/>
                </w:tcPr>
                <w:p w14:paraId="0508A66D">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无组织</w:t>
                  </w:r>
                </w:p>
              </w:tc>
              <w:tc>
                <w:tcPr>
                  <w:tcW w:w="1770" w:type="dxa"/>
                  <w:vMerge w:val="restart"/>
                  <w:tcBorders>
                    <w:left w:val="single" w:color="auto" w:sz="4" w:space="0"/>
                    <w:right w:val="single" w:color="auto" w:sz="4" w:space="0"/>
                  </w:tcBorders>
                  <w:vAlign w:val="center"/>
                </w:tcPr>
                <w:p w14:paraId="37E564A3">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厂区内</w:t>
                  </w:r>
                </w:p>
              </w:tc>
              <w:tc>
                <w:tcPr>
                  <w:tcW w:w="1268" w:type="dxa"/>
                  <w:tcBorders>
                    <w:top w:val="single" w:color="auto" w:sz="4" w:space="0"/>
                    <w:left w:val="single" w:color="auto" w:sz="4" w:space="0"/>
                    <w:bottom w:val="single" w:color="auto" w:sz="4" w:space="0"/>
                    <w:right w:val="single" w:color="auto" w:sz="4" w:space="0"/>
                  </w:tcBorders>
                  <w:vAlign w:val="center"/>
                </w:tcPr>
                <w:p w14:paraId="76528E2A">
                  <w:pPr>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val="ru-RU"/>
                    </w:rPr>
                    <w:t>NMHC</w:t>
                  </w:r>
                </w:p>
              </w:tc>
              <w:tc>
                <w:tcPr>
                  <w:tcW w:w="1077" w:type="dxa"/>
                  <w:tcBorders>
                    <w:left w:val="single" w:color="auto" w:sz="4" w:space="0"/>
                    <w:right w:val="single" w:color="auto" w:sz="4" w:space="0"/>
                  </w:tcBorders>
                  <w:vAlign w:val="center"/>
                </w:tcPr>
                <w:p w14:paraId="5824D00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w:t>
                  </w:r>
                  <w:r>
                    <w:rPr>
                      <w:rFonts w:hint="default" w:ascii="Times New Roman" w:hAnsi="Times New Roman" w:cs="Times New Roman"/>
                      <w:color w:val="auto"/>
                      <w:szCs w:val="21"/>
                      <w:highlight w:val="none"/>
                      <w:lang w:val="en-US" w:eastAsia="zh-CN"/>
                    </w:rPr>
                    <w:t>半</w:t>
                  </w:r>
                  <w:r>
                    <w:rPr>
                      <w:rFonts w:hint="default" w:ascii="Times New Roman" w:hAnsi="Times New Roman" w:cs="Times New Roman"/>
                      <w:color w:val="auto"/>
                      <w:szCs w:val="21"/>
                      <w:highlight w:val="none"/>
                    </w:rPr>
                    <w:t>年</w:t>
                  </w:r>
                </w:p>
              </w:tc>
              <w:tc>
                <w:tcPr>
                  <w:tcW w:w="3764" w:type="dxa"/>
                  <w:vMerge w:val="restart"/>
                  <w:tcBorders>
                    <w:top w:val="single" w:color="auto" w:sz="4" w:space="0"/>
                    <w:left w:val="single" w:color="auto" w:sz="4" w:space="0"/>
                    <w:right w:val="single" w:color="auto" w:sz="4" w:space="0"/>
                  </w:tcBorders>
                  <w:vAlign w:val="center"/>
                </w:tcPr>
                <w:p w14:paraId="174C7BD3">
                  <w:pPr>
                    <w:pStyle w:val="23"/>
                    <w:widowControl w:val="0"/>
                    <w:spacing w:before="0" w:beforeAutospacing="0" w:after="0" w:afterAutospacing="0"/>
                    <w:jc w:val="center"/>
                    <w:rPr>
                      <w:rFonts w:hint="default" w:ascii="Times New Roman" w:hAnsi="Times New Roman" w:cs="Times New Roman"/>
                      <w:color w:val="auto"/>
                      <w:sz w:val="21"/>
                      <w:szCs w:val="21"/>
                      <w:highlight w:val="none"/>
                      <w:lang w:val="ru-RU"/>
                    </w:rPr>
                  </w:pPr>
                  <w:r>
                    <w:rPr>
                      <w:rStyle w:val="130"/>
                      <w:rFonts w:hint="default" w:ascii="Times New Roman" w:hAnsi="Times New Roman" w:cs="Times New Roman"/>
                      <w:color w:val="auto"/>
                      <w:sz w:val="21"/>
                      <w:szCs w:val="21"/>
                      <w:highlight w:val="none"/>
                      <w:lang w:val="en-US" w:eastAsia="zh-CN"/>
                    </w:rPr>
                    <w:t>《铸造工业大气污染物排放标准》（GB 39726—2020）表A.1厂区内颗粒物、VOCs无组织排放限值</w:t>
                  </w:r>
                </w:p>
              </w:tc>
            </w:tr>
            <w:tr w14:paraId="4935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18" w:type="dxa"/>
                  <w:vMerge w:val="continue"/>
                  <w:tcBorders>
                    <w:left w:val="single" w:color="auto" w:sz="4" w:space="0"/>
                    <w:right w:val="single" w:color="auto" w:sz="4" w:space="0"/>
                  </w:tcBorders>
                  <w:vAlign w:val="center"/>
                </w:tcPr>
                <w:p w14:paraId="236FE26E">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1770" w:type="dxa"/>
                  <w:vMerge w:val="continue"/>
                  <w:tcBorders>
                    <w:left w:val="single" w:color="auto" w:sz="4" w:space="0"/>
                    <w:right w:val="single" w:color="auto" w:sz="4" w:space="0"/>
                  </w:tcBorders>
                  <w:vAlign w:val="center"/>
                </w:tcPr>
                <w:p w14:paraId="7CF3F9E3">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36E3978B">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颗粒物</w:t>
                  </w:r>
                </w:p>
              </w:tc>
              <w:tc>
                <w:tcPr>
                  <w:tcW w:w="1077" w:type="dxa"/>
                  <w:tcBorders>
                    <w:left w:val="single" w:color="auto" w:sz="4" w:space="0"/>
                    <w:bottom w:val="single" w:color="auto" w:sz="4" w:space="0"/>
                    <w:right w:val="single" w:color="auto" w:sz="4" w:space="0"/>
                  </w:tcBorders>
                  <w:vAlign w:val="center"/>
                </w:tcPr>
                <w:p w14:paraId="78A2AA7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1次/半年</w:t>
                  </w:r>
                </w:p>
              </w:tc>
              <w:tc>
                <w:tcPr>
                  <w:tcW w:w="3764" w:type="dxa"/>
                  <w:vMerge w:val="continue"/>
                  <w:tcBorders>
                    <w:left w:val="single" w:color="auto" w:sz="4" w:space="0"/>
                    <w:right w:val="single" w:color="auto" w:sz="4" w:space="0"/>
                  </w:tcBorders>
                  <w:vAlign w:val="center"/>
                </w:tcPr>
                <w:p w14:paraId="65F3B5C1">
                  <w:pPr>
                    <w:pStyle w:val="23"/>
                    <w:widowControl w:val="0"/>
                    <w:spacing w:before="0" w:beforeAutospacing="0" w:after="0" w:afterAutospacing="0"/>
                    <w:jc w:val="center"/>
                    <w:rPr>
                      <w:rFonts w:hint="default" w:ascii="Times New Roman" w:hAnsi="Times New Roman" w:cs="Times New Roman"/>
                      <w:bCs/>
                      <w:color w:val="auto"/>
                      <w:sz w:val="21"/>
                      <w:szCs w:val="21"/>
                      <w:highlight w:val="none"/>
                    </w:rPr>
                  </w:pPr>
                </w:p>
              </w:tc>
            </w:tr>
          </w:tbl>
          <w:p w14:paraId="1763A772">
            <w:pPr>
              <w:adjustRightInd w:val="0"/>
              <w:snapToGrid w:val="0"/>
              <w:spacing w:before="120" w:beforeLines="5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（8）措施可行性分析及其影响分析</w:t>
            </w:r>
          </w:p>
          <w:p w14:paraId="651B7589">
            <w:pPr>
              <w:adjustRightInd w:val="0"/>
              <w:snapToGrid w:val="0"/>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①废气治理设施可行性分析</w:t>
            </w:r>
          </w:p>
          <w:p w14:paraId="697900A7">
            <w:pPr>
              <w:adjustRightInd w:val="0"/>
              <w:snapToGrid w:val="0"/>
              <w:spacing w:before="120" w:beforeLines="50" w:line="360" w:lineRule="auto"/>
              <w:ind w:firstLine="442" w:firstLineChars="200"/>
              <w:rPr>
                <w:rFonts w:hint="default" w:ascii="Times New Roman" w:hAnsi="Times New Roman" w:cs="Times New Roman"/>
                <w:b/>
                <w:color w:val="auto"/>
                <w:spacing w:val="-10"/>
                <w:sz w:val="24"/>
                <w:highlight w:val="none"/>
              </w:rPr>
            </w:pPr>
            <w:bookmarkStart w:id="3" w:name="7366759-7633920-3"/>
            <w:bookmarkEnd w:id="3"/>
            <w:r>
              <w:rPr>
                <w:rFonts w:hint="default" w:ascii="Times New Roman" w:hAnsi="Times New Roman" w:cs="Times New Roman"/>
                <w:b/>
                <w:color w:val="auto"/>
                <w:spacing w:val="-10"/>
                <w:sz w:val="24"/>
                <w:highlight w:val="none"/>
              </w:rPr>
              <w:t>漆雾</w:t>
            </w:r>
          </w:p>
          <w:p w14:paraId="621AF87B">
            <w:pPr>
              <w:adjustRightInd w:val="0"/>
              <w:snapToGrid w:val="0"/>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水帘柜工作原理：水帘是由室体、循环水池、不锈钢水帘板、水旋装置、气水分离器、水循环系统、抽风过滤系统、漆雾处理系统等组成。项目采用的水帘柜采用上送风、下抽风的通风方式。废气随气流引至水帘，颗粒物被水帘吸收，再经过水旋装置对颗粒物进行二次吸收，接着废气通过气水分离装置与水初步分离，然后经过除雾器进一步除去水雾，由水帘柜捕集到的颗粒物随水流泻入水帘池，从而达到废气净化目的。由于废气在净化过程会有部分物质溶解于水中，使得循环水在长期运行后达到饱和状态，此时应排掉部分循环水，并向水池中补充部分新鲜水，以使循环水保持一定的吸收能力。</w:t>
            </w:r>
          </w:p>
          <w:p w14:paraId="3FBB8384">
            <w:pPr>
              <w:adjustRightInd w:val="0"/>
              <w:snapToGrid w:val="0"/>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参考《排污许可证申请与核发技术规范铁路、船舶、航空航天和其他运输设备制造业》（HJ 1124—2020），漆雾污染防治技术可采用文丘里/水旋/水帘工艺。本项目喷漆漆雾采用水帘柜处理，措施属于其可行技术，因此，喷漆漆雾处理措施是可行有效的。</w:t>
            </w:r>
          </w:p>
          <w:p w14:paraId="17B129F6">
            <w:pPr>
              <w:adjustRightInd w:val="0"/>
              <w:snapToGrid w:val="0"/>
              <w:spacing w:before="120" w:beforeLines="50" w:line="360" w:lineRule="auto"/>
              <w:ind w:firstLine="442" w:firstLineChars="200"/>
              <w:rPr>
                <w:rFonts w:hint="default" w:ascii="Times New Roman" w:hAnsi="Times New Roman" w:cs="Times New Roman"/>
                <w:b/>
                <w:color w:val="auto"/>
                <w:spacing w:val="-10"/>
                <w:sz w:val="24"/>
                <w:highlight w:val="none"/>
              </w:rPr>
            </w:pPr>
            <w:r>
              <w:rPr>
                <w:rFonts w:hint="default" w:ascii="Times New Roman" w:hAnsi="Times New Roman" w:cs="Times New Roman"/>
                <w:b/>
                <w:color w:val="auto"/>
                <w:spacing w:val="-10"/>
                <w:sz w:val="24"/>
                <w:highlight w:val="none"/>
              </w:rPr>
              <w:t>有机废气</w:t>
            </w:r>
          </w:p>
          <w:p w14:paraId="02A36F07">
            <w:pPr>
              <w:adjustRightInd w:val="0"/>
              <w:snapToGrid w:val="0"/>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活性炭吸附：活性炭是一种由含碳材料制成的外观呈黑色，内部孔隙结构发达、比表面积大、吸附能力强的一类微晶质碳素材料。活性炭材料中有大量的微孔，具有很强的吸附能力。活性炭比表面积一般在 700～1500m</w:t>
            </w:r>
            <w:r>
              <w:rPr>
                <w:rFonts w:hint="default" w:ascii="Times New Roman" w:hAnsi="Times New Roman" w:cs="Times New Roman"/>
                <w:bCs/>
                <w:color w:val="auto"/>
                <w:spacing w:val="-10"/>
                <w:sz w:val="24"/>
                <w:highlight w:val="none"/>
                <w:vertAlign w:val="superscript"/>
              </w:rPr>
              <w:t>2</w:t>
            </w:r>
            <w:r>
              <w:rPr>
                <w:rFonts w:hint="default" w:ascii="Times New Roman" w:hAnsi="Times New Roman" w:cs="Times New Roman"/>
                <w:bCs/>
                <w:color w:val="auto"/>
                <w:spacing w:val="-10"/>
                <w:sz w:val="24"/>
                <w:highlight w:val="none"/>
              </w:rPr>
              <w:t>/g，由于吸附材料的比表面积大，所以能和气体充分接触，吸附大量的污染物质。活性炭的吸附效率高、运行成本低、维护方便、能够同时处理多种混合废气。但是由于活性炭本身对吸附气体有一定的饱和度，当活性炭达到饱和后需进行更换或再生。更换频次视其运行工况而定。</w:t>
            </w:r>
          </w:p>
          <w:p w14:paraId="52E71CE9">
            <w:pPr>
              <w:adjustRightInd w:val="0"/>
              <w:snapToGrid w:val="0"/>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根据《关于印发&lt;重点行业挥发性有机物综合治理方案&gt;的通知》（环大气〔2019〕53号）中对VOCs处理设施的要求，企业新建治污设施或对现有治污设施实施改造，应依据排放废气的浓度、组分、风量，温度、湿度、压力，以及生产工况等，合理选择治理技术。鼓励企业采用多种技术的组合工艺，提高VOCs治理效率。低浓度、大风量废气，宜采用沸石转轮吸附、</w:t>
            </w:r>
            <w:r>
              <w:rPr>
                <w:rFonts w:hint="default" w:ascii="Times New Roman" w:hAnsi="Times New Roman" w:cs="Times New Roman"/>
                <w:color w:val="auto"/>
                <w:spacing w:val="-10"/>
                <w:sz w:val="24"/>
                <w:highlight w:val="none"/>
              </w:rPr>
              <w:t>活性炭吸附、</w:t>
            </w:r>
            <w:r>
              <w:rPr>
                <w:rFonts w:hint="default" w:ascii="Times New Roman" w:hAnsi="Times New Roman" w:cs="Times New Roman"/>
                <w:bCs/>
                <w:color w:val="auto"/>
                <w:spacing w:val="-10"/>
                <w:sz w:val="24"/>
                <w:highlight w:val="none"/>
              </w:rPr>
              <w:t>减风增浓等浓缩技术，提高VOCs浓度后净化处理；高浓度废气，优先进行溶剂回收，难以回收的，宜采用高温焚烧、催化燃烧等技术。生物法主要适用于低浓度VOCs废气治理和恶臭异味治理。本项目拟使用的有机废气工艺为活性炭吸附装置，属于推荐性挥发性有机物处理工艺技术。</w:t>
            </w:r>
          </w:p>
          <w:p w14:paraId="074CE76C">
            <w:pPr>
              <w:adjustRightInd w:val="0"/>
              <w:snapToGrid w:val="0"/>
              <w:spacing w:before="120" w:beforeLines="50" w:line="360" w:lineRule="auto"/>
              <w:ind w:firstLine="442" w:firstLineChars="200"/>
              <w:rPr>
                <w:rFonts w:hint="default" w:ascii="Times New Roman" w:hAnsi="Times New Roman" w:cs="Times New Roman"/>
                <w:b/>
                <w:color w:val="auto"/>
                <w:spacing w:val="-10"/>
                <w:sz w:val="24"/>
                <w:highlight w:val="none"/>
              </w:rPr>
            </w:pPr>
            <w:r>
              <w:rPr>
                <w:rFonts w:hint="default" w:ascii="Times New Roman" w:hAnsi="Times New Roman" w:cs="Times New Roman"/>
                <w:b/>
                <w:color w:val="auto"/>
                <w:spacing w:val="-10"/>
                <w:sz w:val="24"/>
                <w:highlight w:val="none"/>
              </w:rPr>
              <w:t>颗粒物废气</w:t>
            </w:r>
          </w:p>
          <w:p w14:paraId="2C56DD5F">
            <w:pPr>
              <w:spacing w:line="360" w:lineRule="auto"/>
              <w:ind w:firstLine="440" w:firstLineChars="200"/>
              <w:rPr>
                <w:rFonts w:hint="default" w:ascii="Times New Roman" w:hAnsi="Times New Roman" w:cs="Times New Roman"/>
                <w:color w:val="auto"/>
                <w:highlight w:val="none"/>
                <w:shd w:val="clear" w:color="auto" w:fill="FFFFFF"/>
              </w:rPr>
            </w:pPr>
            <w:r>
              <w:rPr>
                <w:rFonts w:hint="default" w:ascii="Times New Roman" w:hAnsi="Times New Roman" w:cs="Times New Roman"/>
                <w:bCs/>
                <w:color w:val="auto"/>
                <w:spacing w:val="-10"/>
                <w:sz w:val="24"/>
                <w:highlight w:val="none"/>
              </w:rPr>
              <w:t>滤筒式除尘器：</w:t>
            </w:r>
            <w:r>
              <w:rPr>
                <w:rFonts w:hint="default" w:ascii="Times New Roman" w:hAnsi="Times New Roman" w:cs="Times New Roman"/>
                <w:color w:val="auto"/>
                <w:sz w:val="24"/>
                <w:highlight w:val="none"/>
              </w:rPr>
              <w:t>当含尘空气进入除尘器后，被圆筒形的滤筒材质阻隔，亚微米以上的粉尘被阻留在滤筒外表面上，过滤净化后的气流从滤筒中心排出。</w:t>
            </w:r>
            <w:r>
              <w:rPr>
                <w:rFonts w:hint="default" w:ascii="Times New Roman" w:hAnsi="Times New Roman" w:cs="Times New Roman"/>
                <w:color w:val="auto"/>
                <w:highlight w:val="none"/>
                <w:shd w:val="clear" w:color="auto" w:fill="FFFFFF"/>
              </w:rPr>
              <w:t xml:space="preserve"> </w:t>
            </w:r>
          </w:p>
          <w:p w14:paraId="1B7755C3">
            <w:pPr>
              <w:pStyle w:val="23"/>
              <w:spacing w:before="0" w:beforeAutospacing="0" w:after="226" w:afterAutospacing="0" w:line="360" w:lineRule="auto"/>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w:t>参考陕西省地方标准《排污许可证申请与核发技术规范 通用设备、专用设备、仪器仪表及其他制造业》（DB61/T1356-2020）附录B中表A.3排污单位废气污染防治可行技术，粉末喷涂产生的颗粒物可行技术包含滤筒/滤芯过滤。因此，本项目喷粉产生的颗粒物采用滤筒除尘器是可行技术。</w:t>
            </w:r>
          </w:p>
          <w:p w14:paraId="4C21E1EC">
            <w:pPr>
              <w:adjustRightInd w:val="0"/>
              <w:snapToGrid w:val="0"/>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②废气环境影响分析</w:t>
            </w:r>
          </w:p>
          <w:p w14:paraId="4AE4EA88">
            <w:pPr>
              <w:adjustRightInd w:val="0"/>
              <w:snapToGrid w:val="0"/>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w:t>
            </w:r>
            <w:r>
              <w:rPr>
                <w:rFonts w:hint="default" w:ascii="Times New Roman" w:hAnsi="Times New Roman" w:cs="Times New Roman"/>
                <w:bCs/>
                <w:color w:val="auto"/>
                <w:spacing w:val="-10"/>
                <w:sz w:val="24"/>
                <w:highlight w:val="none"/>
              </w:rPr>
              <w:t>《韶关市生态环境状况公报》（2024年）</w:t>
            </w:r>
            <w:r>
              <w:rPr>
                <w:rFonts w:hint="default" w:ascii="Times New Roman" w:hAnsi="Times New Roman" w:cs="Times New Roman"/>
                <w:color w:val="auto"/>
                <w:sz w:val="24"/>
                <w:highlight w:val="none"/>
              </w:rPr>
              <w:t>，项目所在地SO</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、NO</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、PM</w:t>
            </w:r>
            <w:r>
              <w:rPr>
                <w:rFonts w:hint="default" w:ascii="Times New Roman" w:hAnsi="Times New Roman" w:cs="Times New Roman"/>
                <w:color w:val="auto"/>
                <w:sz w:val="24"/>
                <w:highlight w:val="none"/>
                <w:vertAlign w:val="subscript"/>
              </w:rPr>
              <w:t>10</w:t>
            </w:r>
            <w:r>
              <w:rPr>
                <w:rFonts w:hint="default" w:ascii="Times New Roman" w:hAnsi="Times New Roman" w:cs="Times New Roman"/>
                <w:color w:val="auto"/>
                <w:sz w:val="24"/>
                <w:highlight w:val="none"/>
              </w:rPr>
              <w:t>、PM</w:t>
            </w:r>
            <w:r>
              <w:rPr>
                <w:rFonts w:hint="default" w:ascii="Times New Roman" w:hAnsi="Times New Roman" w:cs="Times New Roman"/>
                <w:color w:val="auto"/>
                <w:sz w:val="24"/>
                <w:highlight w:val="none"/>
                <w:vertAlign w:val="subscript"/>
              </w:rPr>
              <w:t>2.5</w:t>
            </w:r>
            <w:r>
              <w:rPr>
                <w:rFonts w:hint="default" w:ascii="Times New Roman" w:hAnsi="Times New Roman" w:cs="Times New Roman"/>
                <w:color w:val="auto"/>
                <w:sz w:val="24"/>
                <w:highlight w:val="none"/>
              </w:rPr>
              <w:t>、CO、臭氧的年平均质量浓度可满足</w:t>
            </w:r>
            <w:r>
              <w:rPr>
                <w:rFonts w:hint="default" w:ascii="Times New Roman" w:hAnsi="Times New Roman" w:cs="Times New Roman"/>
                <w:bCs/>
                <w:color w:val="auto"/>
                <w:sz w:val="24"/>
                <w:highlight w:val="none"/>
              </w:rPr>
              <w:t>《环境空气质量标准》（GB3095-2026）表1过渡阶段浓度限值二级标准</w:t>
            </w:r>
            <w:r>
              <w:rPr>
                <w:rFonts w:hint="default" w:ascii="Times New Roman" w:hAnsi="Times New Roman" w:cs="Times New Roman"/>
                <w:color w:val="auto"/>
                <w:sz w:val="24"/>
                <w:highlight w:val="none"/>
              </w:rPr>
              <w:t>，项目所在区域为环境空气达标区。</w:t>
            </w:r>
            <w:r>
              <w:rPr>
                <w:rFonts w:hint="default" w:ascii="Times New Roman" w:hAnsi="Times New Roman" w:cs="Times New Roman"/>
                <w:bCs/>
                <w:color w:val="auto"/>
                <w:spacing w:val="-10"/>
                <w:sz w:val="24"/>
                <w:highlight w:val="none"/>
              </w:rPr>
              <w:t>为评价项目所在区域TSP的环境空气质量现状，</w:t>
            </w:r>
            <w:r>
              <w:rPr>
                <w:rFonts w:hint="default" w:ascii="Times New Roman" w:hAnsi="Times New Roman" w:cs="Times New Roman"/>
                <w:color w:val="auto"/>
                <w:sz w:val="24"/>
                <w:szCs w:val="20"/>
                <w:highlight w:val="none"/>
              </w:rPr>
              <w:t>本次评价委托韶关市汉诚环保技术有限公司于2025年12月15日到2025年12月18日对本项目所在地块</w:t>
            </w:r>
            <w:r>
              <w:rPr>
                <w:rFonts w:hint="default" w:ascii="Times New Roman" w:hAnsi="Times New Roman" w:cs="Times New Roman"/>
                <w:color w:val="auto"/>
                <w:sz w:val="24"/>
                <w:highlight w:val="none"/>
                <w:shd w:val="clear" w:color="auto" w:fill="FFFFFF"/>
              </w:rPr>
              <w:t>东南侧467m处的金德乐小区</w:t>
            </w:r>
            <w:r>
              <w:rPr>
                <w:rFonts w:hint="default" w:ascii="Times New Roman" w:hAnsi="Times New Roman" w:cs="Times New Roman"/>
                <w:color w:val="auto"/>
                <w:sz w:val="24"/>
                <w:szCs w:val="20"/>
                <w:highlight w:val="none"/>
              </w:rPr>
              <w:t>进行了环境空气现状监测，</w:t>
            </w:r>
            <w:r>
              <w:rPr>
                <w:rFonts w:hint="default" w:ascii="Times New Roman" w:hAnsi="Times New Roman" w:cs="Times New Roman"/>
                <w:bCs/>
                <w:color w:val="auto"/>
                <w:spacing w:val="-10"/>
                <w:sz w:val="24"/>
                <w:highlight w:val="none"/>
              </w:rPr>
              <w:t>监测结果表明环境空气中TSP的浓度可满足</w:t>
            </w:r>
            <w:r>
              <w:rPr>
                <w:rFonts w:hint="default" w:ascii="Times New Roman" w:hAnsi="Times New Roman" w:cs="Times New Roman"/>
                <w:bCs/>
                <w:color w:val="auto"/>
                <w:sz w:val="24"/>
                <w:highlight w:val="none"/>
              </w:rPr>
              <w:t>《环境空气质量标准》（GB3095-2026）</w:t>
            </w:r>
            <w:r>
              <w:rPr>
                <w:rFonts w:hint="default" w:ascii="Times New Roman" w:hAnsi="Times New Roman" w:cs="Times New Roman"/>
                <w:bCs/>
                <w:color w:val="auto"/>
                <w:spacing w:val="-10"/>
                <w:sz w:val="24"/>
                <w:highlight w:val="none"/>
              </w:rPr>
              <w:t>。</w:t>
            </w:r>
          </w:p>
          <w:p w14:paraId="4B064E67">
            <w:pPr>
              <w:adjustRightInd w:val="0"/>
              <w:snapToGrid w:val="0"/>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项目的主要污染源通过源强收集，可减少废气的无组织排放，废气经治理后达标排放。项目建成后应落实各大气污染源的污染防治措施，减少废气无组织排放和非正常工况排放，则项目对周围的环境影响较小。</w:t>
            </w:r>
          </w:p>
          <w:p w14:paraId="4BFAADF1">
            <w:pPr>
              <w:pStyle w:val="8"/>
              <w:rPr>
                <w:rFonts w:hint="default" w:ascii="Times New Roman" w:hAnsi="Times New Roman" w:cs="Times New Roman"/>
                <w:color w:val="auto"/>
                <w:highlight w:val="none"/>
              </w:rPr>
            </w:pPr>
            <w:r>
              <w:rPr>
                <w:rFonts w:hint="default" w:ascii="Times New Roman" w:hAnsi="Times New Roman" w:eastAsia="宋体" w:cs="Times New Roman"/>
                <w:b/>
                <w:bCs/>
                <w:color w:val="auto"/>
                <w:highlight w:val="none"/>
              </w:rPr>
              <w:t>2、废水</w:t>
            </w:r>
          </w:p>
          <w:p w14:paraId="6AEFDF4C">
            <w:pPr>
              <w:pStyle w:val="63"/>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本项目运营期无生产废水产生和排放；本项目从原项目调配人员，不新增员工，不新增生活污水。</w:t>
            </w:r>
          </w:p>
          <w:p w14:paraId="0F566444">
            <w:pPr>
              <w:adjustRightInd w:val="0"/>
              <w:snapToGrid w:val="0"/>
              <w:spacing w:before="120" w:beforeLines="50"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3、噪声</w:t>
            </w:r>
          </w:p>
          <w:p w14:paraId="00514FB6">
            <w:pPr>
              <w:adjustRightInd w:val="0"/>
              <w:snapToGrid w:val="0"/>
              <w:spacing w:before="120" w:beforeLines="5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（1）噪声源强</w:t>
            </w:r>
          </w:p>
          <w:p w14:paraId="4A6BA5C6">
            <w:pPr>
              <w:adjustRightInd w:val="0"/>
              <w:snapToGrid w:val="0"/>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本项目新增噪声污染源主要为喷漆柜、喷粉柜、烤箱等设备运行过程中产生的噪声，噪声值约为65~80dB（A）。噪声污染源强核算结果及相关参数如下表4-9。</w:t>
            </w:r>
          </w:p>
          <w:p w14:paraId="1EC380AA">
            <w:pPr>
              <w:pStyle w:val="132"/>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表4-9 项目噪声源情况</w:t>
            </w:r>
          </w:p>
          <w:tbl>
            <w:tblPr>
              <w:tblStyle w:val="26"/>
              <w:tblW w:w="49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637"/>
              <w:gridCol w:w="1029"/>
              <w:gridCol w:w="841"/>
              <w:gridCol w:w="1009"/>
              <w:gridCol w:w="640"/>
              <w:gridCol w:w="641"/>
              <w:gridCol w:w="641"/>
              <w:gridCol w:w="589"/>
              <w:gridCol w:w="589"/>
              <w:gridCol w:w="589"/>
              <w:gridCol w:w="589"/>
            </w:tblGrid>
            <w:tr w14:paraId="10E3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3" w:type="dxa"/>
                  <w:vMerge w:val="restart"/>
                  <w:shd w:val="clear" w:color="auto" w:fill="auto"/>
                  <w:vAlign w:val="center"/>
                </w:tcPr>
                <w:p w14:paraId="4D2BB28E">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声源名称</w:t>
                  </w:r>
                </w:p>
              </w:tc>
              <w:tc>
                <w:tcPr>
                  <w:tcW w:w="638" w:type="dxa"/>
                  <w:vMerge w:val="restart"/>
                  <w:shd w:val="clear" w:color="auto" w:fill="auto"/>
                  <w:vAlign w:val="center"/>
                </w:tcPr>
                <w:p w14:paraId="206DBF4A">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数量(台)</w:t>
                  </w:r>
                </w:p>
              </w:tc>
              <w:tc>
                <w:tcPr>
                  <w:tcW w:w="1029" w:type="dxa"/>
                  <w:vMerge w:val="restart"/>
                  <w:shd w:val="clear" w:color="auto" w:fill="auto"/>
                  <w:vAlign w:val="center"/>
                </w:tcPr>
                <w:p w14:paraId="2D503B39">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单台声源源强声功率级/dB(A)</w:t>
                  </w:r>
                </w:p>
              </w:tc>
              <w:tc>
                <w:tcPr>
                  <w:tcW w:w="841" w:type="dxa"/>
                  <w:vMerge w:val="restart"/>
                  <w:shd w:val="clear" w:color="auto" w:fill="auto"/>
                  <w:vAlign w:val="center"/>
                </w:tcPr>
                <w:p w14:paraId="79FCBC2A">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噪声源强叠加值/dB(A)</w:t>
                  </w:r>
                </w:p>
              </w:tc>
              <w:tc>
                <w:tcPr>
                  <w:tcW w:w="1009" w:type="dxa"/>
                  <w:vMerge w:val="restart"/>
                  <w:shd w:val="clear" w:color="auto" w:fill="auto"/>
                  <w:vAlign w:val="center"/>
                </w:tcPr>
                <w:p w14:paraId="6FCB9BE1">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声源控制措施</w:t>
                  </w:r>
                </w:p>
              </w:tc>
              <w:tc>
                <w:tcPr>
                  <w:tcW w:w="1922" w:type="dxa"/>
                  <w:gridSpan w:val="3"/>
                  <w:shd w:val="clear" w:color="auto" w:fill="auto"/>
                  <w:vAlign w:val="center"/>
                </w:tcPr>
                <w:p w14:paraId="7127F40E">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空间相对位置/m</w:t>
                  </w:r>
                </w:p>
              </w:tc>
              <w:tc>
                <w:tcPr>
                  <w:tcW w:w="2356" w:type="dxa"/>
                  <w:gridSpan w:val="4"/>
                  <w:shd w:val="clear" w:color="auto" w:fill="auto"/>
                  <w:vAlign w:val="center"/>
                </w:tcPr>
                <w:p w14:paraId="24CABDE4">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距室内边界距离/m</w:t>
                  </w:r>
                </w:p>
              </w:tc>
            </w:tr>
            <w:tr w14:paraId="5EC6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3" w:type="dxa"/>
                  <w:vMerge w:val="continue"/>
                  <w:vAlign w:val="center"/>
                </w:tcPr>
                <w:p w14:paraId="052EFCFA">
                  <w:pPr>
                    <w:jc w:val="center"/>
                    <w:rPr>
                      <w:rFonts w:hint="default" w:ascii="Times New Roman" w:hAnsi="Times New Roman" w:cs="Times New Roman"/>
                      <w:color w:val="auto"/>
                      <w:szCs w:val="21"/>
                      <w:highlight w:val="none"/>
                    </w:rPr>
                  </w:pPr>
                </w:p>
              </w:tc>
              <w:tc>
                <w:tcPr>
                  <w:tcW w:w="638" w:type="dxa"/>
                  <w:vMerge w:val="continue"/>
                  <w:vAlign w:val="center"/>
                </w:tcPr>
                <w:p w14:paraId="76ABA98E">
                  <w:pPr>
                    <w:jc w:val="center"/>
                    <w:rPr>
                      <w:rFonts w:hint="default" w:ascii="Times New Roman" w:hAnsi="Times New Roman" w:cs="Times New Roman"/>
                      <w:color w:val="auto"/>
                      <w:szCs w:val="21"/>
                      <w:highlight w:val="none"/>
                    </w:rPr>
                  </w:pPr>
                </w:p>
              </w:tc>
              <w:tc>
                <w:tcPr>
                  <w:tcW w:w="1029" w:type="dxa"/>
                  <w:vMerge w:val="continue"/>
                  <w:shd w:val="clear" w:color="auto" w:fill="auto"/>
                  <w:vAlign w:val="center"/>
                </w:tcPr>
                <w:p w14:paraId="3294A945">
                  <w:pPr>
                    <w:jc w:val="center"/>
                    <w:rPr>
                      <w:rFonts w:hint="default" w:ascii="Times New Roman" w:hAnsi="Times New Roman" w:cs="Times New Roman"/>
                      <w:color w:val="auto"/>
                      <w:szCs w:val="21"/>
                      <w:highlight w:val="none"/>
                    </w:rPr>
                  </w:pPr>
                </w:p>
              </w:tc>
              <w:tc>
                <w:tcPr>
                  <w:tcW w:w="841" w:type="dxa"/>
                  <w:vMerge w:val="continue"/>
                  <w:vAlign w:val="center"/>
                </w:tcPr>
                <w:p w14:paraId="0C2E7923">
                  <w:pPr>
                    <w:jc w:val="center"/>
                    <w:rPr>
                      <w:rFonts w:hint="default" w:ascii="Times New Roman" w:hAnsi="Times New Roman" w:cs="Times New Roman"/>
                      <w:color w:val="auto"/>
                      <w:szCs w:val="21"/>
                      <w:highlight w:val="none"/>
                    </w:rPr>
                  </w:pPr>
                </w:p>
              </w:tc>
              <w:tc>
                <w:tcPr>
                  <w:tcW w:w="1009" w:type="dxa"/>
                  <w:vMerge w:val="continue"/>
                  <w:vAlign w:val="center"/>
                </w:tcPr>
                <w:p w14:paraId="6DE9E89D">
                  <w:pPr>
                    <w:jc w:val="center"/>
                    <w:rPr>
                      <w:rFonts w:hint="default" w:ascii="Times New Roman" w:hAnsi="Times New Roman" w:cs="Times New Roman"/>
                      <w:color w:val="auto"/>
                      <w:szCs w:val="21"/>
                      <w:highlight w:val="none"/>
                    </w:rPr>
                  </w:pPr>
                </w:p>
              </w:tc>
              <w:tc>
                <w:tcPr>
                  <w:tcW w:w="640" w:type="dxa"/>
                  <w:shd w:val="clear" w:color="auto" w:fill="auto"/>
                  <w:vAlign w:val="center"/>
                </w:tcPr>
                <w:p w14:paraId="418DB204">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X</w:t>
                  </w:r>
                </w:p>
              </w:tc>
              <w:tc>
                <w:tcPr>
                  <w:tcW w:w="641" w:type="dxa"/>
                  <w:shd w:val="clear" w:color="auto" w:fill="auto"/>
                  <w:noWrap/>
                  <w:vAlign w:val="center"/>
                </w:tcPr>
                <w:p w14:paraId="73F31B57">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Y</w:t>
                  </w:r>
                </w:p>
              </w:tc>
              <w:tc>
                <w:tcPr>
                  <w:tcW w:w="641" w:type="dxa"/>
                  <w:shd w:val="clear" w:color="auto" w:fill="auto"/>
                  <w:noWrap/>
                  <w:vAlign w:val="center"/>
                </w:tcPr>
                <w:p w14:paraId="506CDB48">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Z</w:t>
                  </w:r>
                </w:p>
              </w:tc>
              <w:tc>
                <w:tcPr>
                  <w:tcW w:w="589" w:type="dxa"/>
                  <w:shd w:val="clear" w:color="auto" w:fill="auto"/>
                  <w:vAlign w:val="center"/>
                </w:tcPr>
                <w:p w14:paraId="7B252A9A">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东边界</w:t>
                  </w:r>
                </w:p>
              </w:tc>
              <w:tc>
                <w:tcPr>
                  <w:tcW w:w="589" w:type="dxa"/>
                  <w:shd w:val="clear" w:color="auto" w:fill="auto"/>
                  <w:vAlign w:val="center"/>
                </w:tcPr>
                <w:p w14:paraId="5BE040CB">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南边界</w:t>
                  </w:r>
                </w:p>
              </w:tc>
              <w:tc>
                <w:tcPr>
                  <w:tcW w:w="589" w:type="dxa"/>
                  <w:shd w:val="clear" w:color="auto" w:fill="auto"/>
                  <w:vAlign w:val="center"/>
                </w:tcPr>
                <w:p w14:paraId="4522867C">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西边界</w:t>
                  </w:r>
                </w:p>
              </w:tc>
              <w:tc>
                <w:tcPr>
                  <w:tcW w:w="589" w:type="dxa"/>
                  <w:shd w:val="clear" w:color="auto" w:fill="auto"/>
                  <w:vAlign w:val="center"/>
                </w:tcPr>
                <w:p w14:paraId="588E1B9C">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北边界</w:t>
                  </w:r>
                </w:p>
              </w:tc>
            </w:tr>
            <w:tr w14:paraId="0861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3" w:type="dxa"/>
                  <w:shd w:val="clear" w:color="auto" w:fill="auto"/>
                  <w:vAlign w:val="center"/>
                </w:tcPr>
                <w:p w14:paraId="726CC9F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喷漆柜</w:t>
                  </w:r>
                </w:p>
              </w:tc>
              <w:tc>
                <w:tcPr>
                  <w:tcW w:w="638" w:type="dxa"/>
                  <w:shd w:val="clear" w:color="auto" w:fill="auto"/>
                  <w:vAlign w:val="center"/>
                </w:tcPr>
                <w:p w14:paraId="528CD09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29" w:type="dxa"/>
                  <w:shd w:val="clear" w:color="auto" w:fill="auto"/>
                  <w:vAlign w:val="center"/>
                </w:tcPr>
                <w:p w14:paraId="7F2AEBD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70</w:t>
                  </w:r>
                </w:p>
              </w:tc>
              <w:tc>
                <w:tcPr>
                  <w:tcW w:w="841" w:type="dxa"/>
                  <w:shd w:val="clear" w:color="auto" w:fill="auto"/>
                  <w:vAlign w:val="center"/>
                </w:tcPr>
                <w:p w14:paraId="2CA5D59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70</w:t>
                  </w:r>
                </w:p>
              </w:tc>
              <w:tc>
                <w:tcPr>
                  <w:tcW w:w="1009" w:type="dxa"/>
                  <w:vMerge w:val="restart"/>
                  <w:shd w:val="clear" w:color="auto" w:fill="auto"/>
                  <w:vAlign w:val="center"/>
                </w:tcPr>
                <w:p w14:paraId="7100F1D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合理布局，选用低噪声设备，减震等</w:t>
                  </w:r>
                </w:p>
              </w:tc>
              <w:tc>
                <w:tcPr>
                  <w:tcW w:w="640" w:type="dxa"/>
                  <w:shd w:val="clear" w:color="auto" w:fill="auto"/>
                  <w:noWrap/>
                  <w:vAlign w:val="center"/>
                </w:tcPr>
                <w:p w14:paraId="4C4A2D4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w:t>
                  </w:r>
                </w:p>
              </w:tc>
              <w:tc>
                <w:tcPr>
                  <w:tcW w:w="641" w:type="dxa"/>
                  <w:shd w:val="clear" w:color="auto" w:fill="auto"/>
                  <w:noWrap/>
                  <w:vAlign w:val="center"/>
                </w:tcPr>
                <w:p w14:paraId="54B7DFE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w:t>
                  </w:r>
                </w:p>
              </w:tc>
              <w:tc>
                <w:tcPr>
                  <w:tcW w:w="641" w:type="dxa"/>
                  <w:shd w:val="clear" w:color="auto" w:fill="auto"/>
                  <w:noWrap/>
                  <w:vAlign w:val="center"/>
                </w:tcPr>
                <w:p w14:paraId="2D16467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89" w:type="dxa"/>
                  <w:shd w:val="clear" w:color="auto" w:fill="auto"/>
                  <w:vAlign w:val="center"/>
                </w:tcPr>
                <w:p w14:paraId="4A9AF683">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27.7</w:t>
                  </w:r>
                </w:p>
              </w:tc>
              <w:tc>
                <w:tcPr>
                  <w:tcW w:w="589" w:type="dxa"/>
                  <w:shd w:val="clear" w:color="auto" w:fill="auto"/>
                  <w:vAlign w:val="center"/>
                </w:tcPr>
                <w:p w14:paraId="35EFD5E8">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15.3</w:t>
                  </w:r>
                </w:p>
              </w:tc>
              <w:tc>
                <w:tcPr>
                  <w:tcW w:w="589" w:type="dxa"/>
                  <w:shd w:val="clear" w:color="auto" w:fill="auto"/>
                  <w:vAlign w:val="center"/>
                </w:tcPr>
                <w:p w14:paraId="4CEE08B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w:t>
                  </w:r>
                </w:p>
              </w:tc>
              <w:tc>
                <w:tcPr>
                  <w:tcW w:w="589" w:type="dxa"/>
                  <w:shd w:val="clear" w:color="auto" w:fill="auto"/>
                  <w:vAlign w:val="center"/>
                </w:tcPr>
                <w:p w14:paraId="62D1096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w:t>
                  </w:r>
                </w:p>
              </w:tc>
            </w:tr>
            <w:tr w14:paraId="4346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3" w:type="dxa"/>
                  <w:shd w:val="clear" w:color="auto" w:fill="auto"/>
                  <w:noWrap/>
                  <w:vAlign w:val="center"/>
                </w:tcPr>
                <w:p w14:paraId="26D8892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烤箱</w:t>
                  </w:r>
                </w:p>
              </w:tc>
              <w:tc>
                <w:tcPr>
                  <w:tcW w:w="638" w:type="dxa"/>
                  <w:shd w:val="clear" w:color="auto" w:fill="auto"/>
                  <w:vAlign w:val="center"/>
                </w:tcPr>
                <w:p w14:paraId="5C12BF3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29" w:type="dxa"/>
                  <w:shd w:val="clear" w:color="auto" w:fill="auto"/>
                  <w:vAlign w:val="center"/>
                </w:tcPr>
                <w:p w14:paraId="563F5CB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80</w:t>
                  </w:r>
                </w:p>
              </w:tc>
              <w:tc>
                <w:tcPr>
                  <w:tcW w:w="841" w:type="dxa"/>
                  <w:shd w:val="clear" w:color="auto" w:fill="auto"/>
                  <w:vAlign w:val="center"/>
                </w:tcPr>
                <w:p w14:paraId="57D5360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80</w:t>
                  </w:r>
                </w:p>
              </w:tc>
              <w:tc>
                <w:tcPr>
                  <w:tcW w:w="1009" w:type="dxa"/>
                  <w:vMerge w:val="continue"/>
                  <w:vAlign w:val="center"/>
                </w:tcPr>
                <w:p w14:paraId="2987221C">
                  <w:pPr>
                    <w:jc w:val="center"/>
                    <w:rPr>
                      <w:rFonts w:hint="default" w:ascii="Times New Roman" w:hAnsi="Times New Roman" w:cs="Times New Roman"/>
                      <w:color w:val="auto"/>
                      <w:szCs w:val="21"/>
                      <w:highlight w:val="none"/>
                    </w:rPr>
                  </w:pPr>
                </w:p>
              </w:tc>
              <w:tc>
                <w:tcPr>
                  <w:tcW w:w="640" w:type="dxa"/>
                  <w:shd w:val="clear" w:color="auto" w:fill="auto"/>
                  <w:noWrap/>
                  <w:vAlign w:val="center"/>
                </w:tcPr>
                <w:p w14:paraId="4034450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41" w:type="dxa"/>
                  <w:shd w:val="clear" w:color="auto" w:fill="auto"/>
                  <w:noWrap/>
                  <w:vAlign w:val="center"/>
                </w:tcPr>
                <w:p w14:paraId="30498BA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41" w:type="dxa"/>
                  <w:shd w:val="clear" w:color="auto" w:fill="auto"/>
                  <w:noWrap/>
                  <w:vAlign w:val="center"/>
                </w:tcPr>
                <w:p w14:paraId="107FDC5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589" w:type="dxa"/>
                  <w:shd w:val="clear" w:color="auto" w:fill="auto"/>
                  <w:vAlign w:val="center"/>
                </w:tcPr>
                <w:p w14:paraId="1434B872">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22.4</w:t>
                  </w:r>
                </w:p>
              </w:tc>
              <w:tc>
                <w:tcPr>
                  <w:tcW w:w="589" w:type="dxa"/>
                  <w:shd w:val="clear" w:color="auto" w:fill="auto"/>
                  <w:vAlign w:val="center"/>
                </w:tcPr>
                <w:p w14:paraId="4594A1CA">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16</w:t>
                  </w:r>
                </w:p>
              </w:tc>
              <w:tc>
                <w:tcPr>
                  <w:tcW w:w="589" w:type="dxa"/>
                  <w:shd w:val="clear" w:color="auto" w:fill="auto"/>
                  <w:vAlign w:val="center"/>
                </w:tcPr>
                <w:p w14:paraId="720F9AF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589" w:type="dxa"/>
                  <w:shd w:val="clear" w:color="auto" w:fill="auto"/>
                  <w:vAlign w:val="center"/>
                </w:tcPr>
                <w:p w14:paraId="5BB82A9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r>
            <w:tr w14:paraId="50D4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shd w:val="clear" w:color="auto" w:fill="auto"/>
                  <w:noWrap/>
                  <w:vAlign w:val="center"/>
                </w:tcPr>
                <w:p w14:paraId="79745D2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烤箱</w:t>
                  </w:r>
                </w:p>
              </w:tc>
              <w:tc>
                <w:tcPr>
                  <w:tcW w:w="638" w:type="dxa"/>
                  <w:shd w:val="clear" w:color="auto" w:fill="auto"/>
                  <w:vAlign w:val="center"/>
                </w:tcPr>
                <w:p w14:paraId="0025E4D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29" w:type="dxa"/>
                  <w:shd w:val="clear" w:color="auto" w:fill="auto"/>
                  <w:vAlign w:val="center"/>
                </w:tcPr>
                <w:p w14:paraId="48C950A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80</w:t>
                  </w:r>
                </w:p>
              </w:tc>
              <w:tc>
                <w:tcPr>
                  <w:tcW w:w="841" w:type="dxa"/>
                  <w:shd w:val="clear" w:color="auto" w:fill="auto"/>
                  <w:vAlign w:val="center"/>
                </w:tcPr>
                <w:p w14:paraId="6E278E6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80</w:t>
                  </w:r>
                </w:p>
              </w:tc>
              <w:tc>
                <w:tcPr>
                  <w:tcW w:w="1009" w:type="dxa"/>
                  <w:vMerge w:val="continue"/>
                  <w:vAlign w:val="center"/>
                </w:tcPr>
                <w:p w14:paraId="7E8FD492">
                  <w:pPr>
                    <w:jc w:val="center"/>
                    <w:rPr>
                      <w:rFonts w:hint="default" w:ascii="Times New Roman" w:hAnsi="Times New Roman" w:cs="Times New Roman"/>
                      <w:color w:val="auto"/>
                      <w:szCs w:val="21"/>
                      <w:highlight w:val="none"/>
                    </w:rPr>
                  </w:pPr>
                </w:p>
              </w:tc>
              <w:tc>
                <w:tcPr>
                  <w:tcW w:w="640" w:type="dxa"/>
                  <w:shd w:val="clear" w:color="auto" w:fill="auto"/>
                  <w:noWrap/>
                  <w:vAlign w:val="center"/>
                </w:tcPr>
                <w:p w14:paraId="6EDAD14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641" w:type="dxa"/>
                  <w:shd w:val="clear" w:color="auto" w:fill="auto"/>
                  <w:noWrap/>
                  <w:vAlign w:val="center"/>
                </w:tcPr>
                <w:p w14:paraId="5B9CAFA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41" w:type="dxa"/>
                  <w:shd w:val="clear" w:color="auto" w:fill="auto"/>
                  <w:noWrap/>
                  <w:vAlign w:val="center"/>
                </w:tcPr>
                <w:p w14:paraId="250C299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589" w:type="dxa"/>
                  <w:shd w:val="clear" w:color="auto" w:fill="auto"/>
                  <w:vAlign w:val="center"/>
                </w:tcPr>
                <w:p w14:paraId="5EA419A3">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19.4</w:t>
                  </w:r>
                </w:p>
              </w:tc>
              <w:tc>
                <w:tcPr>
                  <w:tcW w:w="589" w:type="dxa"/>
                  <w:shd w:val="clear" w:color="auto" w:fill="auto"/>
                  <w:vAlign w:val="center"/>
                </w:tcPr>
                <w:p w14:paraId="58785A41">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16</w:t>
                  </w:r>
                </w:p>
              </w:tc>
              <w:tc>
                <w:tcPr>
                  <w:tcW w:w="589" w:type="dxa"/>
                  <w:shd w:val="clear" w:color="auto" w:fill="auto"/>
                  <w:vAlign w:val="center"/>
                </w:tcPr>
                <w:p w14:paraId="1C2B59D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589" w:type="dxa"/>
                  <w:shd w:val="clear" w:color="auto" w:fill="auto"/>
                  <w:vAlign w:val="center"/>
                </w:tcPr>
                <w:p w14:paraId="46233C7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r>
            <w:tr w14:paraId="269E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3" w:type="dxa"/>
                  <w:shd w:val="clear" w:color="auto" w:fill="auto"/>
                  <w:noWrap/>
                  <w:vAlign w:val="center"/>
                </w:tcPr>
                <w:p w14:paraId="014CE747">
                  <w:pPr>
                    <w:widowControl/>
                    <w:adjustRightInd w:val="0"/>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喷粉柜</w:t>
                  </w:r>
                </w:p>
              </w:tc>
              <w:tc>
                <w:tcPr>
                  <w:tcW w:w="638" w:type="dxa"/>
                  <w:shd w:val="clear" w:color="auto" w:fill="auto"/>
                  <w:noWrap/>
                  <w:vAlign w:val="center"/>
                </w:tcPr>
                <w:p w14:paraId="7E51303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29" w:type="dxa"/>
                  <w:shd w:val="clear" w:color="auto" w:fill="auto"/>
                  <w:noWrap/>
                  <w:vAlign w:val="center"/>
                </w:tcPr>
                <w:p w14:paraId="0BB361E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65</w:t>
                  </w:r>
                </w:p>
              </w:tc>
              <w:tc>
                <w:tcPr>
                  <w:tcW w:w="841" w:type="dxa"/>
                  <w:shd w:val="clear" w:color="auto" w:fill="auto"/>
                  <w:vAlign w:val="center"/>
                </w:tcPr>
                <w:p w14:paraId="7BBFE20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65</w:t>
                  </w:r>
                </w:p>
              </w:tc>
              <w:tc>
                <w:tcPr>
                  <w:tcW w:w="1009" w:type="dxa"/>
                  <w:vMerge w:val="continue"/>
                  <w:vAlign w:val="center"/>
                </w:tcPr>
                <w:p w14:paraId="0B4E7A0A">
                  <w:pPr>
                    <w:jc w:val="center"/>
                    <w:rPr>
                      <w:rFonts w:hint="default" w:ascii="Times New Roman" w:hAnsi="Times New Roman" w:cs="Times New Roman"/>
                      <w:color w:val="auto"/>
                      <w:szCs w:val="21"/>
                      <w:highlight w:val="none"/>
                    </w:rPr>
                  </w:pPr>
                </w:p>
              </w:tc>
              <w:tc>
                <w:tcPr>
                  <w:tcW w:w="640" w:type="dxa"/>
                  <w:shd w:val="clear" w:color="auto" w:fill="auto"/>
                  <w:noWrap/>
                  <w:vAlign w:val="center"/>
                </w:tcPr>
                <w:p w14:paraId="5CAC894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-18</w:t>
                  </w:r>
                </w:p>
              </w:tc>
              <w:tc>
                <w:tcPr>
                  <w:tcW w:w="641" w:type="dxa"/>
                  <w:shd w:val="clear" w:color="auto" w:fill="auto"/>
                  <w:noWrap/>
                  <w:vAlign w:val="center"/>
                </w:tcPr>
                <w:p w14:paraId="621C4D9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-0.8</w:t>
                  </w:r>
                </w:p>
              </w:tc>
              <w:tc>
                <w:tcPr>
                  <w:tcW w:w="641" w:type="dxa"/>
                  <w:shd w:val="clear" w:color="auto" w:fill="auto"/>
                  <w:noWrap/>
                  <w:vAlign w:val="center"/>
                </w:tcPr>
                <w:p w14:paraId="72D9E5B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0.9</w:t>
                  </w:r>
                </w:p>
              </w:tc>
              <w:tc>
                <w:tcPr>
                  <w:tcW w:w="589" w:type="dxa"/>
                  <w:shd w:val="clear" w:color="auto" w:fill="auto"/>
                  <w:vAlign w:val="center"/>
                </w:tcPr>
                <w:p w14:paraId="2C4F4081">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11.4</w:t>
                  </w:r>
                </w:p>
              </w:tc>
              <w:tc>
                <w:tcPr>
                  <w:tcW w:w="589" w:type="dxa"/>
                  <w:shd w:val="clear" w:color="auto" w:fill="auto"/>
                  <w:vAlign w:val="center"/>
                </w:tcPr>
                <w:p w14:paraId="776A5B38">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16.2</w:t>
                  </w:r>
                </w:p>
              </w:tc>
              <w:tc>
                <w:tcPr>
                  <w:tcW w:w="589" w:type="dxa"/>
                  <w:shd w:val="clear" w:color="auto" w:fill="auto"/>
                  <w:vAlign w:val="center"/>
                </w:tcPr>
                <w:p w14:paraId="463A62B0">
                  <w:pPr>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18</w:t>
                  </w:r>
                </w:p>
              </w:tc>
              <w:tc>
                <w:tcPr>
                  <w:tcW w:w="589" w:type="dxa"/>
                  <w:shd w:val="clear" w:color="auto" w:fill="auto"/>
                  <w:vAlign w:val="center"/>
                </w:tcPr>
                <w:p w14:paraId="48E8D0C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0.8</w:t>
                  </w:r>
                </w:p>
              </w:tc>
            </w:tr>
            <w:tr w14:paraId="74B8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3" w:type="dxa"/>
                  <w:shd w:val="clear" w:color="auto" w:fill="auto"/>
                  <w:noWrap/>
                  <w:vAlign w:val="center"/>
                </w:tcPr>
                <w:p w14:paraId="2275337F">
                  <w:pPr>
                    <w:widowControl/>
                    <w:adjustRightInd w:val="0"/>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喷粉柜</w:t>
                  </w:r>
                </w:p>
              </w:tc>
              <w:tc>
                <w:tcPr>
                  <w:tcW w:w="638" w:type="dxa"/>
                  <w:shd w:val="clear" w:color="auto" w:fill="auto"/>
                  <w:noWrap/>
                  <w:vAlign w:val="center"/>
                </w:tcPr>
                <w:p w14:paraId="05454E6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29" w:type="dxa"/>
                  <w:shd w:val="clear" w:color="auto" w:fill="auto"/>
                  <w:noWrap/>
                  <w:vAlign w:val="center"/>
                </w:tcPr>
                <w:p w14:paraId="4EDC9E6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65</w:t>
                  </w:r>
                </w:p>
              </w:tc>
              <w:tc>
                <w:tcPr>
                  <w:tcW w:w="841" w:type="dxa"/>
                  <w:shd w:val="clear" w:color="auto" w:fill="auto"/>
                  <w:vAlign w:val="center"/>
                </w:tcPr>
                <w:p w14:paraId="00B5B3F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65</w:t>
                  </w:r>
                </w:p>
              </w:tc>
              <w:tc>
                <w:tcPr>
                  <w:tcW w:w="1009" w:type="dxa"/>
                  <w:vMerge w:val="continue"/>
                  <w:vAlign w:val="center"/>
                </w:tcPr>
                <w:p w14:paraId="55C66080">
                  <w:pPr>
                    <w:jc w:val="center"/>
                    <w:rPr>
                      <w:rFonts w:hint="default" w:ascii="Times New Roman" w:hAnsi="Times New Roman" w:cs="Times New Roman"/>
                      <w:color w:val="auto"/>
                      <w:szCs w:val="21"/>
                      <w:highlight w:val="none"/>
                    </w:rPr>
                  </w:pPr>
                </w:p>
              </w:tc>
              <w:tc>
                <w:tcPr>
                  <w:tcW w:w="640" w:type="dxa"/>
                  <w:shd w:val="clear" w:color="auto" w:fill="auto"/>
                  <w:noWrap/>
                  <w:vAlign w:val="center"/>
                </w:tcPr>
                <w:p w14:paraId="3670F0C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w:t>
                  </w:r>
                </w:p>
              </w:tc>
              <w:tc>
                <w:tcPr>
                  <w:tcW w:w="641" w:type="dxa"/>
                  <w:shd w:val="clear" w:color="auto" w:fill="auto"/>
                  <w:noWrap/>
                  <w:vAlign w:val="center"/>
                </w:tcPr>
                <w:p w14:paraId="25D3002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-0.8</w:t>
                  </w:r>
                </w:p>
              </w:tc>
              <w:tc>
                <w:tcPr>
                  <w:tcW w:w="641" w:type="dxa"/>
                  <w:shd w:val="clear" w:color="auto" w:fill="auto"/>
                  <w:noWrap/>
                  <w:vAlign w:val="center"/>
                </w:tcPr>
                <w:p w14:paraId="2AB8BE0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0.9</w:t>
                  </w:r>
                </w:p>
              </w:tc>
              <w:tc>
                <w:tcPr>
                  <w:tcW w:w="589" w:type="dxa"/>
                  <w:shd w:val="clear" w:color="auto" w:fill="auto"/>
                  <w:vAlign w:val="center"/>
                </w:tcPr>
                <w:p w14:paraId="0C5F6D7D">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7.4</w:t>
                  </w:r>
                </w:p>
              </w:tc>
              <w:tc>
                <w:tcPr>
                  <w:tcW w:w="589" w:type="dxa"/>
                  <w:shd w:val="clear" w:color="auto" w:fill="auto"/>
                  <w:vAlign w:val="center"/>
                </w:tcPr>
                <w:p w14:paraId="43F7FE72">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16.2</w:t>
                  </w:r>
                </w:p>
              </w:tc>
              <w:tc>
                <w:tcPr>
                  <w:tcW w:w="589" w:type="dxa"/>
                  <w:shd w:val="clear" w:color="auto" w:fill="auto"/>
                  <w:vAlign w:val="center"/>
                </w:tcPr>
                <w:p w14:paraId="1BE9316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w:t>
                  </w:r>
                </w:p>
              </w:tc>
              <w:tc>
                <w:tcPr>
                  <w:tcW w:w="589" w:type="dxa"/>
                  <w:shd w:val="clear" w:color="auto" w:fill="auto"/>
                  <w:vAlign w:val="center"/>
                </w:tcPr>
                <w:p w14:paraId="5C1A36E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0.8</w:t>
                  </w:r>
                </w:p>
              </w:tc>
            </w:tr>
            <w:tr w14:paraId="2FAD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3" w:type="dxa"/>
                  <w:shd w:val="clear" w:color="auto" w:fill="auto"/>
                  <w:noWrap/>
                  <w:vAlign w:val="center"/>
                </w:tcPr>
                <w:p w14:paraId="5BB51387">
                  <w:pPr>
                    <w:widowControl/>
                    <w:adjustRightInd w:val="0"/>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喷粉柜</w:t>
                  </w:r>
                </w:p>
              </w:tc>
              <w:tc>
                <w:tcPr>
                  <w:tcW w:w="638" w:type="dxa"/>
                  <w:shd w:val="clear" w:color="auto" w:fill="auto"/>
                  <w:noWrap/>
                  <w:vAlign w:val="center"/>
                </w:tcPr>
                <w:p w14:paraId="4CBB080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29" w:type="dxa"/>
                  <w:shd w:val="clear" w:color="auto" w:fill="auto"/>
                  <w:noWrap/>
                  <w:vAlign w:val="center"/>
                </w:tcPr>
                <w:p w14:paraId="3E2F89D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65</w:t>
                  </w:r>
                </w:p>
              </w:tc>
              <w:tc>
                <w:tcPr>
                  <w:tcW w:w="841" w:type="dxa"/>
                  <w:shd w:val="clear" w:color="auto" w:fill="auto"/>
                  <w:vAlign w:val="center"/>
                </w:tcPr>
                <w:p w14:paraId="40C72D9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65</w:t>
                  </w:r>
                </w:p>
              </w:tc>
              <w:tc>
                <w:tcPr>
                  <w:tcW w:w="1009" w:type="dxa"/>
                  <w:vMerge w:val="continue"/>
                  <w:vAlign w:val="center"/>
                </w:tcPr>
                <w:p w14:paraId="342D77DD">
                  <w:pPr>
                    <w:jc w:val="center"/>
                    <w:rPr>
                      <w:rFonts w:hint="default" w:ascii="Times New Roman" w:hAnsi="Times New Roman" w:cs="Times New Roman"/>
                      <w:color w:val="auto"/>
                      <w:szCs w:val="21"/>
                      <w:highlight w:val="none"/>
                    </w:rPr>
                  </w:pPr>
                </w:p>
              </w:tc>
              <w:tc>
                <w:tcPr>
                  <w:tcW w:w="640" w:type="dxa"/>
                  <w:shd w:val="clear" w:color="auto" w:fill="auto"/>
                  <w:noWrap/>
                  <w:vAlign w:val="center"/>
                </w:tcPr>
                <w:p w14:paraId="4F5C29F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-26</w:t>
                  </w:r>
                </w:p>
              </w:tc>
              <w:tc>
                <w:tcPr>
                  <w:tcW w:w="641" w:type="dxa"/>
                  <w:shd w:val="clear" w:color="auto" w:fill="auto"/>
                  <w:noWrap/>
                  <w:vAlign w:val="center"/>
                </w:tcPr>
                <w:p w14:paraId="1DC3741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41" w:type="dxa"/>
                  <w:shd w:val="clear" w:color="auto" w:fill="auto"/>
                  <w:noWrap/>
                  <w:vAlign w:val="center"/>
                </w:tcPr>
                <w:p w14:paraId="6E48DA5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0.9</w:t>
                  </w:r>
                </w:p>
              </w:tc>
              <w:tc>
                <w:tcPr>
                  <w:tcW w:w="589" w:type="dxa"/>
                  <w:shd w:val="clear" w:color="auto" w:fill="auto"/>
                  <w:vAlign w:val="center"/>
                </w:tcPr>
                <w:p w14:paraId="7BED027C">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3.4</w:t>
                  </w:r>
                </w:p>
              </w:tc>
              <w:tc>
                <w:tcPr>
                  <w:tcW w:w="589" w:type="dxa"/>
                  <w:shd w:val="clear" w:color="auto" w:fill="auto"/>
                  <w:vAlign w:val="center"/>
                </w:tcPr>
                <w:p w14:paraId="4E8548F4">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15.2</w:t>
                  </w:r>
                </w:p>
              </w:tc>
              <w:tc>
                <w:tcPr>
                  <w:tcW w:w="589" w:type="dxa"/>
                  <w:shd w:val="clear" w:color="auto" w:fill="auto"/>
                  <w:vAlign w:val="center"/>
                </w:tcPr>
                <w:p w14:paraId="6A4CA6D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26</w:t>
                  </w:r>
                </w:p>
              </w:tc>
              <w:tc>
                <w:tcPr>
                  <w:tcW w:w="589" w:type="dxa"/>
                  <w:shd w:val="clear" w:color="auto" w:fill="auto"/>
                  <w:vAlign w:val="center"/>
                </w:tcPr>
                <w:p w14:paraId="19AA272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r>
          </w:tbl>
          <w:p w14:paraId="3C926728">
            <w:pPr>
              <w:spacing w:line="360" w:lineRule="auto"/>
              <w:ind w:firstLine="480" w:firstLineChars="200"/>
              <w:contextualSpacing/>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注：以项目喷漆房的西北角为原点坐标（0，0），以垂直于车间北界为Y轴正方向，以垂直于车间西界为X轴正方向建立直角坐标系。</w:t>
            </w:r>
          </w:p>
          <w:p w14:paraId="578C367B">
            <w:pPr>
              <w:pStyle w:val="7"/>
              <w:spacing w:line="360" w:lineRule="auto"/>
              <w:ind w:firstLine="482"/>
              <w:rPr>
                <w:rFonts w:hint="default" w:ascii="Times New Roman" w:hAnsi="Times New Roman" w:cs="Times New Roman"/>
                <w:b/>
                <w:color w:val="auto"/>
                <w:highlight w:val="none"/>
              </w:rPr>
            </w:pPr>
            <w:r>
              <w:rPr>
                <w:rFonts w:hint="default" w:ascii="Times New Roman" w:hAnsi="Times New Roman" w:cs="Times New Roman"/>
                <w:b/>
                <w:color w:val="auto"/>
                <w:sz w:val="24"/>
                <w:highlight w:val="none"/>
              </w:rPr>
              <w:t>（2）噪声预测</w:t>
            </w:r>
          </w:p>
          <w:p w14:paraId="3912FB6E">
            <w:pPr>
              <w:spacing w:line="360" w:lineRule="auto"/>
              <w:ind w:firstLine="480" w:firstLineChars="200"/>
              <w:contextualSpacing/>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根据建设项目的噪声排放特点，参考《环境影响评价技术导则 声环境》(HJ2.4-2021)，本环评对项目噪声污染情况进行预测。采用声传播衰减模式计算出某噪声源在预测点的声压级。</w:t>
            </w:r>
          </w:p>
          <w:p w14:paraId="28447045">
            <w:pPr>
              <w:spacing w:line="360" w:lineRule="auto"/>
              <w:ind w:firstLine="480" w:firstLineChars="200"/>
              <w:contextualSpacing/>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计算某一室内声源靠近围护结构处产生的倍频带声压级或A声级：</w:t>
            </w:r>
          </w:p>
          <w:p w14:paraId="6493E194">
            <w:pPr>
              <w:spacing w:line="360" w:lineRule="auto"/>
              <w:contextualSpacing/>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drawing>
                <wp:inline distT="0" distB="0" distL="114300" distR="114300">
                  <wp:extent cx="1581150" cy="361950"/>
                  <wp:effectExtent l="0" t="0" r="0"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5"/>
                          <a:stretch>
                            <a:fillRect/>
                          </a:stretch>
                        </pic:blipFill>
                        <pic:spPr>
                          <a:xfrm>
                            <a:off x="0" y="0"/>
                            <a:ext cx="1581150" cy="361950"/>
                          </a:xfrm>
                          <a:prstGeom prst="rect">
                            <a:avLst/>
                          </a:prstGeom>
                          <a:noFill/>
                          <a:ln>
                            <a:noFill/>
                          </a:ln>
                        </pic:spPr>
                      </pic:pic>
                    </a:graphicData>
                  </a:graphic>
                </wp:inline>
              </w:drawing>
            </w:r>
          </w:p>
          <w:p w14:paraId="1841D4CB">
            <w:pPr>
              <w:spacing w:line="360" w:lineRule="auto"/>
              <w:ind w:firstLine="480" w:firstLineChars="200"/>
              <w:contextualSpacing/>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式中：L</w:t>
            </w:r>
            <w:r>
              <w:rPr>
                <w:rFonts w:hint="default" w:ascii="Times New Roman" w:hAnsi="Times New Roman" w:cs="Times New Roman"/>
                <w:bCs/>
                <w:color w:val="auto"/>
                <w:sz w:val="24"/>
                <w:highlight w:val="none"/>
                <w:vertAlign w:val="subscript"/>
              </w:rPr>
              <w:t>p1</w:t>
            </w:r>
            <w:r>
              <w:rPr>
                <w:rFonts w:hint="default" w:ascii="Times New Roman" w:hAnsi="Times New Roman" w:cs="Times New Roman"/>
                <w:bCs/>
                <w:color w:val="auto"/>
                <w:sz w:val="24"/>
                <w:highlight w:val="none"/>
              </w:rPr>
              <w:t>为靠近开口处（或窗户）室内某倍频带的声压级或A声级，dB；L</w:t>
            </w:r>
            <w:r>
              <w:rPr>
                <w:rFonts w:hint="default" w:ascii="Times New Roman" w:hAnsi="Times New Roman" w:cs="Times New Roman"/>
                <w:bCs/>
                <w:color w:val="auto"/>
                <w:sz w:val="24"/>
                <w:highlight w:val="none"/>
                <w:vertAlign w:val="subscript"/>
              </w:rPr>
              <w:t>w</w:t>
            </w:r>
            <w:r>
              <w:rPr>
                <w:rFonts w:hint="default" w:ascii="Times New Roman" w:hAnsi="Times New Roman" w:cs="Times New Roman"/>
                <w:bCs/>
                <w:color w:val="auto"/>
                <w:sz w:val="24"/>
                <w:highlight w:val="none"/>
              </w:rPr>
              <w:t>为点声源声功率级（A计权或倍频带），dB；Q为指向性因数；通常对无指向性声源，当声源放在房间中心时，Q=1；当放在一面墙的中心时，Q=2；当放在两面墙夹角处时，Q=4；当放在三面墙夹角处时，Q=8；R为房间常数；R=Sα/(1-α)，S为房间内表面面积，m</w:t>
            </w:r>
            <w:r>
              <w:rPr>
                <w:rFonts w:hint="default" w:ascii="Times New Roman" w:hAnsi="Times New Roman" w:cs="Times New Roman"/>
                <w:bCs/>
                <w:color w:val="auto"/>
                <w:sz w:val="24"/>
                <w:highlight w:val="none"/>
                <w:vertAlign w:val="superscript"/>
              </w:rPr>
              <w:t>2</w:t>
            </w:r>
            <w:r>
              <w:rPr>
                <w:rFonts w:hint="default" w:ascii="Times New Roman" w:hAnsi="Times New Roman" w:cs="Times New Roman"/>
                <w:bCs/>
                <w:color w:val="auto"/>
                <w:sz w:val="24"/>
                <w:highlight w:val="none"/>
              </w:rPr>
              <w:t>；α为平均吸声系数；r为声源到靠近围护结构某点处的距离，m。</w:t>
            </w:r>
          </w:p>
          <w:p w14:paraId="308D240C">
            <w:pPr>
              <w:spacing w:line="360" w:lineRule="auto"/>
              <w:ind w:firstLine="480" w:firstLineChars="200"/>
              <w:contextualSpacing/>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项目设备均放置不靠墙摆放，平均吸声系数取0.07计，项目车间长度为29.4m，宽度为17m，高度约为3m，可算出厂房内表面面积S分别为1278.4m</w:t>
            </w:r>
            <w:r>
              <w:rPr>
                <w:rFonts w:hint="default" w:ascii="Times New Roman" w:hAnsi="Times New Roman" w:cs="Times New Roman"/>
                <w:bCs/>
                <w:color w:val="auto"/>
                <w:sz w:val="24"/>
                <w:highlight w:val="none"/>
                <w:vertAlign w:val="superscript"/>
              </w:rPr>
              <w:t>2</w:t>
            </w:r>
            <w:r>
              <w:rPr>
                <w:rFonts w:hint="default" w:ascii="Times New Roman" w:hAnsi="Times New Roman" w:cs="Times New Roman"/>
                <w:bCs/>
                <w:color w:val="auto"/>
                <w:sz w:val="24"/>
                <w:highlight w:val="none"/>
              </w:rPr>
              <w:t>，房间常数R分别为96.2。</w:t>
            </w:r>
          </w:p>
          <w:p w14:paraId="31ACB1F5">
            <w:pPr>
              <w:numPr>
                <w:ilvl w:val="0"/>
                <w:numId w:val="14"/>
              </w:numPr>
              <w:spacing w:line="360" w:lineRule="auto"/>
              <w:ind w:lef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计算出所有室内声源在靠近围护结构处产生的总倍频带声压级：</w:t>
            </w:r>
          </w:p>
          <w:p w14:paraId="4933D66D">
            <w:pPr>
              <w:spacing w:line="360"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1628775" cy="466725"/>
                  <wp:effectExtent l="0" t="0" r="9525" b="9525"/>
                  <wp:docPr id="21162477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47796" name="图片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628775" cy="466725"/>
                          </a:xfrm>
                          <a:prstGeom prst="rect">
                            <a:avLst/>
                          </a:prstGeom>
                          <a:noFill/>
                          <a:ln>
                            <a:noFill/>
                          </a:ln>
                        </pic:spPr>
                      </pic:pic>
                    </a:graphicData>
                  </a:graphic>
                </wp:inline>
              </w:drawing>
            </w:r>
          </w:p>
          <w:p w14:paraId="64B5E5F1">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式中：L</w:t>
            </w:r>
            <w:r>
              <w:rPr>
                <w:rFonts w:hint="default" w:ascii="Times New Roman" w:hAnsi="Times New Roman" w:cs="Times New Roman"/>
                <w:color w:val="auto"/>
                <w:sz w:val="24"/>
                <w:highlight w:val="none"/>
                <w:vertAlign w:val="subscript"/>
              </w:rPr>
              <w:t>p1i</w:t>
            </w:r>
            <w:r>
              <w:rPr>
                <w:rFonts w:hint="default" w:ascii="Times New Roman" w:hAnsi="Times New Roman" w:cs="Times New Roman"/>
                <w:color w:val="auto"/>
                <w:sz w:val="24"/>
                <w:highlight w:val="none"/>
              </w:rPr>
              <w:t>(T)为靠近围护结构处室内N个声源i倍频带的叠加声压级，dB；L</w:t>
            </w:r>
            <w:r>
              <w:rPr>
                <w:rFonts w:hint="default" w:ascii="Times New Roman" w:hAnsi="Times New Roman" w:cs="Times New Roman"/>
                <w:color w:val="auto"/>
                <w:sz w:val="24"/>
                <w:highlight w:val="none"/>
                <w:vertAlign w:val="subscript"/>
              </w:rPr>
              <w:t>p1ij</w:t>
            </w:r>
            <w:r>
              <w:rPr>
                <w:rFonts w:hint="default" w:ascii="Times New Roman" w:hAnsi="Times New Roman" w:cs="Times New Roman"/>
                <w:color w:val="auto"/>
                <w:sz w:val="24"/>
                <w:highlight w:val="none"/>
              </w:rPr>
              <w:t>为室内j声源i倍频带的声压级，dB；N为室内声源总数。</w:t>
            </w:r>
          </w:p>
          <w:p w14:paraId="3143404B">
            <w:pPr>
              <w:numPr>
                <w:ilvl w:val="0"/>
                <w:numId w:val="14"/>
              </w:numPr>
              <w:spacing w:line="360" w:lineRule="auto"/>
              <w:ind w:lef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在室内近似为扩散声场时，计算出靠近室外围护结构处的声压级：</w:t>
            </w:r>
          </w:p>
          <w:p w14:paraId="7C064CBE">
            <w:pPr>
              <w:spacing w:line="360"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1847850" cy="247650"/>
                  <wp:effectExtent l="0" t="0" r="0" b="0"/>
                  <wp:docPr id="14678650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65065" name="图片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847850" cy="247650"/>
                          </a:xfrm>
                          <a:prstGeom prst="rect">
                            <a:avLst/>
                          </a:prstGeom>
                          <a:noFill/>
                          <a:ln>
                            <a:noFill/>
                          </a:ln>
                        </pic:spPr>
                      </pic:pic>
                    </a:graphicData>
                  </a:graphic>
                </wp:inline>
              </w:drawing>
            </w:r>
          </w:p>
          <w:p w14:paraId="18BB0A8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式中：L</w:t>
            </w:r>
            <w:r>
              <w:rPr>
                <w:rFonts w:hint="default" w:ascii="Times New Roman" w:hAnsi="Times New Roman" w:cs="Times New Roman"/>
                <w:color w:val="auto"/>
                <w:sz w:val="24"/>
                <w:highlight w:val="none"/>
                <w:vertAlign w:val="subscript"/>
              </w:rPr>
              <w:t>p2i</w:t>
            </w:r>
            <w:r>
              <w:rPr>
                <w:rFonts w:hint="default" w:ascii="Times New Roman" w:hAnsi="Times New Roman" w:cs="Times New Roman"/>
                <w:color w:val="auto"/>
                <w:sz w:val="24"/>
                <w:highlight w:val="none"/>
              </w:rPr>
              <w:t>(T)为靠近围护结构处室外N个声源i倍频带的叠加声压级，dB；TL</w:t>
            </w:r>
            <w:r>
              <w:rPr>
                <w:rFonts w:hint="default" w:ascii="Times New Roman" w:hAnsi="Times New Roman" w:cs="Times New Roman"/>
                <w:color w:val="auto"/>
                <w:sz w:val="24"/>
                <w:highlight w:val="none"/>
                <w:vertAlign w:val="subscript"/>
              </w:rPr>
              <w:t>i</w:t>
            </w:r>
            <w:r>
              <w:rPr>
                <w:rFonts w:hint="default" w:ascii="Times New Roman" w:hAnsi="Times New Roman" w:cs="Times New Roman"/>
                <w:color w:val="auto"/>
                <w:sz w:val="24"/>
                <w:highlight w:val="none"/>
              </w:rPr>
              <w:t>为围护结构i倍频带的隔声量，dB。</w:t>
            </w:r>
          </w:p>
          <w:p w14:paraId="5A8F163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然后按室外声源预测方法计算预测点处的A声级。 </w:t>
            </w:r>
          </w:p>
          <w:p w14:paraId="3E54E30C">
            <w:pPr>
              <w:numPr>
                <w:ilvl w:val="0"/>
                <w:numId w:val="14"/>
              </w:numPr>
              <w:spacing w:line="360" w:lineRule="auto"/>
              <w:ind w:lef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计算某一户外声源</w:t>
            </w:r>
            <w:r>
              <w:rPr>
                <w:rFonts w:hint="default" w:ascii="Times New Roman" w:hAnsi="Times New Roman" w:cs="Times New Roman"/>
                <w:bCs/>
                <w:color w:val="auto"/>
                <w:sz w:val="24"/>
                <w:highlight w:val="none"/>
              </w:rPr>
              <w:t>在预测点的倍频带声压级：</w:t>
            </w:r>
          </w:p>
          <w:p w14:paraId="599728B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户外声传播衰减包括几何发散（A</w:t>
            </w:r>
            <w:r>
              <w:rPr>
                <w:rFonts w:hint="default" w:ascii="Times New Roman" w:hAnsi="Times New Roman" w:cs="Times New Roman"/>
                <w:color w:val="auto"/>
                <w:sz w:val="24"/>
                <w:highlight w:val="none"/>
                <w:vertAlign w:val="subscript"/>
              </w:rPr>
              <w:t>div</w:t>
            </w:r>
            <w:r>
              <w:rPr>
                <w:rFonts w:hint="default" w:ascii="Times New Roman" w:hAnsi="Times New Roman" w:cs="Times New Roman"/>
                <w:color w:val="auto"/>
                <w:sz w:val="24"/>
                <w:highlight w:val="none"/>
              </w:rPr>
              <w:t>）、大气吸收（A</w:t>
            </w:r>
            <w:r>
              <w:rPr>
                <w:rFonts w:hint="default" w:ascii="Times New Roman" w:hAnsi="Times New Roman" w:cs="Times New Roman"/>
                <w:color w:val="auto"/>
                <w:sz w:val="24"/>
                <w:highlight w:val="none"/>
                <w:vertAlign w:val="subscript"/>
              </w:rPr>
              <w:t>atm</w:t>
            </w:r>
            <w:r>
              <w:rPr>
                <w:rFonts w:hint="default" w:ascii="Times New Roman" w:hAnsi="Times New Roman" w:cs="Times New Roman"/>
                <w:color w:val="auto"/>
                <w:sz w:val="24"/>
                <w:highlight w:val="none"/>
              </w:rPr>
              <w:t>）、地面效应（A</w:t>
            </w:r>
            <w:r>
              <w:rPr>
                <w:rFonts w:hint="default" w:ascii="Times New Roman" w:hAnsi="Times New Roman" w:cs="Times New Roman"/>
                <w:color w:val="auto"/>
                <w:sz w:val="24"/>
                <w:highlight w:val="none"/>
                <w:vertAlign w:val="subscript"/>
              </w:rPr>
              <w:t>gr</w:t>
            </w:r>
            <w:r>
              <w:rPr>
                <w:rFonts w:hint="default" w:ascii="Times New Roman" w:hAnsi="Times New Roman" w:cs="Times New Roman"/>
                <w:color w:val="auto"/>
                <w:sz w:val="24"/>
                <w:highlight w:val="none"/>
              </w:rPr>
              <w:t>）、障碍物屏蔽（A</w:t>
            </w:r>
            <w:r>
              <w:rPr>
                <w:rFonts w:hint="default" w:ascii="Times New Roman" w:hAnsi="Times New Roman" w:cs="Times New Roman"/>
                <w:color w:val="auto"/>
                <w:sz w:val="24"/>
                <w:highlight w:val="none"/>
                <w:vertAlign w:val="subscript"/>
              </w:rPr>
              <w:t>bar</w:t>
            </w:r>
            <w:r>
              <w:rPr>
                <w:rFonts w:hint="default" w:ascii="Times New Roman" w:hAnsi="Times New Roman" w:cs="Times New Roman"/>
                <w:color w:val="auto"/>
                <w:sz w:val="24"/>
                <w:highlight w:val="none"/>
              </w:rPr>
              <w:t>）、其他多方面效应（A</w:t>
            </w:r>
            <w:r>
              <w:rPr>
                <w:rFonts w:hint="default" w:ascii="Times New Roman" w:hAnsi="Times New Roman" w:cs="Times New Roman"/>
                <w:color w:val="auto"/>
                <w:sz w:val="24"/>
                <w:highlight w:val="none"/>
                <w:vertAlign w:val="subscript"/>
              </w:rPr>
              <w:t>misc</w:t>
            </w:r>
            <w:r>
              <w:rPr>
                <w:rFonts w:hint="default" w:ascii="Times New Roman" w:hAnsi="Times New Roman" w:cs="Times New Roman"/>
                <w:color w:val="auto"/>
                <w:sz w:val="24"/>
                <w:highlight w:val="none"/>
              </w:rPr>
              <w:t>）引起的衰减。在只考虑几何发散衰减时，可按下式计算。</w:t>
            </w:r>
          </w:p>
          <w:p w14:paraId="1702AB49">
            <w:pPr>
              <w:spacing w:line="360"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1266825" cy="285750"/>
                  <wp:effectExtent l="0" t="0" r="9525" b="0"/>
                  <wp:docPr id="15241793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79303" name="图片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266825" cy="285750"/>
                          </a:xfrm>
                          <a:prstGeom prst="rect">
                            <a:avLst/>
                          </a:prstGeom>
                          <a:noFill/>
                          <a:ln>
                            <a:noFill/>
                          </a:ln>
                        </pic:spPr>
                      </pic:pic>
                    </a:graphicData>
                  </a:graphic>
                </wp:inline>
              </w:drawing>
            </w:r>
          </w:p>
          <w:p w14:paraId="5C71D41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式中：L</w:t>
            </w:r>
            <w:r>
              <w:rPr>
                <w:rFonts w:hint="default" w:ascii="Times New Roman" w:hAnsi="Times New Roman" w:cs="Times New Roman"/>
                <w:color w:val="auto"/>
                <w:sz w:val="24"/>
                <w:highlight w:val="none"/>
                <w:vertAlign w:val="subscript"/>
              </w:rPr>
              <w:t>A</w:t>
            </w:r>
            <w:r>
              <w:rPr>
                <w:rFonts w:hint="default" w:ascii="Times New Roman" w:hAnsi="Times New Roman" w:cs="Times New Roman"/>
                <w:color w:val="auto"/>
                <w:sz w:val="24"/>
                <w:highlight w:val="none"/>
              </w:rPr>
              <w:t>(r) 为距声源r处的A声级，dB(A)；L</w:t>
            </w:r>
            <w:r>
              <w:rPr>
                <w:rFonts w:hint="default" w:ascii="Times New Roman" w:hAnsi="Times New Roman" w:cs="Times New Roman"/>
                <w:color w:val="auto"/>
                <w:sz w:val="24"/>
                <w:highlight w:val="none"/>
                <w:vertAlign w:val="subscript"/>
              </w:rPr>
              <w:t>A</w:t>
            </w:r>
            <w:r>
              <w:rPr>
                <w:rFonts w:hint="default" w:ascii="Times New Roman" w:hAnsi="Times New Roman" w:cs="Times New Roman"/>
                <w:color w:val="auto"/>
                <w:sz w:val="24"/>
                <w:highlight w:val="none"/>
              </w:rPr>
              <w:t>(</w:t>
            </w:r>
            <m:oMath>
              <m:sSub>
                <m:sSubPr>
                  <m:ctrlPr>
                    <w:rPr>
                      <w:rFonts w:hint="default" w:ascii="Cambria Math" w:hAnsi="Cambria Math" w:cs="Times New Roman"/>
                      <w:i/>
                      <w:color w:val="auto"/>
                      <w:sz w:val="24"/>
                      <w:highlight w:val="none"/>
                    </w:rPr>
                  </m:ctrlPr>
                </m:sSubPr>
                <m:e>
                  <m:r>
                    <m:rPr>
                      <m:nor/>
                    </m:rPr>
                    <w:rPr>
                      <w:rFonts w:hint="default" w:ascii="Times New Roman" w:hAnsi="Times New Roman" w:cs="Times New Roman"/>
                      <w:i/>
                      <w:color w:val="auto"/>
                      <w:sz w:val="24"/>
                      <w:highlight w:val="none"/>
                    </w:rPr>
                    <m:t>r</m:t>
                  </m:r>
                  <m:ctrlPr>
                    <w:rPr>
                      <w:rFonts w:hint="default" w:ascii="Cambria Math" w:hAnsi="Cambria Math" w:cs="Times New Roman"/>
                      <w:i/>
                      <w:color w:val="auto"/>
                      <w:sz w:val="24"/>
                      <w:highlight w:val="none"/>
                    </w:rPr>
                  </m:ctrlPr>
                </m:e>
                <m:sub>
                  <m:r>
                    <m:rPr>
                      <m:nor/>
                      <m:sty m:val="p"/>
                    </m:rPr>
                    <w:rPr>
                      <w:rFonts w:hint="default" w:ascii="Times New Roman" w:hAnsi="Times New Roman" w:cs="Times New Roman"/>
                      <w:b w:val="0"/>
                      <w:i w:val="0"/>
                      <w:color w:val="auto"/>
                      <w:sz w:val="24"/>
                      <w:highlight w:val="none"/>
                    </w:rPr>
                    <m:t>0</m:t>
                  </m:r>
                  <m:ctrlPr>
                    <w:rPr>
                      <w:rFonts w:hint="default" w:ascii="Cambria Math" w:hAnsi="Cambria Math" w:cs="Times New Roman"/>
                      <w:i/>
                      <w:color w:val="auto"/>
                      <w:sz w:val="24"/>
                      <w:highlight w:val="none"/>
                    </w:rPr>
                  </m:ctrlPr>
                </m:sub>
              </m:sSub>
            </m:oMath>
            <w:r>
              <w:rPr>
                <w:rFonts w:hint="default" w:ascii="Times New Roman" w:hAnsi="Times New Roman" w:cs="Times New Roman"/>
                <w:color w:val="auto"/>
                <w:sz w:val="24"/>
                <w:highlight w:val="none"/>
              </w:rPr>
              <w:t>)为参考位置</w:t>
            </w:r>
            <m:oMath>
              <m:sSub>
                <m:sSubPr>
                  <m:ctrlPr>
                    <w:rPr>
                      <w:rFonts w:hint="default" w:ascii="Cambria Math" w:hAnsi="Cambria Math" w:cs="Times New Roman"/>
                      <w:i/>
                      <w:color w:val="auto"/>
                      <w:sz w:val="24"/>
                      <w:highlight w:val="none"/>
                    </w:rPr>
                  </m:ctrlPr>
                </m:sSubPr>
                <m:e>
                  <m:r>
                    <m:rPr>
                      <m:nor/>
                    </m:rPr>
                    <w:rPr>
                      <w:rFonts w:hint="default" w:ascii="Times New Roman" w:hAnsi="Times New Roman" w:cs="Times New Roman"/>
                      <w:i/>
                      <w:color w:val="auto"/>
                      <w:sz w:val="24"/>
                      <w:highlight w:val="none"/>
                    </w:rPr>
                    <m:t>r</m:t>
                  </m:r>
                  <m:ctrlPr>
                    <w:rPr>
                      <w:rFonts w:hint="default" w:ascii="Cambria Math" w:hAnsi="Cambria Math" w:cs="Times New Roman"/>
                      <w:i/>
                      <w:color w:val="auto"/>
                      <w:sz w:val="24"/>
                      <w:highlight w:val="none"/>
                    </w:rPr>
                  </m:ctrlPr>
                </m:e>
                <m:sub>
                  <m:r>
                    <m:rPr>
                      <m:nor/>
                      <m:sty m:val="p"/>
                    </m:rPr>
                    <w:rPr>
                      <w:rFonts w:hint="default" w:ascii="Times New Roman" w:hAnsi="Times New Roman" w:cs="Times New Roman"/>
                      <w:b w:val="0"/>
                      <w:i w:val="0"/>
                      <w:color w:val="auto"/>
                      <w:sz w:val="24"/>
                      <w:highlight w:val="none"/>
                    </w:rPr>
                    <m:t>0</m:t>
                  </m:r>
                  <m:ctrlPr>
                    <w:rPr>
                      <w:rFonts w:hint="default" w:ascii="Cambria Math" w:hAnsi="Cambria Math" w:cs="Times New Roman"/>
                      <w:i/>
                      <w:color w:val="auto"/>
                      <w:sz w:val="24"/>
                      <w:highlight w:val="none"/>
                    </w:rPr>
                  </m:ctrlPr>
                </m:sub>
              </m:sSub>
            </m:oMath>
            <w:r>
              <w:rPr>
                <w:rFonts w:hint="default" w:ascii="Times New Roman" w:hAnsi="Times New Roman" w:cs="Times New Roman"/>
                <w:color w:val="auto"/>
                <w:sz w:val="24"/>
                <w:highlight w:val="none"/>
              </w:rPr>
              <w:t>处的A声级，dB(A)；A</w:t>
            </w:r>
            <w:r>
              <w:rPr>
                <w:rFonts w:hint="default" w:ascii="Times New Roman" w:hAnsi="Times New Roman" w:cs="Times New Roman"/>
                <w:color w:val="auto"/>
                <w:sz w:val="24"/>
                <w:highlight w:val="none"/>
                <w:vertAlign w:val="subscript"/>
              </w:rPr>
              <w:t>div</w:t>
            </w:r>
            <w:r>
              <w:rPr>
                <w:rFonts w:hint="default" w:ascii="Times New Roman" w:hAnsi="Times New Roman" w:cs="Times New Roman"/>
                <w:color w:val="auto"/>
                <w:sz w:val="24"/>
                <w:highlight w:val="none"/>
              </w:rPr>
              <w:t>为几何发散引起的衰减，dB。</w:t>
            </w:r>
          </w:p>
          <w:p w14:paraId="15E1E4D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参考长方形面声源中心轴线上的声衰减曲线，当预测点和面声源中心距离r处于以下条件时，可按下述方法近似计算：r＜a/π时，几乎不衰减（Adiv≈0）；当a/π＜r＜b/π，距离加倍衰减3dB左右，类似线声源衰减特性（Adiv≈10lg(r/</w:t>
            </w:r>
            <m:oMath>
              <m:sSub>
                <m:sSubPr>
                  <m:ctrlPr>
                    <w:rPr>
                      <w:rFonts w:hint="default" w:ascii="Cambria Math" w:hAnsi="Cambria Math" w:cs="Times New Roman"/>
                      <w:i/>
                      <w:color w:val="auto"/>
                      <w:sz w:val="24"/>
                      <w:highlight w:val="none"/>
                    </w:rPr>
                  </m:ctrlPr>
                </m:sSubPr>
                <m:e>
                  <m:r>
                    <m:rPr>
                      <m:nor/>
                    </m:rPr>
                    <w:rPr>
                      <w:rFonts w:hint="default" w:ascii="Times New Roman" w:hAnsi="Times New Roman" w:cs="Times New Roman"/>
                      <w:i/>
                      <w:color w:val="auto"/>
                      <w:sz w:val="24"/>
                      <w:highlight w:val="none"/>
                    </w:rPr>
                    <m:t>r</m:t>
                  </m:r>
                  <m:ctrlPr>
                    <w:rPr>
                      <w:rFonts w:hint="default" w:ascii="Cambria Math" w:hAnsi="Cambria Math" w:cs="Times New Roman"/>
                      <w:i/>
                      <w:color w:val="auto"/>
                      <w:sz w:val="24"/>
                      <w:highlight w:val="none"/>
                    </w:rPr>
                  </m:ctrlPr>
                </m:e>
                <m:sub>
                  <m:r>
                    <m:rPr>
                      <m:nor/>
                      <m:sty m:val="p"/>
                    </m:rPr>
                    <w:rPr>
                      <w:rFonts w:hint="default" w:ascii="Times New Roman" w:hAnsi="Times New Roman" w:cs="Times New Roman"/>
                      <w:b w:val="0"/>
                      <w:i w:val="0"/>
                      <w:color w:val="auto"/>
                      <w:sz w:val="24"/>
                      <w:highlight w:val="none"/>
                    </w:rPr>
                    <m:t>0</m:t>
                  </m:r>
                  <m:ctrlPr>
                    <w:rPr>
                      <w:rFonts w:hint="default" w:ascii="Cambria Math" w:hAnsi="Cambria Math" w:cs="Times New Roman"/>
                      <w:i/>
                      <w:color w:val="auto"/>
                      <w:sz w:val="24"/>
                      <w:highlight w:val="none"/>
                    </w:rPr>
                  </m:ctrlPr>
                </m:sub>
              </m:sSub>
            </m:oMath>
            <w:r>
              <w:rPr>
                <w:rFonts w:hint="default" w:ascii="Times New Roman" w:hAnsi="Times New Roman" w:cs="Times New Roman"/>
                <w:color w:val="auto"/>
                <w:sz w:val="24"/>
                <w:highlight w:val="none"/>
              </w:rPr>
              <w:t>)）；当r＞b/π时，距离加倍衰减趋近于6dB，类似点声源衰减特性（Adiv≈20lg(r/r0)）。其中a、b为面声源的边长，且b＞a。</w:t>
            </w:r>
          </w:p>
          <w:p w14:paraId="1614392A">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根据现场勘查，项目噪声来源于生产设备运转噪声，根据《噪声污染物控制工程》（高等教育出版社，洪宗辉）中资料，钢筋混凝土墙体厚度为100mm时，实测的隔声量为43~45dB(A)，项目生产车间为钢筋混凝土厚度约为100mm，考虑到开门开窗和门窗面积对隔声的负面影响，实际隔声量按15dB(A)进行计算。</w:t>
            </w:r>
          </w:p>
          <w:p w14:paraId="20E1B0D0">
            <w:pPr>
              <w:pStyle w:val="8"/>
              <w:ind w:firstLine="480" w:firstLineChars="200"/>
              <w:rPr>
                <w:rFonts w:hint="default" w:ascii="Times New Roman" w:hAnsi="Times New Roman" w:cs="Times New Roman"/>
                <w:color w:val="auto"/>
                <w:highlight w:val="none"/>
              </w:rPr>
            </w:pPr>
            <w:r>
              <w:rPr>
                <w:rFonts w:hint="default" w:ascii="Times New Roman" w:hAnsi="Times New Roman" w:eastAsia="宋体" w:cs="Times New Roman"/>
                <w:color w:val="auto"/>
                <w:kern w:val="0"/>
                <w:highlight w:val="none"/>
              </w:rPr>
              <w:t>D、</w:t>
            </w:r>
            <w:r>
              <w:rPr>
                <w:rFonts w:hint="default" w:ascii="Times New Roman" w:hAnsi="Times New Roman" w:cs="Times New Roman"/>
                <w:color w:val="auto"/>
                <w:highlight w:val="none"/>
              </w:rPr>
              <w:drawing>
                <wp:anchor distT="0" distB="0" distL="114300" distR="114300" simplePos="0" relativeHeight="251712512" behindDoc="0" locked="0" layoutInCell="1" allowOverlap="1">
                  <wp:simplePos x="0" y="0"/>
                  <wp:positionH relativeFrom="column">
                    <wp:posOffset>614045</wp:posOffset>
                  </wp:positionH>
                  <wp:positionV relativeFrom="paragraph">
                    <wp:posOffset>392430</wp:posOffset>
                  </wp:positionV>
                  <wp:extent cx="2086610" cy="405130"/>
                  <wp:effectExtent l="0" t="0" r="8890" b="13970"/>
                  <wp:wrapNone/>
                  <wp:docPr id="96" name="图片 96" descr="1661393189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1661393189317"/>
                          <pic:cNvPicPr>
                            <a:picLocks noChangeAspect="1"/>
                          </pic:cNvPicPr>
                        </pic:nvPicPr>
                        <pic:blipFill>
                          <a:blip r:embed="rId29" cstate="print"/>
                          <a:stretch>
                            <a:fillRect/>
                          </a:stretch>
                        </pic:blipFill>
                        <pic:spPr>
                          <a:xfrm>
                            <a:off x="0" y="0"/>
                            <a:ext cx="2086610" cy="405130"/>
                          </a:xfrm>
                          <a:prstGeom prst="rect">
                            <a:avLst/>
                          </a:prstGeom>
                        </pic:spPr>
                      </pic:pic>
                    </a:graphicData>
                  </a:graphic>
                </wp:anchor>
              </w:drawing>
            </w: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color w:val="auto"/>
                <w:highlight w:val="none"/>
              </w:rPr>
              <w:t>预测点的贡献值和背景值叠加预测值计算公式为：</w:t>
            </w:r>
          </w:p>
          <w:p w14:paraId="0D48EA04">
            <w:pPr>
              <w:jc w:val="center"/>
              <w:rPr>
                <w:rFonts w:hint="default" w:ascii="Times New Roman" w:hAnsi="Times New Roman" w:cs="Times New Roman"/>
                <w:color w:val="auto"/>
                <w:highlight w:val="none"/>
              </w:rPr>
            </w:pPr>
          </w:p>
          <w:p w14:paraId="414655B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14:paraId="4254665D">
            <w:pPr>
              <w:snapToGrid w:val="0"/>
              <w:spacing w:line="4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式中：L</w:t>
            </w:r>
            <w:r>
              <w:rPr>
                <w:rFonts w:hint="default" w:ascii="Times New Roman" w:hAnsi="Times New Roman" w:cs="Times New Roman"/>
                <w:color w:val="auto"/>
                <w:sz w:val="24"/>
                <w:highlight w:val="none"/>
                <w:vertAlign w:val="subscript"/>
              </w:rPr>
              <w:t>eq</w:t>
            </w:r>
            <w:r>
              <w:rPr>
                <w:rFonts w:hint="default" w:ascii="Times New Roman" w:hAnsi="Times New Roman" w:cs="Times New Roman"/>
                <w:color w:val="auto"/>
                <w:sz w:val="24"/>
                <w:highlight w:val="none"/>
              </w:rPr>
              <w:t>——预测点的噪声预测值，dB(A)；</w:t>
            </w:r>
          </w:p>
          <w:p w14:paraId="3AE7DFCB">
            <w:pPr>
              <w:snapToGrid w:val="0"/>
              <w:spacing w:line="480" w:lineRule="exact"/>
              <w:ind w:firstLine="1200" w:firstLineChars="5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L</w:t>
            </w:r>
            <w:r>
              <w:rPr>
                <w:rFonts w:hint="default" w:ascii="Times New Roman" w:hAnsi="Times New Roman" w:cs="Times New Roman"/>
                <w:color w:val="auto"/>
                <w:sz w:val="24"/>
                <w:highlight w:val="none"/>
                <w:vertAlign w:val="subscript"/>
              </w:rPr>
              <w:t>eqg</w:t>
            </w:r>
            <w:r>
              <w:rPr>
                <w:rFonts w:hint="default" w:ascii="Times New Roman" w:hAnsi="Times New Roman" w:cs="Times New Roman"/>
                <w:color w:val="auto"/>
                <w:sz w:val="24"/>
                <w:highlight w:val="none"/>
              </w:rPr>
              <w:t>—声源在预测点产生的噪声贡献值，dB(A)；</w:t>
            </w:r>
          </w:p>
          <w:p w14:paraId="6C8138B3">
            <w:pPr>
              <w:snapToGrid w:val="0"/>
              <w:spacing w:line="360" w:lineRule="auto"/>
              <w:ind w:firstLine="1200" w:firstLineChars="50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L</w:t>
            </w:r>
            <w:r>
              <w:rPr>
                <w:rFonts w:hint="default" w:ascii="Times New Roman" w:hAnsi="Times New Roman" w:cs="Times New Roman"/>
                <w:color w:val="auto"/>
                <w:sz w:val="24"/>
                <w:highlight w:val="none"/>
                <w:vertAlign w:val="subscript"/>
              </w:rPr>
              <w:t>eqb</w:t>
            </w:r>
            <w:r>
              <w:rPr>
                <w:rFonts w:hint="default" w:ascii="Times New Roman" w:hAnsi="Times New Roman" w:cs="Times New Roman"/>
                <w:color w:val="auto"/>
                <w:sz w:val="24"/>
                <w:highlight w:val="none"/>
              </w:rPr>
              <w:t>——预测点的背景噪声值，dB(A)；</w:t>
            </w:r>
          </w:p>
          <w:p w14:paraId="34690F95">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项目噪声预测结果如下表所示。</w:t>
            </w:r>
          </w:p>
          <w:p w14:paraId="3D8797FA">
            <w:pPr>
              <w:pStyle w:val="132"/>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表4-10 项目噪声预测结果一览表（一）</w:t>
            </w:r>
          </w:p>
          <w:tbl>
            <w:tblPr>
              <w:tblStyle w:val="26"/>
              <w:tblW w:w="9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272"/>
              <w:gridCol w:w="452"/>
              <w:gridCol w:w="491"/>
              <w:gridCol w:w="717"/>
              <w:gridCol w:w="480"/>
              <w:gridCol w:w="690"/>
              <w:gridCol w:w="630"/>
              <w:gridCol w:w="900"/>
              <w:gridCol w:w="600"/>
              <w:gridCol w:w="1253"/>
            </w:tblGrid>
            <w:tr w14:paraId="5EC2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4" w:type="dxa"/>
                  <w:vMerge w:val="restart"/>
                  <w:shd w:val="clear" w:color="auto" w:fill="auto"/>
                  <w:tcMar>
                    <w:top w:w="0" w:type="dxa"/>
                    <w:left w:w="0" w:type="dxa"/>
                    <w:bottom w:w="0" w:type="dxa"/>
                    <w:right w:w="0" w:type="dxa"/>
                  </w:tcMar>
                  <w:vAlign w:val="center"/>
                </w:tcPr>
                <w:p w14:paraId="15DE2B4A">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声源名称</w:t>
                  </w:r>
                </w:p>
              </w:tc>
              <w:tc>
                <w:tcPr>
                  <w:tcW w:w="1272" w:type="dxa"/>
                  <w:vMerge w:val="restart"/>
                  <w:shd w:val="clear" w:color="auto" w:fill="auto"/>
                  <w:tcMar>
                    <w:top w:w="0" w:type="dxa"/>
                    <w:left w:w="0" w:type="dxa"/>
                    <w:bottom w:w="0" w:type="dxa"/>
                    <w:right w:w="0" w:type="dxa"/>
                  </w:tcMar>
                  <w:vAlign w:val="center"/>
                </w:tcPr>
                <w:p w14:paraId="072F64B7">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噪声源强叠加值/dB(A)</w:t>
                  </w:r>
                </w:p>
              </w:tc>
              <w:tc>
                <w:tcPr>
                  <w:tcW w:w="4960" w:type="dxa"/>
                  <w:gridSpan w:val="8"/>
                  <w:shd w:val="clear" w:color="auto" w:fill="auto"/>
                  <w:tcMar>
                    <w:top w:w="0" w:type="dxa"/>
                    <w:left w:w="0" w:type="dxa"/>
                    <w:bottom w:w="0" w:type="dxa"/>
                    <w:right w:w="0" w:type="dxa"/>
                  </w:tcMar>
                  <w:vAlign w:val="center"/>
                </w:tcPr>
                <w:p w14:paraId="4037881D">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室内边界声级/dB(A)</w:t>
                  </w:r>
                </w:p>
              </w:tc>
              <w:tc>
                <w:tcPr>
                  <w:tcW w:w="1253" w:type="dxa"/>
                  <w:vMerge w:val="restart"/>
                  <w:tcMar>
                    <w:top w:w="0" w:type="dxa"/>
                    <w:left w:w="0" w:type="dxa"/>
                    <w:bottom w:w="0" w:type="dxa"/>
                    <w:right w:w="0" w:type="dxa"/>
                  </w:tcMar>
                  <w:vAlign w:val="center"/>
                </w:tcPr>
                <w:p w14:paraId="2D6D8CE3">
                  <w:pP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运行时段</w:t>
                  </w:r>
                </w:p>
              </w:tc>
            </w:tr>
            <w:tr w14:paraId="03DF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4" w:type="dxa"/>
                  <w:vMerge w:val="continue"/>
                  <w:tcMar>
                    <w:top w:w="0" w:type="dxa"/>
                    <w:left w:w="0" w:type="dxa"/>
                    <w:bottom w:w="0" w:type="dxa"/>
                    <w:right w:w="0" w:type="dxa"/>
                  </w:tcMar>
                  <w:vAlign w:val="center"/>
                </w:tcPr>
                <w:p w14:paraId="6FF92DED">
                  <w:pPr>
                    <w:jc w:val="center"/>
                    <w:rPr>
                      <w:rFonts w:hint="default" w:ascii="Times New Roman" w:hAnsi="Times New Roman" w:cs="Times New Roman"/>
                      <w:color w:val="auto"/>
                      <w:szCs w:val="21"/>
                      <w:highlight w:val="none"/>
                    </w:rPr>
                  </w:pPr>
                </w:p>
              </w:tc>
              <w:tc>
                <w:tcPr>
                  <w:tcW w:w="1272" w:type="dxa"/>
                  <w:vMerge w:val="continue"/>
                  <w:tcMar>
                    <w:top w:w="0" w:type="dxa"/>
                    <w:left w:w="0" w:type="dxa"/>
                    <w:bottom w:w="0" w:type="dxa"/>
                    <w:right w:w="0" w:type="dxa"/>
                  </w:tcMar>
                  <w:vAlign w:val="center"/>
                </w:tcPr>
                <w:p w14:paraId="4563DAFA">
                  <w:pPr>
                    <w:jc w:val="center"/>
                    <w:rPr>
                      <w:rFonts w:hint="default" w:ascii="Times New Roman" w:hAnsi="Times New Roman" w:cs="Times New Roman"/>
                      <w:color w:val="auto"/>
                      <w:szCs w:val="21"/>
                      <w:highlight w:val="none"/>
                    </w:rPr>
                  </w:pPr>
                </w:p>
              </w:tc>
              <w:tc>
                <w:tcPr>
                  <w:tcW w:w="943" w:type="dxa"/>
                  <w:gridSpan w:val="2"/>
                  <w:shd w:val="clear" w:color="auto" w:fill="auto"/>
                  <w:tcMar>
                    <w:top w:w="0" w:type="dxa"/>
                    <w:left w:w="0" w:type="dxa"/>
                    <w:bottom w:w="0" w:type="dxa"/>
                    <w:right w:w="0" w:type="dxa"/>
                  </w:tcMar>
                  <w:vAlign w:val="center"/>
                </w:tcPr>
                <w:p w14:paraId="22D488A8">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东边界</w:t>
                  </w:r>
                </w:p>
              </w:tc>
              <w:tc>
                <w:tcPr>
                  <w:tcW w:w="1197" w:type="dxa"/>
                  <w:gridSpan w:val="2"/>
                  <w:shd w:val="clear" w:color="auto" w:fill="auto"/>
                  <w:tcMar>
                    <w:top w:w="0" w:type="dxa"/>
                    <w:left w:w="0" w:type="dxa"/>
                    <w:bottom w:w="0" w:type="dxa"/>
                    <w:right w:w="0" w:type="dxa"/>
                  </w:tcMar>
                  <w:vAlign w:val="center"/>
                </w:tcPr>
                <w:p w14:paraId="4E8B54B8">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南边界</w:t>
                  </w:r>
                </w:p>
              </w:tc>
              <w:tc>
                <w:tcPr>
                  <w:tcW w:w="1320" w:type="dxa"/>
                  <w:gridSpan w:val="2"/>
                  <w:shd w:val="clear" w:color="auto" w:fill="auto"/>
                  <w:tcMar>
                    <w:top w:w="0" w:type="dxa"/>
                    <w:left w:w="0" w:type="dxa"/>
                    <w:bottom w:w="0" w:type="dxa"/>
                    <w:right w:w="0" w:type="dxa"/>
                  </w:tcMar>
                  <w:vAlign w:val="center"/>
                </w:tcPr>
                <w:p w14:paraId="523DFFD1">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西边界</w:t>
                  </w:r>
                </w:p>
              </w:tc>
              <w:tc>
                <w:tcPr>
                  <w:tcW w:w="1500" w:type="dxa"/>
                  <w:gridSpan w:val="2"/>
                  <w:shd w:val="clear" w:color="auto" w:fill="auto"/>
                  <w:tcMar>
                    <w:top w:w="0" w:type="dxa"/>
                    <w:left w:w="0" w:type="dxa"/>
                    <w:bottom w:w="0" w:type="dxa"/>
                    <w:right w:w="0" w:type="dxa"/>
                  </w:tcMar>
                  <w:vAlign w:val="center"/>
                </w:tcPr>
                <w:p w14:paraId="2F8BE120">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北边界</w:t>
                  </w:r>
                </w:p>
              </w:tc>
              <w:tc>
                <w:tcPr>
                  <w:tcW w:w="1253" w:type="dxa"/>
                  <w:vMerge w:val="continue"/>
                  <w:tcMar>
                    <w:top w:w="0" w:type="dxa"/>
                    <w:left w:w="0" w:type="dxa"/>
                    <w:bottom w:w="0" w:type="dxa"/>
                    <w:right w:w="0" w:type="dxa"/>
                  </w:tcMar>
                  <w:vAlign w:val="center"/>
                </w:tcPr>
                <w:p w14:paraId="24484731">
                  <w:pPr>
                    <w:jc w:val="center"/>
                    <w:rPr>
                      <w:rFonts w:hint="default" w:ascii="Times New Roman" w:hAnsi="Times New Roman" w:cs="Times New Roman"/>
                      <w:b/>
                      <w:bCs/>
                      <w:color w:val="auto"/>
                      <w:szCs w:val="21"/>
                      <w:highlight w:val="none"/>
                    </w:rPr>
                  </w:pPr>
                </w:p>
              </w:tc>
            </w:tr>
            <w:tr w14:paraId="1BC8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594" w:type="dxa"/>
                  <w:shd w:val="clear" w:color="auto" w:fill="auto"/>
                  <w:noWrap/>
                  <w:tcMar>
                    <w:top w:w="0" w:type="dxa"/>
                    <w:left w:w="0" w:type="dxa"/>
                    <w:bottom w:w="0" w:type="dxa"/>
                    <w:right w:w="0" w:type="dxa"/>
                  </w:tcMar>
                  <w:vAlign w:val="center"/>
                </w:tcPr>
                <w:p w14:paraId="4106271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喷漆柜</w:t>
                  </w:r>
                </w:p>
              </w:tc>
              <w:tc>
                <w:tcPr>
                  <w:tcW w:w="1272" w:type="dxa"/>
                  <w:shd w:val="clear" w:color="auto" w:fill="auto"/>
                  <w:noWrap/>
                  <w:tcMar>
                    <w:top w:w="0" w:type="dxa"/>
                    <w:left w:w="0" w:type="dxa"/>
                    <w:bottom w:w="0" w:type="dxa"/>
                    <w:right w:w="0" w:type="dxa"/>
                  </w:tcMar>
                  <w:vAlign w:val="center"/>
                </w:tcPr>
                <w:p w14:paraId="2417161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70</w:t>
                  </w:r>
                </w:p>
              </w:tc>
              <w:tc>
                <w:tcPr>
                  <w:tcW w:w="452" w:type="dxa"/>
                  <w:shd w:val="clear" w:color="auto" w:fill="auto"/>
                  <w:tcMar>
                    <w:top w:w="0" w:type="dxa"/>
                    <w:left w:w="0" w:type="dxa"/>
                    <w:bottom w:w="0" w:type="dxa"/>
                    <w:right w:w="0" w:type="dxa"/>
                  </w:tcMar>
                  <w:vAlign w:val="center"/>
                </w:tcPr>
                <w:p w14:paraId="24B8588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56.2</w:t>
                  </w:r>
                </w:p>
              </w:tc>
              <w:tc>
                <w:tcPr>
                  <w:tcW w:w="491" w:type="dxa"/>
                  <w:vMerge w:val="restart"/>
                  <w:shd w:val="clear" w:color="auto" w:fill="auto"/>
                  <w:tcMar>
                    <w:top w:w="0" w:type="dxa"/>
                    <w:left w:w="0" w:type="dxa"/>
                    <w:bottom w:w="0" w:type="dxa"/>
                    <w:right w:w="0" w:type="dxa"/>
                  </w:tcMar>
                  <w:vAlign w:val="center"/>
                </w:tcPr>
                <w:p w14:paraId="4F295F3A">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69.7</w:t>
                  </w:r>
                </w:p>
              </w:tc>
              <w:tc>
                <w:tcPr>
                  <w:tcW w:w="717" w:type="dxa"/>
                  <w:shd w:val="clear" w:color="auto" w:fill="auto"/>
                  <w:tcMar>
                    <w:top w:w="0" w:type="dxa"/>
                    <w:left w:w="0" w:type="dxa"/>
                    <w:bottom w:w="0" w:type="dxa"/>
                    <w:right w:w="0" w:type="dxa"/>
                  </w:tcMar>
                  <w:vAlign w:val="center"/>
                </w:tcPr>
                <w:p w14:paraId="01371DA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56.2</w:t>
                  </w:r>
                </w:p>
              </w:tc>
              <w:tc>
                <w:tcPr>
                  <w:tcW w:w="480" w:type="dxa"/>
                  <w:vMerge w:val="restart"/>
                  <w:shd w:val="clear" w:color="auto" w:fill="auto"/>
                  <w:tcMar>
                    <w:top w:w="0" w:type="dxa"/>
                    <w:left w:w="0" w:type="dxa"/>
                    <w:bottom w:w="0" w:type="dxa"/>
                    <w:right w:w="0" w:type="dxa"/>
                  </w:tcMar>
                  <w:vAlign w:val="center"/>
                </w:tcPr>
                <w:p w14:paraId="3A791A29">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69.7</w:t>
                  </w:r>
                </w:p>
              </w:tc>
              <w:tc>
                <w:tcPr>
                  <w:tcW w:w="690" w:type="dxa"/>
                  <w:shd w:val="clear" w:color="auto" w:fill="auto"/>
                  <w:tcMar>
                    <w:top w:w="0" w:type="dxa"/>
                    <w:left w:w="0" w:type="dxa"/>
                    <w:bottom w:w="0" w:type="dxa"/>
                    <w:right w:w="0" w:type="dxa"/>
                  </w:tcMar>
                  <w:vAlign w:val="center"/>
                </w:tcPr>
                <w:p w14:paraId="52ED5AD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58.4</w:t>
                  </w:r>
                </w:p>
              </w:tc>
              <w:tc>
                <w:tcPr>
                  <w:tcW w:w="630" w:type="dxa"/>
                  <w:vMerge w:val="restart"/>
                  <w:shd w:val="clear" w:color="auto" w:fill="auto"/>
                  <w:tcMar>
                    <w:top w:w="0" w:type="dxa"/>
                    <w:left w:w="0" w:type="dxa"/>
                    <w:bottom w:w="0" w:type="dxa"/>
                    <w:right w:w="0" w:type="dxa"/>
                  </w:tcMar>
                  <w:vAlign w:val="center"/>
                </w:tcPr>
                <w:p w14:paraId="76C35F31">
                  <w:pPr>
                    <w:widowControl/>
                    <w:jc w:val="center"/>
                    <w:textAlignment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7</w:t>
                  </w:r>
                  <w:r>
                    <w:rPr>
                      <w:rFonts w:hint="default" w:ascii="Times New Roman" w:hAnsi="Times New Roman" w:cs="Times New Roman"/>
                      <w:color w:val="auto"/>
                      <w:szCs w:val="21"/>
                      <w:highlight w:val="none"/>
                      <w:lang w:val="en-US" w:eastAsia="zh-CN"/>
                    </w:rPr>
                    <w:t>0</w:t>
                  </w:r>
                </w:p>
              </w:tc>
              <w:tc>
                <w:tcPr>
                  <w:tcW w:w="900" w:type="dxa"/>
                  <w:shd w:val="clear" w:color="auto" w:fill="auto"/>
                  <w:tcMar>
                    <w:top w:w="0" w:type="dxa"/>
                    <w:left w:w="0" w:type="dxa"/>
                    <w:bottom w:w="0" w:type="dxa"/>
                    <w:right w:w="0" w:type="dxa"/>
                  </w:tcMar>
                  <w:vAlign w:val="center"/>
                </w:tcPr>
                <w:p w14:paraId="4027E09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58.4</w:t>
                  </w:r>
                </w:p>
              </w:tc>
              <w:tc>
                <w:tcPr>
                  <w:tcW w:w="600" w:type="dxa"/>
                  <w:vMerge w:val="restart"/>
                  <w:shd w:val="clear" w:color="auto" w:fill="auto"/>
                  <w:tcMar>
                    <w:top w:w="0" w:type="dxa"/>
                    <w:left w:w="0" w:type="dxa"/>
                    <w:bottom w:w="0" w:type="dxa"/>
                    <w:right w:w="0" w:type="dxa"/>
                  </w:tcMar>
                  <w:vAlign w:val="center"/>
                </w:tcPr>
                <w:p w14:paraId="54E11D7C">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7</w:t>
                  </w:r>
                  <w:r>
                    <w:rPr>
                      <w:rFonts w:hint="default" w:ascii="Times New Roman" w:hAnsi="Times New Roman" w:cs="Times New Roman"/>
                      <w:color w:val="auto"/>
                      <w:szCs w:val="21"/>
                      <w:highlight w:val="none"/>
                      <w:lang w:val="en-US" w:eastAsia="zh-CN"/>
                    </w:rPr>
                    <w:t>4.1</w:t>
                  </w:r>
                </w:p>
              </w:tc>
              <w:tc>
                <w:tcPr>
                  <w:tcW w:w="1253" w:type="dxa"/>
                  <w:vMerge w:val="restart"/>
                  <w:tcMar>
                    <w:top w:w="0" w:type="dxa"/>
                    <w:left w:w="0" w:type="dxa"/>
                    <w:bottom w:w="0" w:type="dxa"/>
                    <w:right w:w="0" w:type="dxa"/>
                  </w:tcMar>
                  <w:vAlign w:val="center"/>
                </w:tcPr>
                <w:p w14:paraId="5B35033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24h</w:t>
                  </w:r>
                </w:p>
              </w:tc>
            </w:tr>
            <w:tr w14:paraId="4341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4" w:type="dxa"/>
                  <w:shd w:val="clear" w:color="auto" w:fill="auto"/>
                  <w:noWrap/>
                  <w:tcMar>
                    <w:top w:w="0" w:type="dxa"/>
                    <w:left w:w="0" w:type="dxa"/>
                    <w:bottom w:w="0" w:type="dxa"/>
                    <w:right w:w="0" w:type="dxa"/>
                  </w:tcMar>
                  <w:vAlign w:val="center"/>
                </w:tcPr>
                <w:p w14:paraId="7A533A9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烤箱</w:t>
                  </w:r>
                </w:p>
              </w:tc>
              <w:tc>
                <w:tcPr>
                  <w:tcW w:w="1272" w:type="dxa"/>
                  <w:shd w:val="clear" w:color="auto" w:fill="auto"/>
                  <w:noWrap/>
                  <w:tcMar>
                    <w:top w:w="0" w:type="dxa"/>
                    <w:left w:w="0" w:type="dxa"/>
                    <w:bottom w:w="0" w:type="dxa"/>
                    <w:right w:w="0" w:type="dxa"/>
                  </w:tcMar>
                  <w:vAlign w:val="center"/>
                </w:tcPr>
                <w:p w14:paraId="65FBB9A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80</w:t>
                  </w:r>
                </w:p>
              </w:tc>
              <w:tc>
                <w:tcPr>
                  <w:tcW w:w="452" w:type="dxa"/>
                  <w:shd w:val="clear" w:color="auto" w:fill="auto"/>
                  <w:tcMar>
                    <w:top w:w="0" w:type="dxa"/>
                    <w:left w:w="0" w:type="dxa"/>
                    <w:bottom w:w="0" w:type="dxa"/>
                    <w:right w:w="0" w:type="dxa"/>
                  </w:tcMar>
                  <w:vAlign w:val="center"/>
                </w:tcPr>
                <w:p w14:paraId="050E0CD2">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66.2</w:t>
                  </w:r>
                </w:p>
              </w:tc>
              <w:tc>
                <w:tcPr>
                  <w:tcW w:w="491" w:type="dxa"/>
                  <w:vMerge w:val="continue"/>
                  <w:shd w:val="clear" w:color="auto" w:fill="auto"/>
                  <w:tcMar>
                    <w:top w:w="0" w:type="dxa"/>
                    <w:left w:w="0" w:type="dxa"/>
                    <w:bottom w:w="0" w:type="dxa"/>
                    <w:right w:w="0" w:type="dxa"/>
                  </w:tcMar>
                  <w:vAlign w:val="center"/>
                </w:tcPr>
                <w:p w14:paraId="070E7CE7">
                  <w:pPr>
                    <w:jc w:val="center"/>
                    <w:rPr>
                      <w:rFonts w:hint="default" w:ascii="Times New Roman" w:hAnsi="Times New Roman" w:cs="Times New Roman"/>
                      <w:color w:val="auto"/>
                      <w:szCs w:val="21"/>
                      <w:highlight w:val="none"/>
                    </w:rPr>
                  </w:pPr>
                </w:p>
              </w:tc>
              <w:tc>
                <w:tcPr>
                  <w:tcW w:w="717" w:type="dxa"/>
                  <w:shd w:val="clear" w:color="auto" w:fill="auto"/>
                  <w:tcMar>
                    <w:top w:w="0" w:type="dxa"/>
                    <w:left w:w="0" w:type="dxa"/>
                    <w:bottom w:w="0" w:type="dxa"/>
                    <w:right w:w="0" w:type="dxa"/>
                  </w:tcMar>
                  <w:vAlign w:val="center"/>
                </w:tcPr>
                <w:p w14:paraId="51DA6EA0">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66.2</w:t>
                  </w:r>
                </w:p>
              </w:tc>
              <w:tc>
                <w:tcPr>
                  <w:tcW w:w="480" w:type="dxa"/>
                  <w:vMerge w:val="continue"/>
                  <w:shd w:val="clear" w:color="auto" w:fill="auto"/>
                  <w:tcMar>
                    <w:top w:w="0" w:type="dxa"/>
                    <w:left w:w="0" w:type="dxa"/>
                    <w:bottom w:w="0" w:type="dxa"/>
                    <w:right w:w="0" w:type="dxa"/>
                  </w:tcMar>
                  <w:vAlign w:val="center"/>
                </w:tcPr>
                <w:p w14:paraId="43D2DF9E">
                  <w:pPr>
                    <w:jc w:val="center"/>
                    <w:rPr>
                      <w:rFonts w:hint="default" w:ascii="Times New Roman" w:hAnsi="Times New Roman" w:cs="Times New Roman"/>
                      <w:color w:val="auto"/>
                      <w:szCs w:val="21"/>
                      <w:highlight w:val="none"/>
                    </w:rPr>
                  </w:pPr>
                </w:p>
              </w:tc>
              <w:tc>
                <w:tcPr>
                  <w:tcW w:w="690" w:type="dxa"/>
                  <w:shd w:val="clear" w:color="auto" w:fill="auto"/>
                  <w:tcMar>
                    <w:top w:w="0" w:type="dxa"/>
                    <w:left w:w="0" w:type="dxa"/>
                    <w:bottom w:w="0" w:type="dxa"/>
                    <w:right w:w="0" w:type="dxa"/>
                  </w:tcMar>
                  <w:vAlign w:val="center"/>
                </w:tcPr>
                <w:p w14:paraId="0BD99508">
                  <w:pPr>
                    <w:keepNext w:val="0"/>
                    <w:keepLines w:val="0"/>
                    <w:widowControl/>
                    <w:suppressLineNumbers w:val="0"/>
                    <w:jc w:val="center"/>
                    <w:textAlignment w:val="center"/>
                    <w:rPr>
                      <w:rFonts w:hint="default" w:ascii="Times New Roman" w:hAnsi="Times New Roman" w:cs="Times New Roman"/>
                      <w:color w:val="auto"/>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66.4</w:t>
                  </w:r>
                </w:p>
              </w:tc>
              <w:tc>
                <w:tcPr>
                  <w:tcW w:w="630" w:type="dxa"/>
                  <w:vMerge w:val="continue"/>
                  <w:shd w:val="clear" w:color="auto" w:fill="auto"/>
                  <w:tcMar>
                    <w:top w:w="0" w:type="dxa"/>
                    <w:left w:w="0" w:type="dxa"/>
                    <w:bottom w:w="0" w:type="dxa"/>
                    <w:right w:w="0" w:type="dxa"/>
                  </w:tcMar>
                  <w:vAlign w:val="center"/>
                </w:tcPr>
                <w:p w14:paraId="35370536">
                  <w:pPr>
                    <w:jc w:val="center"/>
                    <w:rPr>
                      <w:rFonts w:hint="default" w:ascii="Times New Roman" w:hAnsi="Times New Roman" w:cs="Times New Roman"/>
                      <w:color w:val="auto"/>
                      <w:szCs w:val="21"/>
                      <w:highlight w:val="none"/>
                    </w:rPr>
                  </w:pPr>
                </w:p>
              </w:tc>
              <w:tc>
                <w:tcPr>
                  <w:tcW w:w="900" w:type="dxa"/>
                  <w:shd w:val="clear" w:color="auto" w:fill="auto"/>
                  <w:tcMar>
                    <w:top w:w="0" w:type="dxa"/>
                    <w:left w:w="0" w:type="dxa"/>
                    <w:bottom w:w="0" w:type="dxa"/>
                    <w:right w:w="0" w:type="dxa"/>
                  </w:tcMar>
                  <w:vAlign w:val="center"/>
                </w:tcPr>
                <w:p w14:paraId="1ACFB00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70.8</w:t>
                  </w:r>
                </w:p>
              </w:tc>
              <w:tc>
                <w:tcPr>
                  <w:tcW w:w="600" w:type="dxa"/>
                  <w:vMerge w:val="continue"/>
                  <w:shd w:val="clear" w:color="auto" w:fill="auto"/>
                  <w:tcMar>
                    <w:top w:w="0" w:type="dxa"/>
                    <w:left w:w="0" w:type="dxa"/>
                    <w:bottom w:w="0" w:type="dxa"/>
                    <w:right w:w="0" w:type="dxa"/>
                  </w:tcMar>
                  <w:vAlign w:val="center"/>
                </w:tcPr>
                <w:p w14:paraId="2CA0B3FE">
                  <w:pPr>
                    <w:jc w:val="center"/>
                    <w:rPr>
                      <w:rFonts w:hint="default" w:ascii="Times New Roman" w:hAnsi="Times New Roman" w:cs="Times New Roman"/>
                      <w:color w:val="auto"/>
                      <w:szCs w:val="21"/>
                      <w:highlight w:val="none"/>
                    </w:rPr>
                  </w:pPr>
                </w:p>
              </w:tc>
              <w:tc>
                <w:tcPr>
                  <w:tcW w:w="1253" w:type="dxa"/>
                  <w:vMerge w:val="continue"/>
                  <w:tcMar>
                    <w:top w:w="0" w:type="dxa"/>
                    <w:left w:w="0" w:type="dxa"/>
                    <w:bottom w:w="0" w:type="dxa"/>
                    <w:right w:w="0" w:type="dxa"/>
                  </w:tcMar>
                  <w:vAlign w:val="center"/>
                </w:tcPr>
                <w:p w14:paraId="2C25DAA3">
                  <w:pPr>
                    <w:jc w:val="center"/>
                    <w:rPr>
                      <w:rFonts w:hint="default" w:ascii="Times New Roman" w:hAnsi="Times New Roman" w:cs="Times New Roman"/>
                      <w:color w:val="auto"/>
                      <w:szCs w:val="21"/>
                      <w:highlight w:val="none"/>
                    </w:rPr>
                  </w:pPr>
                </w:p>
              </w:tc>
            </w:tr>
            <w:tr w14:paraId="7380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94" w:type="dxa"/>
                  <w:shd w:val="clear" w:color="auto" w:fill="auto"/>
                  <w:tcMar>
                    <w:top w:w="0" w:type="dxa"/>
                    <w:left w:w="0" w:type="dxa"/>
                    <w:bottom w:w="0" w:type="dxa"/>
                    <w:right w:w="0" w:type="dxa"/>
                  </w:tcMar>
                  <w:vAlign w:val="center"/>
                </w:tcPr>
                <w:p w14:paraId="3DC02E72">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烤箱</w:t>
                  </w:r>
                </w:p>
              </w:tc>
              <w:tc>
                <w:tcPr>
                  <w:tcW w:w="1272" w:type="dxa"/>
                  <w:shd w:val="clear" w:color="auto" w:fill="auto"/>
                  <w:tcMar>
                    <w:top w:w="0" w:type="dxa"/>
                    <w:left w:w="0" w:type="dxa"/>
                    <w:bottom w:w="0" w:type="dxa"/>
                    <w:right w:w="0" w:type="dxa"/>
                  </w:tcMar>
                  <w:vAlign w:val="center"/>
                </w:tcPr>
                <w:p w14:paraId="10C29C5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80</w:t>
                  </w:r>
                </w:p>
              </w:tc>
              <w:tc>
                <w:tcPr>
                  <w:tcW w:w="452" w:type="dxa"/>
                  <w:shd w:val="clear" w:color="auto" w:fill="auto"/>
                  <w:tcMar>
                    <w:top w:w="0" w:type="dxa"/>
                    <w:left w:w="0" w:type="dxa"/>
                    <w:bottom w:w="0" w:type="dxa"/>
                    <w:right w:w="0" w:type="dxa"/>
                  </w:tcMar>
                  <w:vAlign w:val="center"/>
                </w:tcPr>
                <w:p w14:paraId="14F46FA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66.2</w:t>
                  </w:r>
                </w:p>
              </w:tc>
              <w:tc>
                <w:tcPr>
                  <w:tcW w:w="491" w:type="dxa"/>
                  <w:vMerge w:val="continue"/>
                  <w:shd w:val="clear" w:color="auto" w:fill="auto"/>
                  <w:tcMar>
                    <w:top w:w="0" w:type="dxa"/>
                    <w:left w:w="0" w:type="dxa"/>
                    <w:bottom w:w="0" w:type="dxa"/>
                    <w:right w:w="0" w:type="dxa"/>
                  </w:tcMar>
                  <w:vAlign w:val="center"/>
                </w:tcPr>
                <w:p w14:paraId="006D10ED">
                  <w:pPr>
                    <w:jc w:val="center"/>
                    <w:rPr>
                      <w:rFonts w:hint="default" w:ascii="Times New Roman" w:hAnsi="Times New Roman" w:cs="Times New Roman"/>
                      <w:color w:val="auto"/>
                      <w:szCs w:val="21"/>
                      <w:highlight w:val="none"/>
                    </w:rPr>
                  </w:pPr>
                </w:p>
              </w:tc>
              <w:tc>
                <w:tcPr>
                  <w:tcW w:w="717" w:type="dxa"/>
                  <w:shd w:val="clear" w:color="auto" w:fill="auto"/>
                  <w:tcMar>
                    <w:top w:w="0" w:type="dxa"/>
                    <w:left w:w="0" w:type="dxa"/>
                    <w:bottom w:w="0" w:type="dxa"/>
                    <w:right w:w="0" w:type="dxa"/>
                  </w:tcMar>
                  <w:vAlign w:val="center"/>
                </w:tcPr>
                <w:p w14:paraId="732EF5B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66.2</w:t>
                  </w:r>
                </w:p>
              </w:tc>
              <w:tc>
                <w:tcPr>
                  <w:tcW w:w="480" w:type="dxa"/>
                  <w:vMerge w:val="continue"/>
                  <w:shd w:val="clear" w:color="auto" w:fill="auto"/>
                  <w:tcMar>
                    <w:top w:w="0" w:type="dxa"/>
                    <w:left w:w="0" w:type="dxa"/>
                    <w:bottom w:w="0" w:type="dxa"/>
                    <w:right w:w="0" w:type="dxa"/>
                  </w:tcMar>
                  <w:vAlign w:val="center"/>
                </w:tcPr>
                <w:p w14:paraId="6B9642DA">
                  <w:pPr>
                    <w:jc w:val="center"/>
                    <w:rPr>
                      <w:rFonts w:hint="default" w:ascii="Times New Roman" w:hAnsi="Times New Roman" w:cs="Times New Roman"/>
                      <w:color w:val="auto"/>
                      <w:szCs w:val="21"/>
                      <w:highlight w:val="none"/>
                    </w:rPr>
                  </w:pPr>
                </w:p>
              </w:tc>
              <w:tc>
                <w:tcPr>
                  <w:tcW w:w="690" w:type="dxa"/>
                  <w:shd w:val="clear" w:color="auto" w:fill="auto"/>
                  <w:tcMar>
                    <w:top w:w="0" w:type="dxa"/>
                    <w:left w:w="0" w:type="dxa"/>
                    <w:bottom w:w="0" w:type="dxa"/>
                    <w:right w:w="0" w:type="dxa"/>
                  </w:tcMar>
                  <w:vAlign w:val="center"/>
                </w:tcPr>
                <w:p w14:paraId="7E8F9FD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66.3</w:t>
                  </w:r>
                </w:p>
              </w:tc>
              <w:tc>
                <w:tcPr>
                  <w:tcW w:w="630" w:type="dxa"/>
                  <w:vMerge w:val="continue"/>
                  <w:shd w:val="clear" w:color="auto" w:fill="auto"/>
                  <w:tcMar>
                    <w:top w:w="0" w:type="dxa"/>
                    <w:left w:w="0" w:type="dxa"/>
                    <w:bottom w:w="0" w:type="dxa"/>
                    <w:right w:w="0" w:type="dxa"/>
                  </w:tcMar>
                  <w:vAlign w:val="center"/>
                </w:tcPr>
                <w:p w14:paraId="66F4555F">
                  <w:pPr>
                    <w:jc w:val="center"/>
                    <w:rPr>
                      <w:rFonts w:hint="default" w:ascii="Times New Roman" w:hAnsi="Times New Roman" w:cs="Times New Roman"/>
                      <w:color w:val="auto"/>
                      <w:szCs w:val="21"/>
                      <w:highlight w:val="none"/>
                    </w:rPr>
                  </w:pPr>
                </w:p>
              </w:tc>
              <w:tc>
                <w:tcPr>
                  <w:tcW w:w="900" w:type="dxa"/>
                  <w:shd w:val="clear" w:color="auto" w:fill="auto"/>
                  <w:tcMar>
                    <w:top w:w="0" w:type="dxa"/>
                    <w:left w:w="0" w:type="dxa"/>
                    <w:bottom w:w="0" w:type="dxa"/>
                    <w:right w:w="0" w:type="dxa"/>
                  </w:tcMar>
                  <w:vAlign w:val="center"/>
                </w:tcPr>
                <w:p w14:paraId="467BFBF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70.8</w:t>
                  </w:r>
                </w:p>
              </w:tc>
              <w:tc>
                <w:tcPr>
                  <w:tcW w:w="600" w:type="dxa"/>
                  <w:vMerge w:val="continue"/>
                  <w:shd w:val="clear" w:color="auto" w:fill="auto"/>
                  <w:tcMar>
                    <w:top w:w="0" w:type="dxa"/>
                    <w:left w:w="0" w:type="dxa"/>
                    <w:bottom w:w="0" w:type="dxa"/>
                    <w:right w:w="0" w:type="dxa"/>
                  </w:tcMar>
                  <w:vAlign w:val="center"/>
                </w:tcPr>
                <w:p w14:paraId="1D7F415A">
                  <w:pPr>
                    <w:jc w:val="center"/>
                    <w:rPr>
                      <w:rFonts w:hint="default" w:ascii="Times New Roman" w:hAnsi="Times New Roman" w:cs="Times New Roman"/>
                      <w:color w:val="auto"/>
                      <w:szCs w:val="21"/>
                      <w:highlight w:val="none"/>
                    </w:rPr>
                  </w:pPr>
                </w:p>
              </w:tc>
              <w:tc>
                <w:tcPr>
                  <w:tcW w:w="1253" w:type="dxa"/>
                  <w:vMerge w:val="continue"/>
                  <w:tcMar>
                    <w:top w:w="0" w:type="dxa"/>
                    <w:left w:w="0" w:type="dxa"/>
                    <w:bottom w:w="0" w:type="dxa"/>
                    <w:right w:w="0" w:type="dxa"/>
                  </w:tcMar>
                  <w:vAlign w:val="center"/>
                </w:tcPr>
                <w:p w14:paraId="35FAD9C3">
                  <w:pPr>
                    <w:jc w:val="center"/>
                    <w:rPr>
                      <w:rFonts w:hint="default" w:ascii="Times New Roman" w:hAnsi="Times New Roman" w:cs="Times New Roman"/>
                      <w:color w:val="auto"/>
                      <w:szCs w:val="21"/>
                      <w:highlight w:val="none"/>
                    </w:rPr>
                  </w:pPr>
                </w:p>
              </w:tc>
            </w:tr>
            <w:tr w14:paraId="7655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4" w:type="dxa"/>
                  <w:shd w:val="clear" w:color="auto" w:fill="auto"/>
                  <w:noWrap/>
                  <w:tcMar>
                    <w:top w:w="0" w:type="dxa"/>
                    <w:left w:w="0" w:type="dxa"/>
                    <w:bottom w:w="0" w:type="dxa"/>
                    <w:right w:w="0" w:type="dxa"/>
                  </w:tcMar>
                  <w:vAlign w:val="center"/>
                </w:tcPr>
                <w:p w14:paraId="2F429E0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喷粉柜</w:t>
                  </w:r>
                </w:p>
              </w:tc>
              <w:tc>
                <w:tcPr>
                  <w:tcW w:w="1272" w:type="dxa"/>
                  <w:shd w:val="clear" w:color="auto" w:fill="auto"/>
                  <w:tcMar>
                    <w:top w:w="0" w:type="dxa"/>
                    <w:left w:w="0" w:type="dxa"/>
                    <w:bottom w:w="0" w:type="dxa"/>
                    <w:right w:w="0" w:type="dxa"/>
                  </w:tcMar>
                  <w:vAlign w:val="center"/>
                </w:tcPr>
                <w:p w14:paraId="29B63F9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65</w:t>
                  </w:r>
                </w:p>
              </w:tc>
              <w:tc>
                <w:tcPr>
                  <w:tcW w:w="452" w:type="dxa"/>
                  <w:shd w:val="clear" w:color="auto" w:fill="auto"/>
                  <w:tcMar>
                    <w:top w:w="0" w:type="dxa"/>
                    <w:left w:w="0" w:type="dxa"/>
                    <w:bottom w:w="0" w:type="dxa"/>
                    <w:right w:w="0" w:type="dxa"/>
                  </w:tcMar>
                  <w:vAlign w:val="center"/>
                </w:tcPr>
                <w:p w14:paraId="4FB2B97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51.3</w:t>
                  </w:r>
                </w:p>
              </w:tc>
              <w:tc>
                <w:tcPr>
                  <w:tcW w:w="491" w:type="dxa"/>
                  <w:vMerge w:val="continue"/>
                  <w:shd w:val="clear" w:color="auto" w:fill="auto"/>
                  <w:tcMar>
                    <w:top w:w="0" w:type="dxa"/>
                    <w:left w:w="0" w:type="dxa"/>
                    <w:bottom w:w="0" w:type="dxa"/>
                    <w:right w:w="0" w:type="dxa"/>
                  </w:tcMar>
                  <w:vAlign w:val="center"/>
                </w:tcPr>
                <w:p w14:paraId="168288EA">
                  <w:pPr>
                    <w:jc w:val="center"/>
                    <w:rPr>
                      <w:rFonts w:hint="default" w:ascii="Times New Roman" w:hAnsi="Times New Roman" w:cs="Times New Roman"/>
                      <w:color w:val="auto"/>
                      <w:szCs w:val="21"/>
                      <w:highlight w:val="none"/>
                    </w:rPr>
                  </w:pPr>
                </w:p>
              </w:tc>
              <w:tc>
                <w:tcPr>
                  <w:tcW w:w="717" w:type="dxa"/>
                  <w:shd w:val="clear" w:color="auto" w:fill="auto"/>
                  <w:tcMar>
                    <w:top w:w="0" w:type="dxa"/>
                    <w:left w:w="0" w:type="dxa"/>
                    <w:bottom w:w="0" w:type="dxa"/>
                    <w:right w:w="0" w:type="dxa"/>
                  </w:tcMar>
                  <w:vAlign w:val="center"/>
                </w:tcPr>
                <w:p w14:paraId="28CB3BB2">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51.2</w:t>
                  </w:r>
                </w:p>
              </w:tc>
              <w:tc>
                <w:tcPr>
                  <w:tcW w:w="480" w:type="dxa"/>
                  <w:vMerge w:val="continue"/>
                  <w:shd w:val="clear" w:color="auto" w:fill="auto"/>
                  <w:tcMar>
                    <w:top w:w="0" w:type="dxa"/>
                    <w:left w:w="0" w:type="dxa"/>
                    <w:bottom w:w="0" w:type="dxa"/>
                    <w:right w:w="0" w:type="dxa"/>
                  </w:tcMar>
                  <w:vAlign w:val="center"/>
                </w:tcPr>
                <w:p w14:paraId="17BDE878">
                  <w:pPr>
                    <w:jc w:val="center"/>
                    <w:rPr>
                      <w:rFonts w:hint="default" w:ascii="Times New Roman" w:hAnsi="Times New Roman" w:cs="Times New Roman"/>
                      <w:color w:val="auto"/>
                      <w:szCs w:val="21"/>
                      <w:highlight w:val="none"/>
                    </w:rPr>
                  </w:pPr>
                </w:p>
              </w:tc>
              <w:tc>
                <w:tcPr>
                  <w:tcW w:w="690" w:type="dxa"/>
                  <w:shd w:val="clear" w:color="auto" w:fill="auto"/>
                  <w:tcMar>
                    <w:top w:w="0" w:type="dxa"/>
                    <w:left w:w="0" w:type="dxa"/>
                    <w:bottom w:w="0" w:type="dxa"/>
                    <w:right w:w="0" w:type="dxa"/>
                  </w:tcMar>
                  <w:vAlign w:val="center"/>
                </w:tcPr>
                <w:p w14:paraId="6B8BFE0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51.2</w:t>
                  </w:r>
                </w:p>
              </w:tc>
              <w:tc>
                <w:tcPr>
                  <w:tcW w:w="630" w:type="dxa"/>
                  <w:vMerge w:val="continue"/>
                  <w:shd w:val="clear" w:color="auto" w:fill="auto"/>
                  <w:tcMar>
                    <w:top w:w="0" w:type="dxa"/>
                    <w:left w:w="0" w:type="dxa"/>
                    <w:bottom w:w="0" w:type="dxa"/>
                    <w:right w:w="0" w:type="dxa"/>
                  </w:tcMar>
                  <w:vAlign w:val="center"/>
                </w:tcPr>
                <w:p w14:paraId="749D932E">
                  <w:pPr>
                    <w:jc w:val="center"/>
                    <w:rPr>
                      <w:rFonts w:hint="default" w:ascii="Times New Roman" w:hAnsi="Times New Roman" w:cs="Times New Roman"/>
                      <w:color w:val="auto"/>
                      <w:szCs w:val="21"/>
                      <w:highlight w:val="none"/>
                    </w:rPr>
                  </w:pPr>
                </w:p>
              </w:tc>
              <w:tc>
                <w:tcPr>
                  <w:tcW w:w="900" w:type="dxa"/>
                  <w:shd w:val="clear" w:color="auto" w:fill="auto"/>
                  <w:tcMar>
                    <w:top w:w="0" w:type="dxa"/>
                    <w:left w:w="0" w:type="dxa"/>
                    <w:bottom w:w="0" w:type="dxa"/>
                    <w:right w:w="0" w:type="dxa"/>
                  </w:tcMar>
                  <w:vAlign w:val="center"/>
                </w:tcPr>
                <w:p w14:paraId="5C244BE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57.2</w:t>
                  </w:r>
                </w:p>
              </w:tc>
              <w:tc>
                <w:tcPr>
                  <w:tcW w:w="600" w:type="dxa"/>
                  <w:vMerge w:val="continue"/>
                  <w:shd w:val="clear" w:color="auto" w:fill="auto"/>
                  <w:tcMar>
                    <w:top w:w="0" w:type="dxa"/>
                    <w:left w:w="0" w:type="dxa"/>
                    <w:bottom w:w="0" w:type="dxa"/>
                    <w:right w:w="0" w:type="dxa"/>
                  </w:tcMar>
                  <w:vAlign w:val="center"/>
                </w:tcPr>
                <w:p w14:paraId="778121C0">
                  <w:pPr>
                    <w:jc w:val="center"/>
                    <w:rPr>
                      <w:rFonts w:hint="default" w:ascii="Times New Roman" w:hAnsi="Times New Roman" w:cs="Times New Roman"/>
                      <w:color w:val="auto"/>
                      <w:szCs w:val="21"/>
                      <w:highlight w:val="none"/>
                    </w:rPr>
                  </w:pPr>
                </w:p>
              </w:tc>
              <w:tc>
                <w:tcPr>
                  <w:tcW w:w="1253" w:type="dxa"/>
                  <w:vMerge w:val="continue"/>
                  <w:tcMar>
                    <w:top w:w="0" w:type="dxa"/>
                    <w:left w:w="0" w:type="dxa"/>
                    <w:bottom w:w="0" w:type="dxa"/>
                    <w:right w:w="0" w:type="dxa"/>
                  </w:tcMar>
                  <w:vAlign w:val="center"/>
                </w:tcPr>
                <w:p w14:paraId="2FF8C979">
                  <w:pPr>
                    <w:jc w:val="center"/>
                    <w:rPr>
                      <w:rFonts w:hint="default" w:ascii="Times New Roman" w:hAnsi="Times New Roman" w:cs="Times New Roman"/>
                      <w:color w:val="auto"/>
                      <w:szCs w:val="21"/>
                      <w:highlight w:val="none"/>
                    </w:rPr>
                  </w:pPr>
                </w:p>
              </w:tc>
            </w:tr>
            <w:tr w14:paraId="2F20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94" w:type="dxa"/>
                  <w:shd w:val="clear" w:color="auto" w:fill="auto"/>
                  <w:noWrap/>
                  <w:tcMar>
                    <w:top w:w="0" w:type="dxa"/>
                    <w:left w:w="0" w:type="dxa"/>
                    <w:bottom w:w="0" w:type="dxa"/>
                    <w:right w:w="0" w:type="dxa"/>
                  </w:tcMar>
                  <w:vAlign w:val="center"/>
                </w:tcPr>
                <w:p w14:paraId="5A137EA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喷粉柜</w:t>
                  </w:r>
                </w:p>
              </w:tc>
              <w:tc>
                <w:tcPr>
                  <w:tcW w:w="1272" w:type="dxa"/>
                  <w:shd w:val="clear" w:color="auto" w:fill="auto"/>
                  <w:tcMar>
                    <w:top w:w="0" w:type="dxa"/>
                    <w:left w:w="0" w:type="dxa"/>
                    <w:bottom w:w="0" w:type="dxa"/>
                    <w:right w:w="0" w:type="dxa"/>
                  </w:tcMar>
                  <w:vAlign w:val="center"/>
                </w:tcPr>
                <w:p w14:paraId="38EFBFF0">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65</w:t>
                  </w:r>
                </w:p>
              </w:tc>
              <w:tc>
                <w:tcPr>
                  <w:tcW w:w="452" w:type="dxa"/>
                  <w:shd w:val="clear" w:color="auto" w:fill="auto"/>
                  <w:tcMar>
                    <w:top w:w="0" w:type="dxa"/>
                    <w:left w:w="0" w:type="dxa"/>
                    <w:bottom w:w="0" w:type="dxa"/>
                    <w:right w:w="0" w:type="dxa"/>
                  </w:tcMar>
                  <w:vAlign w:val="center"/>
                </w:tcPr>
                <w:p w14:paraId="60A3352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51.3</w:t>
                  </w:r>
                </w:p>
              </w:tc>
              <w:tc>
                <w:tcPr>
                  <w:tcW w:w="491" w:type="dxa"/>
                  <w:vMerge w:val="continue"/>
                  <w:shd w:val="clear" w:color="auto" w:fill="auto"/>
                  <w:tcMar>
                    <w:top w:w="0" w:type="dxa"/>
                    <w:left w:w="0" w:type="dxa"/>
                    <w:bottom w:w="0" w:type="dxa"/>
                    <w:right w:w="0" w:type="dxa"/>
                  </w:tcMar>
                  <w:vAlign w:val="center"/>
                </w:tcPr>
                <w:p w14:paraId="703AE046">
                  <w:pPr>
                    <w:jc w:val="center"/>
                    <w:rPr>
                      <w:rFonts w:hint="default" w:ascii="Times New Roman" w:hAnsi="Times New Roman" w:cs="Times New Roman"/>
                      <w:color w:val="auto"/>
                      <w:szCs w:val="21"/>
                      <w:highlight w:val="none"/>
                    </w:rPr>
                  </w:pPr>
                </w:p>
              </w:tc>
              <w:tc>
                <w:tcPr>
                  <w:tcW w:w="717" w:type="dxa"/>
                  <w:shd w:val="clear" w:color="auto" w:fill="auto"/>
                  <w:tcMar>
                    <w:top w:w="0" w:type="dxa"/>
                    <w:left w:w="0" w:type="dxa"/>
                    <w:bottom w:w="0" w:type="dxa"/>
                    <w:right w:w="0" w:type="dxa"/>
                  </w:tcMar>
                  <w:vAlign w:val="center"/>
                </w:tcPr>
                <w:p w14:paraId="1DBAC5B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51.2</w:t>
                  </w:r>
                </w:p>
              </w:tc>
              <w:tc>
                <w:tcPr>
                  <w:tcW w:w="480" w:type="dxa"/>
                  <w:vMerge w:val="continue"/>
                  <w:shd w:val="clear" w:color="auto" w:fill="auto"/>
                  <w:tcMar>
                    <w:top w:w="0" w:type="dxa"/>
                    <w:left w:w="0" w:type="dxa"/>
                    <w:bottom w:w="0" w:type="dxa"/>
                    <w:right w:w="0" w:type="dxa"/>
                  </w:tcMar>
                  <w:vAlign w:val="center"/>
                </w:tcPr>
                <w:p w14:paraId="21406AC8">
                  <w:pPr>
                    <w:jc w:val="center"/>
                    <w:rPr>
                      <w:rFonts w:hint="default" w:ascii="Times New Roman" w:hAnsi="Times New Roman" w:cs="Times New Roman"/>
                      <w:color w:val="auto"/>
                      <w:szCs w:val="21"/>
                      <w:highlight w:val="none"/>
                    </w:rPr>
                  </w:pPr>
                </w:p>
              </w:tc>
              <w:tc>
                <w:tcPr>
                  <w:tcW w:w="690" w:type="dxa"/>
                  <w:shd w:val="clear" w:color="auto" w:fill="auto"/>
                  <w:tcMar>
                    <w:top w:w="0" w:type="dxa"/>
                    <w:left w:w="0" w:type="dxa"/>
                    <w:bottom w:w="0" w:type="dxa"/>
                    <w:right w:w="0" w:type="dxa"/>
                  </w:tcMar>
                  <w:vAlign w:val="center"/>
                </w:tcPr>
                <w:p w14:paraId="3F4D37F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51.2</w:t>
                  </w:r>
                </w:p>
              </w:tc>
              <w:tc>
                <w:tcPr>
                  <w:tcW w:w="630" w:type="dxa"/>
                  <w:vMerge w:val="continue"/>
                  <w:shd w:val="clear" w:color="auto" w:fill="auto"/>
                  <w:tcMar>
                    <w:top w:w="0" w:type="dxa"/>
                    <w:left w:w="0" w:type="dxa"/>
                    <w:bottom w:w="0" w:type="dxa"/>
                    <w:right w:w="0" w:type="dxa"/>
                  </w:tcMar>
                  <w:vAlign w:val="center"/>
                </w:tcPr>
                <w:p w14:paraId="10682F16">
                  <w:pPr>
                    <w:jc w:val="center"/>
                    <w:rPr>
                      <w:rFonts w:hint="default" w:ascii="Times New Roman" w:hAnsi="Times New Roman" w:cs="Times New Roman"/>
                      <w:color w:val="auto"/>
                      <w:szCs w:val="21"/>
                      <w:highlight w:val="none"/>
                    </w:rPr>
                  </w:pPr>
                </w:p>
              </w:tc>
              <w:tc>
                <w:tcPr>
                  <w:tcW w:w="900" w:type="dxa"/>
                  <w:shd w:val="clear" w:color="auto" w:fill="auto"/>
                  <w:tcMar>
                    <w:top w:w="0" w:type="dxa"/>
                    <w:left w:w="0" w:type="dxa"/>
                    <w:bottom w:w="0" w:type="dxa"/>
                    <w:right w:w="0" w:type="dxa"/>
                  </w:tcMar>
                  <w:vAlign w:val="center"/>
                </w:tcPr>
                <w:p w14:paraId="07E30F40">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57.2</w:t>
                  </w:r>
                </w:p>
              </w:tc>
              <w:tc>
                <w:tcPr>
                  <w:tcW w:w="600" w:type="dxa"/>
                  <w:vMerge w:val="continue"/>
                  <w:shd w:val="clear" w:color="auto" w:fill="auto"/>
                  <w:tcMar>
                    <w:top w:w="0" w:type="dxa"/>
                    <w:left w:w="0" w:type="dxa"/>
                    <w:bottom w:w="0" w:type="dxa"/>
                    <w:right w:w="0" w:type="dxa"/>
                  </w:tcMar>
                  <w:vAlign w:val="center"/>
                </w:tcPr>
                <w:p w14:paraId="2CCCBCD4">
                  <w:pPr>
                    <w:jc w:val="center"/>
                    <w:rPr>
                      <w:rFonts w:hint="default" w:ascii="Times New Roman" w:hAnsi="Times New Roman" w:cs="Times New Roman"/>
                      <w:color w:val="auto"/>
                      <w:szCs w:val="21"/>
                      <w:highlight w:val="none"/>
                    </w:rPr>
                  </w:pPr>
                </w:p>
              </w:tc>
              <w:tc>
                <w:tcPr>
                  <w:tcW w:w="1253" w:type="dxa"/>
                  <w:vMerge w:val="continue"/>
                  <w:tcMar>
                    <w:top w:w="0" w:type="dxa"/>
                    <w:left w:w="0" w:type="dxa"/>
                    <w:bottom w:w="0" w:type="dxa"/>
                    <w:right w:w="0" w:type="dxa"/>
                  </w:tcMar>
                  <w:vAlign w:val="center"/>
                </w:tcPr>
                <w:p w14:paraId="4574DBCB">
                  <w:pPr>
                    <w:jc w:val="center"/>
                    <w:rPr>
                      <w:rFonts w:hint="default" w:ascii="Times New Roman" w:hAnsi="Times New Roman" w:cs="Times New Roman"/>
                      <w:color w:val="auto"/>
                      <w:szCs w:val="21"/>
                      <w:highlight w:val="none"/>
                    </w:rPr>
                  </w:pPr>
                </w:p>
              </w:tc>
            </w:tr>
            <w:tr w14:paraId="1BD5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594" w:type="dxa"/>
                  <w:shd w:val="clear" w:color="auto" w:fill="auto"/>
                  <w:noWrap/>
                  <w:tcMar>
                    <w:top w:w="0" w:type="dxa"/>
                    <w:left w:w="0" w:type="dxa"/>
                    <w:bottom w:w="0" w:type="dxa"/>
                    <w:right w:w="0" w:type="dxa"/>
                  </w:tcMar>
                  <w:vAlign w:val="center"/>
                </w:tcPr>
                <w:p w14:paraId="1B207DC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喷粉柜</w:t>
                  </w:r>
                </w:p>
              </w:tc>
              <w:tc>
                <w:tcPr>
                  <w:tcW w:w="1272" w:type="dxa"/>
                  <w:shd w:val="clear" w:color="auto" w:fill="auto"/>
                  <w:tcMar>
                    <w:top w:w="0" w:type="dxa"/>
                    <w:left w:w="0" w:type="dxa"/>
                    <w:bottom w:w="0" w:type="dxa"/>
                    <w:right w:w="0" w:type="dxa"/>
                  </w:tcMar>
                  <w:vAlign w:val="center"/>
                </w:tcPr>
                <w:p w14:paraId="4886F11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65</w:t>
                  </w:r>
                </w:p>
              </w:tc>
              <w:tc>
                <w:tcPr>
                  <w:tcW w:w="452" w:type="dxa"/>
                  <w:shd w:val="clear" w:color="auto" w:fill="auto"/>
                  <w:tcMar>
                    <w:top w:w="0" w:type="dxa"/>
                    <w:left w:w="0" w:type="dxa"/>
                    <w:bottom w:w="0" w:type="dxa"/>
                    <w:right w:w="0" w:type="dxa"/>
                  </w:tcMar>
                  <w:vAlign w:val="center"/>
                </w:tcPr>
                <w:p w14:paraId="7BDD0F52">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51.9</w:t>
                  </w:r>
                </w:p>
              </w:tc>
              <w:tc>
                <w:tcPr>
                  <w:tcW w:w="491" w:type="dxa"/>
                  <w:vMerge w:val="continue"/>
                  <w:shd w:val="clear" w:color="auto" w:fill="auto"/>
                  <w:tcMar>
                    <w:top w:w="0" w:type="dxa"/>
                    <w:left w:w="0" w:type="dxa"/>
                    <w:bottom w:w="0" w:type="dxa"/>
                    <w:right w:w="0" w:type="dxa"/>
                  </w:tcMar>
                  <w:vAlign w:val="center"/>
                </w:tcPr>
                <w:p w14:paraId="6AA1AD8E">
                  <w:pPr>
                    <w:jc w:val="center"/>
                    <w:rPr>
                      <w:rFonts w:hint="default" w:ascii="Times New Roman" w:hAnsi="Times New Roman" w:cs="Times New Roman"/>
                      <w:color w:val="auto"/>
                      <w:szCs w:val="21"/>
                      <w:highlight w:val="none"/>
                    </w:rPr>
                  </w:pPr>
                </w:p>
              </w:tc>
              <w:tc>
                <w:tcPr>
                  <w:tcW w:w="717" w:type="dxa"/>
                  <w:shd w:val="clear" w:color="auto" w:fill="auto"/>
                  <w:tcMar>
                    <w:top w:w="0" w:type="dxa"/>
                    <w:left w:w="0" w:type="dxa"/>
                    <w:bottom w:w="0" w:type="dxa"/>
                    <w:right w:w="0" w:type="dxa"/>
                  </w:tcMar>
                  <w:vAlign w:val="center"/>
                </w:tcPr>
                <w:p w14:paraId="578C08A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51.2</w:t>
                  </w:r>
                </w:p>
              </w:tc>
              <w:tc>
                <w:tcPr>
                  <w:tcW w:w="480" w:type="dxa"/>
                  <w:vMerge w:val="continue"/>
                  <w:shd w:val="clear" w:color="auto" w:fill="auto"/>
                  <w:tcMar>
                    <w:top w:w="0" w:type="dxa"/>
                    <w:left w:w="0" w:type="dxa"/>
                    <w:bottom w:w="0" w:type="dxa"/>
                    <w:right w:w="0" w:type="dxa"/>
                  </w:tcMar>
                  <w:vAlign w:val="center"/>
                </w:tcPr>
                <w:p w14:paraId="323520B3">
                  <w:pPr>
                    <w:jc w:val="center"/>
                    <w:rPr>
                      <w:rFonts w:hint="default" w:ascii="Times New Roman" w:hAnsi="Times New Roman" w:cs="Times New Roman"/>
                      <w:color w:val="auto"/>
                      <w:szCs w:val="21"/>
                      <w:highlight w:val="none"/>
                    </w:rPr>
                  </w:pPr>
                </w:p>
              </w:tc>
              <w:tc>
                <w:tcPr>
                  <w:tcW w:w="690" w:type="dxa"/>
                  <w:shd w:val="clear" w:color="auto" w:fill="auto"/>
                  <w:tcMar>
                    <w:top w:w="0" w:type="dxa"/>
                    <w:left w:w="0" w:type="dxa"/>
                    <w:bottom w:w="0" w:type="dxa"/>
                    <w:right w:w="0" w:type="dxa"/>
                  </w:tcMar>
                  <w:vAlign w:val="center"/>
                </w:tcPr>
                <w:p w14:paraId="3B343CA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51.2</w:t>
                  </w:r>
                </w:p>
              </w:tc>
              <w:tc>
                <w:tcPr>
                  <w:tcW w:w="630" w:type="dxa"/>
                  <w:vMerge w:val="continue"/>
                  <w:shd w:val="clear" w:color="auto" w:fill="auto"/>
                  <w:tcMar>
                    <w:top w:w="0" w:type="dxa"/>
                    <w:left w:w="0" w:type="dxa"/>
                    <w:bottom w:w="0" w:type="dxa"/>
                    <w:right w:w="0" w:type="dxa"/>
                  </w:tcMar>
                  <w:vAlign w:val="center"/>
                </w:tcPr>
                <w:p w14:paraId="5E08CE41">
                  <w:pPr>
                    <w:jc w:val="center"/>
                    <w:rPr>
                      <w:rFonts w:hint="default" w:ascii="Times New Roman" w:hAnsi="Times New Roman" w:cs="Times New Roman"/>
                      <w:color w:val="auto"/>
                      <w:szCs w:val="21"/>
                      <w:highlight w:val="none"/>
                    </w:rPr>
                  </w:pPr>
                </w:p>
              </w:tc>
              <w:tc>
                <w:tcPr>
                  <w:tcW w:w="900" w:type="dxa"/>
                  <w:shd w:val="clear" w:color="auto" w:fill="auto"/>
                  <w:tcMar>
                    <w:top w:w="0" w:type="dxa"/>
                    <w:left w:w="0" w:type="dxa"/>
                    <w:bottom w:w="0" w:type="dxa"/>
                    <w:right w:w="0" w:type="dxa"/>
                  </w:tcMar>
                  <w:vAlign w:val="center"/>
                </w:tcPr>
                <w:p w14:paraId="12DD74CC">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53.2</w:t>
                  </w:r>
                </w:p>
              </w:tc>
              <w:tc>
                <w:tcPr>
                  <w:tcW w:w="600" w:type="dxa"/>
                  <w:vMerge w:val="continue"/>
                  <w:shd w:val="clear" w:color="auto" w:fill="auto"/>
                  <w:tcMar>
                    <w:top w:w="0" w:type="dxa"/>
                    <w:left w:w="0" w:type="dxa"/>
                    <w:bottom w:w="0" w:type="dxa"/>
                    <w:right w:w="0" w:type="dxa"/>
                  </w:tcMar>
                  <w:vAlign w:val="center"/>
                </w:tcPr>
                <w:p w14:paraId="54D68023">
                  <w:pPr>
                    <w:jc w:val="center"/>
                    <w:rPr>
                      <w:rFonts w:hint="default" w:ascii="Times New Roman" w:hAnsi="Times New Roman" w:cs="Times New Roman"/>
                      <w:color w:val="auto"/>
                      <w:szCs w:val="21"/>
                      <w:highlight w:val="none"/>
                    </w:rPr>
                  </w:pPr>
                </w:p>
              </w:tc>
              <w:tc>
                <w:tcPr>
                  <w:tcW w:w="1253" w:type="dxa"/>
                  <w:vMerge w:val="continue"/>
                  <w:tcMar>
                    <w:top w:w="0" w:type="dxa"/>
                    <w:left w:w="0" w:type="dxa"/>
                    <w:bottom w:w="0" w:type="dxa"/>
                    <w:right w:w="0" w:type="dxa"/>
                  </w:tcMar>
                  <w:vAlign w:val="center"/>
                </w:tcPr>
                <w:p w14:paraId="43FEAA3D">
                  <w:pPr>
                    <w:jc w:val="center"/>
                    <w:rPr>
                      <w:rFonts w:hint="default" w:ascii="Times New Roman" w:hAnsi="Times New Roman" w:cs="Times New Roman"/>
                      <w:color w:val="auto"/>
                      <w:szCs w:val="21"/>
                      <w:highlight w:val="none"/>
                    </w:rPr>
                  </w:pPr>
                </w:p>
              </w:tc>
            </w:tr>
          </w:tbl>
          <w:p w14:paraId="5DABADF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p>
          <w:p w14:paraId="1E3DADB6">
            <w:pPr>
              <w:pStyle w:val="132"/>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表4-11 项目噪声预测结果一览表（二）</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8"/>
              <w:gridCol w:w="1151"/>
              <w:gridCol w:w="1152"/>
              <w:gridCol w:w="1152"/>
              <w:gridCol w:w="1152"/>
            </w:tblGrid>
            <w:tr w14:paraId="6DD4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vAlign w:val="center"/>
                </w:tcPr>
                <w:p w14:paraId="3F3DE806">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预测点</w:t>
                  </w:r>
                </w:p>
              </w:tc>
              <w:tc>
                <w:tcPr>
                  <w:tcW w:w="1151" w:type="dxa"/>
                  <w:tcBorders>
                    <w:top w:val="single" w:color="auto" w:sz="4" w:space="0"/>
                    <w:left w:val="single" w:color="auto" w:sz="4" w:space="0"/>
                    <w:bottom w:val="single" w:color="auto" w:sz="4" w:space="0"/>
                    <w:right w:val="single" w:color="auto" w:sz="4" w:space="0"/>
                  </w:tcBorders>
                  <w:vAlign w:val="center"/>
                </w:tcPr>
                <w:p w14:paraId="44FAFDE7">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东边厂界外1m处</w:t>
                  </w:r>
                </w:p>
              </w:tc>
              <w:tc>
                <w:tcPr>
                  <w:tcW w:w="1152" w:type="dxa"/>
                  <w:tcBorders>
                    <w:top w:val="single" w:color="auto" w:sz="4" w:space="0"/>
                    <w:left w:val="single" w:color="auto" w:sz="4" w:space="0"/>
                    <w:bottom w:val="single" w:color="auto" w:sz="4" w:space="0"/>
                    <w:right w:val="single" w:color="auto" w:sz="4" w:space="0"/>
                  </w:tcBorders>
                  <w:vAlign w:val="center"/>
                </w:tcPr>
                <w:p w14:paraId="6BEB6AF2">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南边厂界外1m处</w:t>
                  </w:r>
                </w:p>
              </w:tc>
              <w:tc>
                <w:tcPr>
                  <w:tcW w:w="1152" w:type="dxa"/>
                  <w:tcBorders>
                    <w:top w:val="single" w:color="auto" w:sz="4" w:space="0"/>
                    <w:left w:val="single" w:color="auto" w:sz="4" w:space="0"/>
                    <w:bottom w:val="single" w:color="auto" w:sz="4" w:space="0"/>
                    <w:right w:val="single" w:color="auto" w:sz="4" w:space="0"/>
                  </w:tcBorders>
                  <w:vAlign w:val="center"/>
                </w:tcPr>
                <w:p w14:paraId="4172B28F">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西边厂界外1m处</w:t>
                  </w:r>
                </w:p>
              </w:tc>
              <w:tc>
                <w:tcPr>
                  <w:tcW w:w="1152" w:type="dxa"/>
                  <w:tcBorders>
                    <w:top w:val="single" w:color="auto" w:sz="4" w:space="0"/>
                    <w:left w:val="single" w:color="auto" w:sz="4" w:space="0"/>
                    <w:bottom w:val="single" w:color="auto" w:sz="4" w:space="0"/>
                    <w:right w:val="single" w:color="auto" w:sz="4" w:space="0"/>
                  </w:tcBorders>
                  <w:vAlign w:val="center"/>
                </w:tcPr>
                <w:p w14:paraId="68390079">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北边厂界外1m处</w:t>
                  </w:r>
                </w:p>
              </w:tc>
            </w:tr>
            <w:tr w14:paraId="3A26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vAlign w:val="center"/>
                </w:tcPr>
                <w:p w14:paraId="7AAB990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离室内边界1m处叠加声压级/dB（A）</w:t>
                  </w:r>
                </w:p>
              </w:tc>
              <w:tc>
                <w:tcPr>
                  <w:tcW w:w="1151" w:type="dxa"/>
                  <w:tcBorders>
                    <w:top w:val="single" w:color="auto" w:sz="4" w:space="0"/>
                    <w:left w:val="single" w:color="auto" w:sz="4" w:space="0"/>
                    <w:bottom w:val="single" w:color="auto" w:sz="4" w:space="0"/>
                    <w:right w:val="single" w:color="auto" w:sz="4" w:space="0"/>
                  </w:tcBorders>
                  <w:vAlign w:val="center"/>
                </w:tcPr>
                <w:p w14:paraId="241B2C5D">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69.7</w:t>
                  </w:r>
                </w:p>
              </w:tc>
              <w:tc>
                <w:tcPr>
                  <w:tcW w:w="1152" w:type="dxa"/>
                  <w:tcBorders>
                    <w:top w:val="single" w:color="auto" w:sz="4" w:space="0"/>
                    <w:left w:val="single" w:color="auto" w:sz="4" w:space="0"/>
                    <w:bottom w:val="single" w:color="auto" w:sz="4" w:space="0"/>
                    <w:right w:val="single" w:color="auto" w:sz="4" w:space="0"/>
                  </w:tcBorders>
                  <w:vAlign w:val="center"/>
                </w:tcPr>
                <w:p w14:paraId="4181BEE2">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69.7</w:t>
                  </w:r>
                </w:p>
              </w:tc>
              <w:tc>
                <w:tcPr>
                  <w:tcW w:w="1152" w:type="dxa"/>
                  <w:tcBorders>
                    <w:top w:val="single" w:color="auto" w:sz="4" w:space="0"/>
                    <w:left w:val="single" w:color="auto" w:sz="4" w:space="0"/>
                    <w:bottom w:val="single" w:color="auto" w:sz="4" w:space="0"/>
                    <w:right w:val="single" w:color="auto" w:sz="4" w:space="0"/>
                  </w:tcBorders>
                  <w:vAlign w:val="center"/>
                </w:tcPr>
                <w:p w14:paraId="2984A870">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70</w:t>
                  </w:r>
                </w:p>
              </w:tc>
              <w:tc>
                <w:tcPr>
                  <w:tcW w:w="1152" w:type="dxa"/>
                  <w:tcBorders>
                    <w:top w:val="single" w:color="auto" w:sz="4" w:space="0"/>
                    <w:left w:val="single" w:color="auto" w:sz="4" w:space="0"/>
                    <w:bottom w:val="single" w:color="auto" w:sz="4" w:space="0"/>
                    <w:right w:val="single" w:color="auto" w:sz="4" w:space="0"/>
                  </w:tcBorders>
                  <w:vAlign w:val="center"/>
                </w:tcPr>
                <w:p w14:paraId="613E9D56">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74.1</w:t>
                  </w:r>
                </w:p>
              </w:tc>
            </w:tr>
            <w:tr w14:paraId="5A82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vAlign w:val="center"/>
                </w:tcPr>
                <w:p w14:paraId="013E4F1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建筑物插入损失（隔声衰减量）/dB（A）</w:t>
                  </w:r>
                </w:p>
              </w:tc>
              <w:tc>
                <w:tcPr>
                  <w:tcW w:w="1151" w:type="dxa"/>
                  <w:tcBorders>
                    <w:top w:val="single" w:color="auto" w:sz="4" w:space="0"/>
                    <w:left w:val="single" w:color="auto" w:sz="4" w:space="0"/>
                    <w:bottom w:val="single" w:color="auto" w:sz="4" w:space="0"/>
                    <w:right w:val="single" w:color="auto" w:sz="4" w:space="0"/>
                  </w:tcBorders>
                  <w:vAlign w:val="center"/>
                </w:tcPr>
                <w:p w14:paraId="4E6DE48D">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15</w:t>
                  </w:r>
                </w:p>
              </w:tc>
              <w:tc>
                <w:tcPr>
                  <w:tcW w:w="1152" w:type="dxa"/>
                  <w:tcBorders>
                    <w:top w:val="single" w:color="auto" w:sz="4" w:space="0"/>
                    <w:left w:val="single" w:color="auto" w:sz="4" w:space="0"/>
                    <w:bottom w:val="single" w:color="auto" w:sz="4" w:space="0"/>
                    <w:right w:val="single" w:color="auto" w:sz="4" w:space="0"/>
                  </w:tcBorders>
                  <w:vAlign w:val="center"/>
                </w:tcPr>
                <w:p w14:paraId="68E5C6F8">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15</w:t>
                  </w:r>
                </w:p>
              </w:tc>
              <w:tc>
                <w:tcPr>
                  <w:tcW w:w="1152" w:type="dxa"/>
                  <w:tcBorders>
                    <w:top w:val="single" w:color="auto" w:sz="4" w:space="0"/>
                    <w:left w:val="single" w:color="auto" w:sz="4" w:space="0"/>
                    <w:bottom w:val="single" w:color="auto" w:sz="4" w:space="0"/>
                    <w:right w:val="single" w:color="auto" w:sz="4" w:space="0"/>
                  </w:tcBorders>
                  <w:vAlign w:val="center"/>
                </w:tcPr>
                <w:p w14:paraId="520F03EA">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15</w:t>
                  </w:r>
                </w:p>
              </w:tc>
              <w:tc>
                <w:tcPr>
                  <w:tcW w:w="1152" w:type="dxa"/>
                  <w:tcBorders>
                    <w:top w:val="single" w:color="auto" w:sz="4" w:space="0"/>
                    <w:left w:val="single" w:color="auto" w:sz="4" w:space="0"/>
                    <w:bottom w:val="single" w:color="auto" w:sz="4" w:space="0"/>
                    <w:right w:val="single" w:color="auto" w:sz="4" w:space="0"/>
                  </w:tcBorders>
                  <w:vAlign w:val="center"/>
                </w:tcPr>
                <w:p w14:paraId="25161076">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15</w:t>
                  </w:r>
                </w:p>
              </w:tc>
            </w:tr>
            <w:tr w14:paraId="664D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vAlign w:val="center"/>
                </w:tcPr>
                <w:p w14:paraId="5102DDE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室外边界外1m处声压级/dB（A）</w:t>
                  </w:r>
                </w:p>
              </w:tc>
              <w:tc>
                <w:tcPr>
                  <w:tcW w:w="1151" w:type="dxa"/>
                  <w:tcBorders>
                    <w:top w:val="single" w:color="auto" w:sz="4" w:space="0"/>
                    <w:left w:val="single" w:color="auto" w:sz="4" w:space="0"/>
                    <w:bottom w:val="single" w:color="auto" w:sz="4" w:space="0"/>
                    <w:right w:val="single" w:color="auto" w:sz="4" w:space="0"/>
                  </w:tcBorders>
                  <w:vAlign w:val="center"/>
                </w:tcPr>
                <w:p w14:paraId="7608E460">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48.7</w:t>
                  </w:r>
                </w:p>
              </w:tc>
              <w:tc>
                <w:tcPr>
                  <w:tcW w:w="1152" w:type="dxa"/>
                  <w:tcBorders>
                    <w:top w:val="single" w:color="auto" w:sz="4" w:space="0"/>
                    <w:left w:val="single" w:color="auto" w:sz="4" w:space="0"/>
                    <w:bottom w:val="single" w:color="auto" w:sz="4" w:space="0"/>
                    <w:right w:val="single" w:color="auto" w:sz="4" w:space="0"/>
                  </w:tcBorders>
                  <w:vAlign w:val="center"/>
                </w:tcPr>
                <w:p w14:paraId="4E2E2CD0">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48.7</w:t>
                  </w:r>
                </w:p>
              </w:tc>
              <w:tc>
                <w:tcPr>
                  <w:tcW w:w="1152" w:type="dxa"/>
                  <w:tcBorders>
                    <w:top w:val="single" w:color="auto" w:sz="4" w:space="0"/>
                    <w:left w:val="single" w:color="auto" w:sz="4" w:space="0"/>
                    <w:bottom w:val="single" w:color="auto" w:sz="4" w:space="0"/>
                    <w:right w:val="single" w:color="auto" w:sz="4" w:space="0"/>
                  </w:tcBorders>
                  <w:vAlign w:val="center"/>
                </w:tcPr>
                <w:p w14:paraId="5C79FDCE">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49</w:t>
                  </w:r>
                </w:p>
              </w:tc>
              <w:tc>
                <w:tcPr>
                  <w:tcW w:w="1152" w:type="dxa"/>
                  <w:tcBorders>
                    <w:top w:val="single" w:color="auto" w:sz="4" w:space="0"/>
                    <w:left w:val="single" w:color="auto" w:sz="4" w:space="0"/>
                    <w:bottom w:val="single" w:color="auto" w:sz="4" w:space="0"/>
                    <w:right w:val="single" w:color="auto" w:sz="4" w:space="0"/>
                  </w:tcBorders>
                  <w:vAlign w:val="center"/>
                </w:tcPr>
                <w:p w14:paraId="4F0AA44C">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53.1</w:t>
                  </w:r>
                </w:p>
              </w:tc>
            </w:tr>
            <w:tr w14:paraId="6E11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vAlign w:val="center"/>
                </w:tcPr>
                <w:p w14:paraId="533DB0E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声源与厂界预测处距离/m </w:t>
                  </w:r>
                </w:p>
              </w:tc>
              <w:tc>
                <w:tcPr>
                  <w:tcW w:w="1151" w:type="dxa"/>
                  <w:tcBorders>
                    <w:top w:val="single" w:color="auto" w:sz="4" w:space="0"/>
                    <w:left w:val="single" w:color="auto" w:sz="4" w:space="0"/>
                    <w:bottom w:val="single" w:color="auto" w:sz="4" w:space="0"/>
                    <w:right w:val="single" w:color="auto" w:sz="4" w:space="0"/>
                  </w:tcBorders>
                  <w:vAlign w:val="center"/>
                </w:tcPr>
                <w:p w14:paraId="00B78314">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33</w:t>
                  </w:r>
                </w:p>
              </w:tc>
              <w:tc>
                <w:tcPr>
                  <w:tcW w:w="1152" w:type="dxa"/>
                  <w:tcBorders>
                    <w:top w:val="single" w:color="auto" w:sz="4" w:space="0"/>
                    <w:left w:val="single" w:color="auto" w:sz="4" w:space="0"/>
                    <w:bottom w:val="single" w:color="auto" w:sz="4" w:space="0"/>
                    <w:right w:val="single" w:color="auto" w:sz="4" w:space="0"/>
                  </w:tcBorders>
                  <w:vAlign w:val="center"/>
                </w:tcPr>
                <w:p w14:paraId="1B2C59DB">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77</w:t>
                  </w:r>
                </w:p>
              </w:tc>
              <w:tc>
                <w:tcPr>
                  <w:tcW w:w="1152" w:type="dxa"/>
                  <w:tcBorders>
                    <w:top w:val="single" w:color="auto" w:sz="4" w:space="0"/>
                    <w:left w:val="single" w:color="auto" w:sz="4" w:space="0"/>
                    <w:bottom w:val="single" w:color="auto" w:sz="4" w:space="0"/>
                    <w:right w:val="single" w:color="auto" w:sz="4" w:space="0"/>
                  </w:tcBorders>
                  <w:vAlign w:val="center"/>
                </w:tcPr>
                <w:p w14:paraId="0F7FD3E5">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103</w:t>
                  </w:r>
                </w:p>
              </w:tc>
              <w:tc>
                <w:tcPr>
                  <w:tcW w:w="1152" w:type="dxa"/>
                  <w:tcBorders>
                    <w:top w:val="single" w:color="auto" w:sz="4" w:space="0"/>
                    <w:left w:val="single" w:color="auto" w:sz="4" w:space="0"/>
                    <w:bottom w:val="single" w:color="auto" w:sz="4" w:space="0"/>
                    <w:right w:val="single" w:color="auto" w:sz="4" w:space="0"/>
                  </w:tcBorders>
                  <w:vAlign w:val="center"/>
                </w:tcPr>
                <w:p w14:paraId="35F0B30C">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23</w:t>
                  </w:r>
                </w:p>
              </w:tc>
            </w:tr>
            <w:tr w14:paraId="6670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vAlign w:val="center"/>
                </w:tcPr>
                <w:p w14:paraId="3835536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衰减量/dB（A）</w:t>
                  </w:r>
                </w:p>
              </w:tc>
              <w:tc>
                <w:tcPr>
                  <w:tcW w:w="1151" w:type="dxa"/>
                  <w:tcBorders>
                    <w:top w:val="single" w:color="auto" w:sz="4" w:space="0"/>
                    <w:left w:val="single" w:color="auto" w:sz="4" w:space="0"/>
                    <w:bottom w:val="single" w:color="auto" w:sz="4" w:space="0"/>
                    <w:right w:val="single" w:color="auto" w:sz="4" w:space="0"/>
                  </w:tcBorders>
                  <w:vAlign w:val="center"/>
                </w:tcPr>
                <w:p w14:paraId="70CD79D8">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30.4</w:t>
                  </w:r>
                </w:p>
              </w:tc>
              <w:tc>
                <w:tcPr>
                  <w:tcW w:w="1152" w:type="dxa"/>
                  <w:tcBorders>
                    <w:top w:val="single" w:color="auto" w:sz="4" w:space="0"/>
                    <w:left w:val="single" w:color="auto" w:sz="4" w:space="0"/>
                    <w:bottom w:val="single" w:color="auto" w:sz="4" w:space="0"/>
                    <w:right w:val="single" w:color="auto" w:sz="4" w:space="0"/>
                  </w:tcBorders>
                  <w:vAlign w:val="center"/>
                </w:tcPr>
                <w:p w14:paraId="15C85519">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37.7</w:t>
                  </w:r>
                </w:p>
              </w:tc>
              <w:tc>
                <w:tcPr>
                  <w:tcW w:w="1152" w:type="dxa"/>
                  <w:tcBorders>
                    <w:top w:val="single" w:color="auto" w:sz="4" w:space="0"/>
                    <w:left w:val="single" w:color="auto" w:sz="4" w:space="0"/>
                    <w:bottom w:val="single" w:color="auto" w:sz="4" w:space="0"/>
                    <w:right w:val="single" w:color="auto" w:sz="4" w:space="0"/>
                  </w:tcBorders>
                  <w:vAlign w:val="center"/>
                </w:tcPr>
                <w:p w14:paraId="41755CD9">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40.3</w:t>
                  </w:r>
                </w:p>
              </w:tc>
              <w:tc>
                <w:tcPr>
                  <w:tcW w:w="1152" w:type="dxa"/>
                  <w:tcBorders>
                    <w:top w:val="single" w:color="auto" w:sz="4" w:space="0"/>
                    <w:left w:val="single" w:color="auto" w:sz="4" w:space="0"/>
                    <w:bottom w:val="single" w:color="auto" w:sz="4" w:space="0"/>
                    <w:right w:val="single" w:color="auto" w:sz="4" w:space="0"/>
                  </w:tcBorders>
                  <w:vAlign w:val="center"/>
                </w:tcPr>
                <w:p w14:paraId="4E77D696">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27.2</w:t>
                  </w:r>
                </w:p>
              </w:tc>
            </w:tr>
            <w:tr w14:paraId="4557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vAlign w:val="center"/>
                </w:tcPr>
                <w:p w14:paraId="72936E8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昼间、夜间贡献值/dB（A）</w:t>
                  </w:r>
                </w:p>
              </w:tc>
              <w:tc>
                <w:tcPr>
                  <w:tcW w:w="1151" w:type="dxa"/>
                  <w:tcBorders>
                    <w:top w:val="single" w:color="auto" w:sz="4" w:space="0"/>
                    <w:left w:val="single" w:color="auto" w:sz="4" w:space="0"/>
                    <w:bottom w:val="single" w:color="auto" w:sz="4" w:space="0"/>
                    <w:right w:val="single" w:color="auto" w:sz="4" w:space="0"/>
                  </w:tcBorders>
                  <w:vAlign w:val="center"/>
                </w:tcPr>
                <w:p w14:paraId="1D046134">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18.3</w:t>
                  </w:r>
                </w:p>
              </w:tc>
              <w:tc>
                <w:tcPr>
                  <w:tcW w:w="1152" w:type="dxa"/>
                  <w:tcBorders>
                    <w:top w:val="single" w:color="auto" w:sz="4" w:space="0"/>
                    <w:left w:val="single" w:color="auto" w:sz="4" w:space="0"/>
                    <w:bottom w:val="single" w:color="auto" w:sz="4" w:space="0"/>
                    <w:right w:val="single" w:color="auto" w:sz="4" w:space="0"/>
                  </w:tcBorders>
                  <w:vAlign w:val="center"/>
                </w:tcPr>
                <w:p w14:paraId="4C11BCDD">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11.0</w:t>
                  </w:r>
                </w:p>
              </w:tc>
              <w:tc>
                <w:tcPr>
                  <w:tcW w:w="1152" w:type="dxa"/>
                  <w:tcBorders>
                    <w:top w:val="single" w:color="auto" w:sz="4" w:space="0"/>
                    <w:left w:val="single" w:color="auto" w:sz="4" w:space="0"/>
                    <w:bottom w:val="single" w:color="auto" w:sz="4" w:space="0"/>
                    <w:right w:val="single" w:color="auto" w:sz="4" w:space="0"/>
                  </w:tcBorders>
                  <w:vAlign w:val="center"/>
                </w:tcPr>
                <w:p w14:paraId="5F87543B">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8.7</w:t>
                  </w:r>
                </w:p>
              </w:tc>
              <w:tc>
                <w:tcPr>
                  <w:tcW w:w="1152" w:type="dxa"/>
                  <w:tcBorders>
                    <w:top w:val="single" w:color="auto" w:sz="4" w:space="0"/>
                    <w:left w:val="single" w:color="auto" w:sz="4" w:space="0"/>
                    <w:bottom w:val="single" w:color="auto" w:sz="4" w:space="0"/>
                    <w:right w:val="single" w:color="auto" w:sz="4" w:space="0"/>
                  </w:tcBorders>
                  <w:vAlign w:val="center"/>
                </w:tcPr>
                <w:p w14:paraId="65B7557D">
                  <w:pPr>
                    <w:widowControl/>
                    <w:jc w:val="center"/>
                    <w:textAlignment w:val="center"/>
                    <w:rPr>
                      <w:rFonts w:hint="default" w:ascii="Times New Roman" w:hAnsi="Times New Roman" w:eastAsia="等线" w:cs="Times New Roman"/>
                      <w:color w:val="auto"/>
                      <w:szCs w:val="21"/>
                      <w:highlight w:val="none"/>
                    </w:rPr>
                  </w:pPr>
                  <w:r>
                    <w:rPr>
                      <w:rFonts w:hint="default" w:ascii="Times New Roman" w:hAnsi="Times New Roman" w:cs="Times New Roman"/>
                      <w:color w:val="auto"/>
                      <w:kern w:val="0"/>
                      <w:szCs w:val="21"/>
                      <w:highlight w:val="none"/>
                      <w:lang w:bidi="ar"/>
                    </w:rPr>
                    <w:t>25.9</w:t>
                  </w:r>
                </w:p>
              </w:tc>
            </w:tr>
            <w:tr w14:paraId="28BC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vAlign w:val="center"/>
                </w:tcPr>
                <w:p w14:paraId="4C81EBD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昼间背景值/dB（A）*</w:t>
                  </w:r>
                </w:p>
              </w:tc>
              <w:tc>
                <w:tcPr>
                  <w:tcW w:w="1151" w:type="dxa"/>
                  <w:tcBorders>
                    <w:top w:val="single" w:color="auto" w:sz="4" w:space="0"/>
                    <w:left w:val="single" w:color="auto" w:sz="4" w:space="0"/>
                    <w:bottom w:val="single" w:color="auto" w:sz="4" w:space="0"/>
                    <w:right w:val="single" w:color="auto" w:sz="4" w:space="0"/>
                  </w:tcBorders>
                  <w:vAlign w:val="center"/>
                </w:tcPr>
                <w:p w14:paraId="2F40AD29">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56.7</w:t>
                  </w:r>
                </w:p>
              </w:tc>
              <w:tc>
                <w:tcPr>
                  <w:tcW w:w="1152" w:type="dxa"/>
                  <w:tcBorders>
                    <w:top w:val="single" w:color="auto" w:sz="4" w:space="0"/>
                    <w:left w:val="single" w:color="auto" w:sz="4" w:space="0"/>
                    <w:bottom w:val="single" w:color="auto" w:sz="4" w:space="0"/>
                    <w:right w:val="single" w:color="auto" w:sz="4" w:space="0"/>
                  </w:tcBorders>
                  <w:vAlign w:val="center"/>
                </w:tcPr>
                <w:p w14:paraId="5F3FB783">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56.8</w:t>
                  </w:r>
                </w:p>
              </w:tc>
              <w:tc>
                <w:tcPr>
                  <w:tcW w:w="1152" w:type="dxa"/>
                  <w:tcBorders>
                    <w:top w:val="single" w:color="auto" w:sz="4" w:space="0"/>
                    <w:left w:val="single" w:color="auto" w:sz="4" w:space="0"/>
                    <w:bottom w:val="single" w:color="auto" w:sz="4" w:space="0"/>
                    <w:right w:val="single" w:color="auto" w:sz="4" w:space="0"/>
                  </w:tcBorders>
                  <w:vAlign w:val="center"/>
                </w:tcPr>
                <w:p w14:paraId="2A701095">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51.6</w:t>
                  </w:r>
                </w:p>
              </w:tc>
              <w:tc>
                <w:tcPr>
                  <w:tcW w:w="1152" w:type="dxa"/>
                  <w:tcBorders>
                    <w:top w:val="single" w:color="auto" w:sz="4" w:space="0"/>
                    <w:left w:val="single" w:color="auto" w:sz="4" w:space="0"/>
                    <w:bottom w:val="single" w:color="auto" w:sz="4" w:space="0"/>
                    <w:right w:val="single" w:color="auto" w:sz="4" w:space="0"/>
                  </w:tcBorders>
                  <w:vAlign w:val="center"/>
                </w:tcPr>
                <w:p w14:paraId="2838DE80">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53.5</w:t>
                  </w:r>
                </w:p>
              </w:tc>
            </w:tr>
            <w:tr w14:paraId="4B44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shd w:val="clear" w:color="auto" w:fill="auto"/>
                  <w:vAlign w:val="center"/>
                </w:tcPr>
                <w:p w14:paraId="6696528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夜间背景值/dB（A）*</w:t>
                  </w:r>
                </w:p>
              </w:tc>
              <w:tc>
                <w:tcPr>
                  <w:tcW w:w="1151" w:type="dxa"/>
                  <w:tcBorders>
                    <w:top w:val="single" w:color="auto" w:sz="4" w:space="0"/>
                    <w:left w:val="single" w:color="auto" w:sz="4" w:space="0"/>
                    <w:bottom w:val="single" w:color="auto" w:sz="4" w:space="0"/>
                    <w:right w:val="single" w:color="auto" w:sz="4" w:space="0"/>
                  </w:tcBorders>
                  <w:shd w:val="clear" w:color="auto" w:fill="auto"/>
                  <w:vAlign w:val="center"/>
                </w:tcPr>
                <w:p w14:paraId="2FE85C49">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48.5</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00291731">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46.7</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436B6EE5">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44.1</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0B8A1499">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45.8</w:t>
                  </w:r>
                </w:p>
              </w:tc>
            </w:tr>
            <w:tr w14:paraId="5BDC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128" w:type="dxa"/>
                  <w:tcBorders>
                    <w:top w:val="single" w:color="auto" w:sz="4" w:space="0"/>
                    <w:left w:val="single" w:color="auto" w:sz="4" w:space="0"/>
                    <w:bottom w:val="single" w:color="auto" w:sz="4" w:space="0"/>
                    <w:right w:val="single" w:color="auto" w:sz="4" w:space="0"/>
                  </w:tcBorders>
                  <w:vAlign w:val="center"/>
                </w:tcPr>
                <w:p w14:paraId="2D22A17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昼间叠加值/dB（A）</w:t>
                  </w:r>
                </w:p>
              </w:tc>
              <w:tc>
                <w:tcPr>
                  <w:tcW w:w="1151" w:type="dxa"/>
                  <w:tcBorders>
                    <w:top w:val="single" w:color="auto" w:sz="4" w:space="0"/>
                    <w:left w:val="single" w:color="auto" w:sz="4" w:space="0"/>
                    <w:bottom w:val="single" w:color="auto" w:sz="4" w:space="0"/>
                    <w:right w:val="single" w:color="auto" w:sz="4" w:space="0"/>
                  </w:tcBorders>
                  <w:vAlign w:val="center"/>
                </w:tcPr>
                <w:p w14:paraId="24998A1B">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56.7</w:t>
                  </w:r>
                </w:p>
              </w:tc>
              <w:tc>
                <w:tcPr>
                  <w:tcW w:w="1152" w:type="dxa"/>
                  <w:tcBorders>
                    <w:top w:val="single" w:color="auto" w:sz="4" w:space="0"/>
                    <w:left w:val="single" w:color="auto" w:sz="4" w:space="0"/>
                    <w:bottom w:val="single" w:color="auto" w:sz="4" w:space="0"/>
                    <w:right w:val="single" w:color="auto" w:sz="4" w:space="0"/>
                  </w:tcBorders>
                  <w:vAlign w:val="center"/>
                </w:tcPr>
                <w:p w14:paraId="3153FDE8">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56.8</w:t>
                  </w:r>
                </w:p>
              </w:tc>
              <w:tc>
                <w:tcPr>
                  <w:tcW w:w="1152" w:type="dxa"/>
                  <w:tcBorders>
                    <w:top w:val="single" w:color="auto" w:sz="4" w:space="0"/>
                    <w:left w:val="single" w:color="auto" w:sz="4" w:space="0"/>
                    <w:bottom w:val="single" w:color="auto" w:sz="4" w:space="0"/>
                    <w:right w:val="single" w:color="auto" w:sz="4" w:space="0"/>
                  </w:tcBorders>
                  <w:vAlign w:val="center"/>
                </w:tcPr>
                <w:p w14:paraId="7E408DC9">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51.6</w:t>
                  </w:r>
                </w:p>
              </w:tc>
              <w:tc>
                <w:tcPr>
                  <w:tcW w:w="1152" w:type="dxa"/>
                  <w:tcBorders>
                    <w:top w:val="single" w:color="auto" w:sz="4" w:space="0"/>
                    <w:left w:val="single" w:color="auto" w:sz="4" w:space="0"/>
                    <w:bottom w:val="single" w:color="auto" w:sz="4" w:space="0"/>
                    <w:right w:val="single" w:color="auto" w:sz="4" w:space="0"/>
                  </w:tcBorders>
                  <w:vAlign w:val="center"/>
                </w:tcPr>
                <w:p w14:paraId="0D8C566D">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53.5</w:t>
                  </w:r>
                </w:p>
              </w:tc>
            </w:tr>
            <w:tr w14:paraId="74C9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128" w:type="dxa"/>
                  <w:tcBorders>
                    <w:top w:val="single" w:color="auto" w:sz="4" w:space="0"/>
                    <w:left w:val="single" w:color="auto" w:sz="4" w:space="0"/>
                    <w:bottom w:val="single" w:color="auto" w:sz="4" w:space="0"/>
                    <w:right w:val="single" w:color="auto" w:sz="4" w:space="0"/>
                  </w:tcBorders>
                  <w:shd w:val="clear" w:color="auto" w:fill="auto"/>
                  <w:vAlign w:val="center"/>
                </w:tcPr>
                <w:p w14:paraId="2F17D92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夜间叠加值/dB（A）</w:t>
                  </w:r>
                </w:p>
              </w:tc>
              <w:tc>
                <w:tcPr>
                  <w:tcW w:w="1151" w:type="dxa"/>
                  <w:tcBorders>
                    <w:top w:val="single" w:color="auto" w:sz="4" w:space="0"/>
                    <w:left w:val="single" w:color="auto" w:sz="4" w:space="0"/>
                    <w:bottom w:val="single" w:color="auto" w:sz="4" w:space="0"/>
                    <w:right w:val="single" w:color="auto" w:sz="4" w:space="0"/>
                  </w:tcBorders>
                  <w:shd w:val="clear" w:color="auto" w:fill="auto"/>
                  <w:vAlign w:val="center"/>
                </w:tcPr>
                <w:p w14:paraId="40F161BD">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48.5</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073F6395">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46.7</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25DC0F64">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44.1</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06473504">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45.8</w:t>
                  </w:r>
                </w:p>
              </w:tc>
            </w:tr>
            <w:tr w14:paraId="7D23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vAlign w:val="center"/>
                </w:tcPr>
                <w:p w14:paraId="72E97A0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昼间标准/dB（A）</w:t>
                  </w:r>
                </w:p>
              </w:tc>
              <w:tc>
                <w:tcPr>
                  <w:tcW w:w="1151" w:type="dxa"/>
                  <w:tcBorders>
                    <w:top w:val="single" w:color="auto" w:sz="4" w:space="0"/>
                    <w:left w:val="single" w:color="auto" w:sz="4" w:space="0"/>
                    <w:bottom w:val="single" w:color="auto" w:sz="4" w:space="0"/>
                    <w:right w:val="single" w:color="auto" w:sz="4" w:space="0"/>
                  </w:tcBorders>
                  <w:vAlign w:val="center"/>
                </w:tcPr>
                <w:p w14:paraId="01FBFAE6">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65</w:t>
                  </w:r>
                </w:p>
              </w:tc>
              <w:tc>
                <w:tcPr>
                  <w:tcW w:w="1152" w:type="dxa"/>
                  <w:tcBorders>
                    <w:top w:val="single" w:color="auto" w:sz="4" w:space="0"/>
                    <w:left w:val="single" w:color="auto" w:sz="4" w:space="0"/>
                    <w:bottom w:val="single" w:color="auto" w:sz="4" w:space="0"/>
                    <w:right w:val="single" w:color="auto" w:sz="4" w:space="0"/>
                  </w:tcBorders>
                  <w:vAlign w:val="center"/>
                </w:tcPr>
                <w:p w14:paraId="3AD5099E">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65</w:t>
                  </w:r>
                </w:p>
              </w:tc>
              <w:tc>
                <w:tcPr>
                  <w:tcW w:w="1152" w:type="dxa"/>
                  <w:tcBorders>
                    <w:top w:val="single" w:color="auto" w:sz="4" w:space="0"/>
                    <w:left w:val="single" w:color="auto" w:sz="4" w:space="0"/>
                    <w:bottom w:val="single" w:color="auto" w:sz="4" w:space="0"/>
                    <w:right w:val="single" w:color="auto" w:sz="4" w:space="0"/>
                  </w:tcBorders>
                  <w:vAlign w:val="center"/>
                </w:tcPr>
                <w:p w14:paraId="19DED7DB">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65</w:t>
                  </w:r>
                </w:p>
              </w:tc>
              <w:tc>
                <w:tcPr>
                  <w:tcW w:w="1152" w:type="dxa"/>
                  <w:tcBorders>
                    <w:top w:val="single" w:color="auto" w:sz="4" w:space="0"/>
                    <w:left w:val="single" w:color="auto" w:sz="4" w:space="0"/>
                    <w:bottom w:val="single" w:color="auto" w:sz="4" w:space="0"/>
                    <w:right w:val="single" w:color="auto" w:sz="4" w:space="0"/>
                  </w:tcBorders>
                  <w:vAlign w:val="center"/>
                </w:tcPr>
                <w:p w14:paraId="150BB4CB">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65</w:t>
                  </w:r>
                </w:p>
              </w:tc>
            </w:tr>
            <w:tr w14:paraId="64FE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shd w:val="clear" w:color="auto" w:fill="auto"/>
                  <w:vAlign w:val="center"/>
                </w:tcPr>
                <w:p w14:paraId="57036CA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夜间标准/dB（A）</w:t>
                  </w:r>
                </w:p>
              </w:tc>
              <w:tc>
                <w:tcPr>
                  <w:tcW w:w="1151" w:type="dxa"/>
                  <w:tcBorders>
                    <w:top w:val="single" w:color="auto" w:sz="4" w:space="0"/>
                    <w:left w:val="single" w:color="auto" w:sz="4" w:space="0"/>
                    <w:bottom w:val="single" w:color="auto" w:sz="4" w:space="0"/>
                    <w:right w:val="single" w:color="auto" w:sz="4" w:space="0"/>
                  </w:tcBorders>
                  <w:shd w:val="clear" w:color="auto" w:fill="auto"/>
                  <w:vAlign w:val="center"/>
                </w:tcPr>
                <w:p w14:paraId="396C2C18">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55</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05E45E01">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55</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24F6F234">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55</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30B68451">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55</w:t>
                  </w:r>
                </w:p>
              </w:tc>
            </w:tr>
            <w:tr w14:paraId="3DF5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8" w:type="dxa"/>
                  <w:tcBorders>
                    <w:top w:val="single" w:color="auto" w:sz="4" w:space="0"/>
                    <w:left w:val="single" w:color="auto" w:sz="4" w:space="0"/>
                    <w:bottom w:val="single" w:color="auto" w:sz="4" w:space="0"/>
                    <w:right w:val="single" w:color="auto" w:sz="4" w:space="0"/>
                  </w:tcBorders>
                  <w:vAlign w:val="center"/>
                </w:tcPr>
                <w:p w14:paraId="20D42DE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达标情况</w:t>
                  </w:r>
                </w:p>
              </w:tc>
              <w:tc>
                <w:tcPr>
                  <w:tcW w:w="1151" w:type="dxa"/>
                  <w:tcBorders>
                    <w:top w:val="single" w:color="auto" w:sz="4" w:space="0"/>
                    <w:left w:val="single" w:color="auto" w:sz="4" w:space="0"/>
                    <w:bottom w:val="single" w:color="auto" w:sz="4" w:space="0"/>
                    <w:right w:val="single" w:color="auto" w:sz="4" w:space="0"/>
                  </w:tcBorders>
                  <w:vAlign w:val="center"/>
                </w:tcPr>
                <w:p w14:paraId="06F19112">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达标</w:t>
                  </w:r>
                </w:p>
              </w:tc>
              <w:tc>
                <w:tcPr>
                  <w:tcW w:w="1152" w:type="dxa"/>
                  <w:tcBorders>
                    <w:top w:val="single" w:color="auto" w:sz="4" w:space="0"/>
                    <w:left w:val="single" w:color="auto" w:sz="4" w:space="0"/>
                    <w:bottom w:val="single" w:color="auto" w:sz="4" w:space="0"/>
                    <w:right w:val="single" w:color="auto" w:sz="4" w:space="0"/>
                  </w:tcBorders>
                  <w:vAlign w:val="center"/>
                </w:tcPr>
                <w:p w14:paraId="7C572212">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达标</w:t>
                  </w:r>
                </w:p>
              </w:tc>
              <w:tc>
                <w:tcPr>
                  <w:tcW w:w="1152" w:type="dxa"/>
                  <w:tcBorders>
                    <w:top w:val="single" w:color="auto" w:sz="4" w:space="0"/>
                    <w:left w:val="single" w:color="auto" w:sz="4" w:space="0"/>
                    <w:bottom w:val="single" w:color="auto" w:sz="4" w:space="0"/>
                    <w:right w:val="single" w:color="auto" w:sz="4" w:space="0"/>
                  </w:tcBorders>
                  <w:vAlign w:val="center"/>
                </w:tcPr>
                <w:p w14:paraId="35C31822">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达标</w:t>
                  </w:r>
                </w:p>
              </w:tc>
              <w:tc>
                <w:tcPr>
                  <w:tcW w:w="1152" w:type="dxa"/>
                  <w:tcBorders>
                    <w:top w:val="single" w:color="auto" w:sz="4" w:space="0"/>
                    <w:left w:val="single" w:color="auto" w:sz="4" w:space="0"/>
                    <w:bottom w:val="single" w:color="auto" w:sz="4" w:space="0"/>
                    <w:right w:val="single" w:color="auto" w:sz="4" w:space="0"/>
                  </w:tcBorders>
                  <w:vAlign w:val="center"/>
                </w:tcPr>
                <w:p w14:paraId="1881931E">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达标</w:t>
                  </w:r>
                </w:p>
              </w:tc>
            </w:tr>
            <w:tr w14:paraId="383E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735" w:type="dxa"/>
                  <w:gridSpan w:val="5"/>
                  <w:tcBorders>
                    <w:top w:val="single" w:color="auto" w:sz="4" w:space="0"/>
                    <w:left w:val="single" w:color="auto" w:sz="4" w:space="0"/>
                    <w:bottom w:val="single" w:color="auto" w:sz="4" w:space="0"/>
                    <w:right w:val="single" w:color="auto" w:sz="4" w:space="0"/>
                  </w:tcBorders>
                  <w:vAlign w:val="center"/>
                </w:tcPr>
                <w:p w14:paraId="1120F407">
                  <w:pPr>
                    <w:widowControl/>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注：*由于最近建设单位未对昼间噪声进行监测，本次昼夜间背景值取值来自于</w:t>
                  </w:r>
                  <w:r>
                    <w:rPr>
                      <w:rFonts w:hint="default" w:ascii="Times New Roman" w:hAnsi="Times New Roman" w:cs="Times New Roman"/>
                      <w:color w:val="auto"/>
                      <w:szCs w:val="21"/>
                      <w:highlight w:val="none"/>
                    </w:rPr>
                    <w:t>《韶关博尔兹阀门工业有限公司年产35000吨铸件改扩建项目（二期、三期）</w:t>
                  </w:r>
                  <w:r>
                    <w:rPr>
                      <w:rFonts w:hint="default" w:ascii="Times New Roman" w:hAnsi="Times New Roman" w:cs="Times New Roman"/>
                      <w:bCs/>
                      <w:color w:val="auto"/>
                      <w:szCs w:val="21"/>
                      <w:highlight w:val="none"/>
                    </w:rPr>
                    <w:t>竣工</w:t>
                  </w:r>
                  <w:r>
                    <w:rPr>
                      <w:rFonts w:hint="default" w:ascii="Times New Roman" w:hAnsi="Times New Roman" w:cs="Times New Roman"/>
                      <w:color w:val="auto"/>
                      <w:szCs w:val="21"/>
                      <w:highlight w:val="none"/>
                    </w:rPr>
                    <w:t>环境保护验收监测报告表》</w:t>
                  </w:r>
                  <w:r>
                    <w:rPr>
                      <w:rFonts w:hint="default" w:ascii="Times New Roman" w:hAnsi="Times New Roman" w:cs="Times New Roman"/>
                      <w:color w:val="auto"/>
                      <w:kern w:val="0"/>
                      <w:szCs w:val="21"/>
                      <w:highlight w:val="none"/>
                      <w:lang w:bidi="ar"/>
                    </w:rPr>
                    <w:t>。</w:t>
                  </w:r>
                </w:p>
              </w:tc>
            </w:tr>
          </w:tbl>
          <w:p w14:paraId="4AC6DA0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 xml:space="preserve"> </w:t>
            </w:r>
            <w:r>
              <w:rPr>
                <w:rFonts w:hint="default" w:ascii="Times New Roman" w:hAnsi="Times New Roman" w:cs="Times New Roman"/>
                <w:color w:val="auto"/>
                <w:sz w:val="24"/>
                <w:highlight w:val="none"/>
              </w:rPr>
              <w:t>由预测结果可知，正常工况下，经过合理布局，选用低噪声设备，减振、实体墙隔声和绿化衰减、距离衰减等措施后，项目生产设备噪声对厂界的噪声贡献值不大，昼间、夜间产生的噪声值可符合《工业企业厂界环境噪声排放标准》（GB12348-2008）3类标准要求（即昼间≤65dB(A)、夜间≤55dB(A)），本项目周边50m内无敏感点，不会对周围的声环境造成明显不良影响。</w:t>
            </w:r>
          </w:p>
          <w:p w14:paraId="49A8012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为了进一步降低生产过程中产生的噪声，尽量避免项目噪声对项目内员工及周围声环境产生不良影响，本环评建议采取如下措施为：</w:t>
            </w:r>
          </w:p>
          <w:p w14:paraId="4D424775">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①设备选低噪声设备，从根本上控制噪声的影响。</w:t>
            </w:r>
          </w:p>
          <w:p w14:paraId="02BC361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②根据厂区实际情况，对厂区各产生高噪声的设备进行合理布局，使同类高噪声的设备远离项目厂房边界和敏感点。项目将高噪声设备安排在厂房中部位置，增加距离衰减效果，减少噪音源向外传播。</w:t>
            </w:r>
          </w:p>
          <w:p w14:paraId="0974AB8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③对高噪声的机械设备设施进行减振处理，加强设备的维修保养，对噪声较大的设备设置减震弹簧、减震垫等减震措施。</w:t>
            </w:r>
          </w:p>
          <w:p w14:paraId="5BE4842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④定期对车间内设备进行检修，防止不良工况的故障噪声产生。</w:t>
            </w:r>
          </w:p>
          <w:p w14:paraId="68AF9D09">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以上措施处理后，项目厂界噪声满足《工业企业厂界环境噪声排放标准》(GB12348-2008)3类声环境功能区排放限值：昼间65dB（A）、夜间55dB（A），本项目周边50m内无敏感点，不会对周围的声环境造成明显不良影响。</w:t>
            </w:r>
          </w:p>
          <w:p w14:paraId="34284600">
            <w:pPr>
              <w:pStyle w:val="42"/>
              <w:spacing w:line="360" w:lineRule="auto"/>
              <w:ind w:firstLine="482" w:firstLineChars="20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（3）监测计划</w:t>
            </w:r>
          </w:p>
          <w:p w14:paraId="08123EC7">
            <w:pPr>
              <w:adjustRightInd w:val="0"/>
              <w:snapToGrid w:val="0"/>
              <w:spacing w:before="120" w:beforeLines="50" w:line="360" w:lineRule="auto"/>
              <w:ind w:firstLine="420" w:firstLineChars="200"/>
              <w:rPr>
                <w:rFonts w:hint="default" w:ascii="Times New Roman" w:hAnsi="Times New Roman" w:cs="Times New Roman"/>
                <w:color w:val="auto"/>
                <w:sz w:val="24"/>
                <w:highlight w:val="none"/>
              </w:rPr>
            </w:pPr>
            <w:r>
              <w:rPr>
                <w:rFonts w:hint="default" w:ascii="Times New Roman" w:hAnsi="Times New Roman" w:cs="Times New Roman"/>
                <w:color w:val="auto"/>
                <w:highlight w:val="none"/>
              </w:rPr>
              <w:t xml:space="preserve"> </w:t>
            </w:r>
            <w:r>
              <w:rPr>
                <w:rFonts w:hint="default" w:ascii="Times New Roman" w:hAnsi="Times New Roman" w:cs="Times New Roman"/>
                <w:color w:val="auto"/>
                <w:sz w:val="24"/>
                <w:highlight w:val="none"/>
              </w:rPr>
              <w:t xml:space="preserve"> 根据《排污单位自行监测技术指南 总则》（HJ819-2017），并结合项目运营期间污染物排放特点，制定本项目的污染源监测计划，建设单位需保证按监测计划实施。监测分析方法按照现行国家、部颁标准和有关规定执行。</w:t>
            </w:r>
          </w:p>
          <w:p w14:paraId="3EFF046D">
            <w:pPr>
              <w:adjustRightInd w:val="0"/>
              <w:snapToGrid w:val="0"/>
              <w:jc w:val="center"/>
              <w:rPr>
                <w:rFonts w:hint="default" w:ascii="Times New Roman" w:hAnsi="Times New Roman" w:cs="Times New Roman"/>
                <w:b/>
                <w:bCs/>
                <w:color w:val="auto"/>
                <w:sz w:val="24"/>
                <w:highlight w:val="none"/>
              </w:rPr>
            </w:pPr>
            <w:r>
              <w:rPr>
                <w:rFonts w:hint="default" w:ascii="Times New Roman" w:hAnsi="Times New Roman" w:cs="Times New Roman"/>
                <w:b/>
                <w:color w:val="auto"/>
                <w:sz w:val="24"/>
                <w:highlight w:val="none"/>
              </w:rPr>
              <w:t xml:space="preserve"> </w:t>
            </w:r>
            <w:r>
              <w:rPr>
                <w:rFonts w:hint="default" w:ascii="Times New Roman" w:hAnsi="Times New Roman" w:cs="Times New Roman"/>
                <w:b/>
                <w:bCs/>
                <w:color w:val="auto"/>
                <w:sz w:val="24"/>
                <w:highlight w:val="none"/>
              </w:rPr>
              <w:t>表4-12 噪声监测计划一览表</w:t>
            </w:r>
          </w:p>
          <w:tbl>
            <w:tblPr>
              <w:tblStyle w:val="26"/>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262"/>
              <w:gridCol w:w="1478"/>
              <w:gridCol w:w="1095"/>
              <w:gridCol w:w="1095"/>
              <w:gridCol w:w="3349"/>
            </w:tblGrid>
            <w:tr w14:paraId="2B71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844" w:type="dxa"/>
                  <w:vAlign w:val="center"/>
                </w:tcPr>
                <w:p w14:paraId="5859A2E9">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项目</w:t>
                  </w:r>
                </w:p>
              </w:tc>
              <w:tc>
                <w:tcPr>
                  <w:tcW w:w="1262" w:type="dxa"/>
                  <w:vAlign w:val="center"/>
                </w:tcPr>
                <w:p w14:paraId="01CBB245">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监测项目</w:t>
                  </w:r>
                </w:p>
              </w:tc>
              <w:tc>
                <w:tcPr>
                  <w:tcW w:w="1478" w:type="dxa"/>
                  <w:vAlign w:val="center"/>
                </w:tcPr>
                <w:p w14:paraId="7E82AA93">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监测因子</w:t>
                  </w:r>
                </w:p>
              </w:tc>
              <w:tc>
                <w:tcPr>
                  <w:tcW w:w="1095" w:type="dxa"/>
                  <w:vAlign w:val="center"/>
                </w:tcPr>
                <w:p w14:paraId="75D6BB5E">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监测点位</w:t>
                  </w:r>
                </w:p>
              </w:tc>
              <w:tc>
                <w:tcPr>
                  <w:tcW w:w="1095" w:type="dxa"/>
                  <w:vAlign w:val="center"/>
                </w:tcPr>
                <w:p w14:paraId="49DF008E">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监测频率</w:t>
                  </w:r>
                </w:p>
              </w:tc>
              <w:tc>
                <w:tcPr>
                  <w:tcW w:w="3349" w:type="dxa"/>
                  <w:vAlign w:val="center"/>
                </w:tcPr>
                <w:p w14:paraId="0B2527B9">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执行标准</w:t>
                  </w:r>
                </w:p>
              </w:tc>
            </w:tr>
            <w:tr w14:paraId="7185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4" w:type="dxa"/>
                  <w:vAlign w:val="center"/>
                </w:tcPr>
                <w:p w14:paraId="4017034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1262" w:type="dxa"/>
                  <w:vAlign w:val="center"/>
                </w:tcPr>
                <w:p w14:paraId="4DE55BC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厂界噪声</w:t>
                  </w:r>
                </w:p>
              </w:tc>
              <w:tc>
                <w:tcPr>
                  <w:tcW w:w="1478" w:type="dxa"/>
                  <w:vAlign w:val="center"/>
                </w:tcPr>
                <w:p w14:paraId="72FE1EAE">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昼间等效连续A声级Leq（A）</w:t>
                  </w:r>
                </w:p>
              </w:tc>
              <w:tc>
                <w:tcPr>
                  <w:tcW w:w="1095" w:type="dxa"/>
                  <w:vAlign w:val="center"/>
                </w:tcPr>
                <w:p w14:paraId="19EBE70F">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厂界外1m</w:t>
                  </w:r>
                </w:p>
              </w:tc>
              <w:tc>
                <w:tcPr>
                  <w:tcW w:w="1095" w:type="dxa"/>
                  <w:vAlign w:val="center"/>
                </w:tcPr>
                <w:p w14:paraId="0A0BE90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1次/季</w:t>
                  </w:r>
                </w:p>
              </w:tc>
              <w:tc>
                <w:tcPr>
                  <w:tcW w:w="3349" w:type="dxa"/>
                  <w:vAlign w:val="center"/>
                </w:tcPr>
                <w:p w14:paraId="05F70BA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厂界噪声排放执行《工业企业厂界环境噪声排放标准》（GB12348-2008）3类标准</w:t>
                  </w:r>
                </w:p>
              </w:tc>
            </w:tr>
          </w:tbl>
          <w:p w14:paraId="3C3F173D">
            <w:pPr>
              <w:adjustRightInd w:val="0"/>
              <w:snapToGrid w:val="0"/>
              <w:spacing w:line="360" w:lineRule="auto"/>
              <w:rPr>
                <w:rFonts w:hint="default" w:ascii="Times New Roman" w:hAnsi="Times New Roman" w:cs="Times New Roman"/>
                <w:color w:val="auto"/>
                <w:sz w:val="24"/>
                <w:highlight w:val="none"/>
              </w:rPr>
            </w:pPr>
          </w:p>
        </w:tc>
      </w:tr>
    </w:tbl>
    <w:p w14:paraId="40872391">
      <w:pPr>
        <w:adjustRightInd w:val="0"/>
        <w:snapToGrid w:val="0"/>
        <w:spacing w:line="360" w:lineRule="auto"/>
        <w:rPr>
          <w:rFonts w:hint="default" w:ascii="Times New Roman" w:hAnsi="Times New Roman" w:cs="Times New Roman"/>
          <w:b/>
          <w:color w:val="auto"/>
          <w:kern w:val="0"/>
          <w:sz w:val="28"/>
          <w:szCs w:val="28"/>
          <w:highlight w:val="none"/>
        </w:rPr>
        <w:sectPr>
          <w:pgSz w:w="11907" w:h="16840"/>
          <w:pgMar w:top="1134" w:right="1134" w:bottom="1134" w:left="1134" w:header="851" w:footer="851" w:gutter="0"/>
          <w:cols w:space="720" w:num="1"/>
          <w:docGrid w:linePitch="312" w:charSpace="0"/>
        </w:sectPr>
      </w:pPr>
    </w:p>
    <w:tbl>
      <w:tblPr>
        <w:tblStyle w:val="26"/>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17"/>
        <w:gridCol w:w="9265"/>
      </w:tblGrid>
      <w:tr w14:paraId="529DEE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2" w:hRule="atLeast"/>
          <w:jc w:val="center"/>
        </w:trPr>
        <w:tc>
          <w:tcPr>
            <w:tcW w:w="317" w:type="dxa"/>
            <w:tcMar>
              <w:left w:w="28" w:type="dxa"/>
              <w:right w:w="28" w:type="dxa"/>
            </w:tcMar>
            <w:vAlign w:val="center"/>
          </w:tcPr>
          <w:p w14:paraId="1B6C5B41">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运营</w:t>
            </w:r>
          </w:p>
          <w:p w14:paraId="26F57D7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期环</w:t>
            </w:r>
          </w:p>
          <w:p w14:paraId="32DB288E">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境影</w:t>
            </w:r>
          </w:p>
          <w:p w14:paraId="1CAF9FC3">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响和</w:t>
            </w:r>
          </w:p>
          <w:p w14:paraId="1890BCF5">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保护</w:t>
            </w:r>
          </w:p>
          <w:p w14:paraId="03ADB090">
            <w:pPr>
              <w:pStyle w:val="23"/>
              <w:adjustRightInd w:val="0"/>
              <w:snapToGrid w:val="0"/>
              <w:spacing w:before="0" w:beforeAutospacing="0" w:after="0" w:afterAutospacing="0"/>
              <w:jc w:val="center"/>
              <w:rPr>
                <w:rFonts w:hint="default" w:ascii="Times New Roman" w:hAnsi="Times New Roman" w:cs="Times New Roman"/>
                <w:bCs/>
                <w:color w:val="auto"/>
                <w:kern w:val="2"/>
                <w:sz w:val="21"/>
                <w:szCs w:val="21"/>
                <w:highlight w:val="none"/>
              </w:rPr>
            </w:pPr>
            <w:r>
              <w:rPr>
                <w:rFonts w:hint="default" w:ascii="Times New Roman" w:hAnsi="Times New Roman" w:cs="Times New Roman"/>
                <w:bCs/>
                <w:color w:val="auto"/>
                <w:szCs w:val="21"/>
                <w:highlight w:val="none"/>
              </w:rPr>
              <w:t>措施</w:t>
            </w:r>
          </w:p>
        </w:tc>
        <w:tc>
          <w:tcPr>
            <w:tcW w:w="9265" w:type="dxa"/>
            <w:vAlign w:val="center"/>
          </w:tcPr>
          <w:p w14:paraId="395B4893">
            <w:pPr>
              <w:pStyle w:val="4"/>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4、固体废物</w:t>
            </w:r>
          </w:p>
          <w:p w14:paraId="7DFBF515">
            <w:pPr>
              <w:widowControl/>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本项目固体废物为一般固体废物、危险废物。</w:t>
            </w:r>
          </w:p>
          <w:p w14:paraId="45F623FC">
            <w:pPr>
              <w:widowControl/>
              <w:spacing w:before="120" w:beforeLines="50" w:line="360" w:lineRule="auto"/>
              <w:ind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（1）一般固体废物</w:t>
            </w:r>
          </w:p>
          <w:p w14:paraId="0ECF500B">
            <w:pPr>
              <w:widowControl/>
              <w:spacing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①滤筒收集粉尘</w:t>
            </w:r>
          </w:p>
          <w:p w14:paraId="423E7323">
            <w:pPr>
              <w:widowControl/>
              <w:spacing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喷粉工序产生的粉尘部分被滤筒除尘装置捕集，根据前文分析可知，喷粉工序粉尘产生量为0.6t/a，废气收集效率为65%，滤筒除尘器的处理效率为95%，则喷粉工序被滤筒收集的粉尘量为0.37t/a，</w:t>
            </w:r>
            <w:r>
              <w:rPr>
                <w:rFonts w:hint="default" w:ascii="Times New Roman" w:hAnsi="Times New Roman" w:cs="Times New Roman"/>
                <w:color w:val="auto"/>
                <w:sz w:val="24"/>
                <w:highlight w:val="none"/>
              </w:rPr>
              <w:t>根据</w:t>
            </w:r>
            <w:r>
              <w:rPr>
                <w:rFonts w:hint="default" w:ascii="Times New Roman" w:hAnsi="Times New Roman" w:cs="Times New Roman"/>
                <w:color w:val="auto"/>
                <w:kern w:val="0"/>
                <w:sz w:val="24"/>
                <w:highlight w:val="none"/>
              </w:rPr>
              <w:t>《固体废物分类与代码目录》（生态环境部公告2024年第4号），其分类代码为SW17可再生类废物900-099-S17，作为</w:t>
            </w:r>
            <w:r>
              <w:rPr>
                <w:rFonts w:hint="default" w:ascii="Times New Roman" w:hAnsi="Times New Roman" w:cs="Times New Roman"/>
                <w:color w:val="auto"/>
                <w:sz w:val="24"/>
                <w:highlight w:val="none"/>
              </w:rPr>
              <w:t>原料回用生产，不外排。</w:t>
            </w:r>
          </w:p>
          <w:p w14:paraId="70D3E7F1">
            <w:pPr>
              <w:pStyle w:val="8"/>
              <w:ind w:firstLine="482" w:firstLineChars="20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（2）危险废物</w:t>
            </w:r>
          </w:p>
          <w:p w14:paraId="0C760DC7">
            <w:pPr>
              <w:widowControl/>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①废漆渣</w:t>
            </w:r>
          </w:p>
          <w:p w14:paraId="27FB3D46">
            <w:pPr>
              <w:widowControl/>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本项目喷漆过程中产生的漆雾（颗粒物）</w:t>
            </w:r>
            <w:r>
              <w:rPr>
                <w:rFonts w:hint="default" w:ascii="Times New Roman" w:hAnsi="Times New Roman" w:cs="Times New Roman"/>
                <w:color w:val="auto"/>
                <w:kern w:val="0"/>
                <w:sz w:val="24"/>
                <w:highlight w:val="none"/>
                <w:lang w:val="en-US" w:eastAsia="zh-CN"/>
              </w:rPr>
              <w:t>1.32</w:t>
            </w:r>
            <w:r>
              <w:rPr>
                <w:rFonts w:hint="default" w:ascii="Times New Roman" w:hAnsi="Times New Roman" w:cs="Times New Roman"/>
                <w:color w:val="auto"/>
                <w:kern w:val="0"/>
                <w:sz w:val="24"/>
                <w:highlight w:val="none"/>
              </w:rPr>
              <w:t>t/a，根据上文分析，本项目拟采用水帘柜</w:t>
            </w:r>
            <w:r>
              <w:rPr>
                <w:rFonts w:hint="default" w:ascii="Times New Roman" w:hAnsi="Times New Roman" w:cs="Times New Roman"/>
                <w:color w:val="auto"/>
                <w:sz w:val="24"/>
                <w:highlight w:val="none"/>
              </w:rPr>
              <w:t>+除雾</w:t>
            </w:r>
            <w:r>
              <w:rPr>
                <w:rFonts w:hint="default" w:ascii="Times New Roman" w:hAnsi="Times New Roman" w:cs="Times New Roman"/>
                <w:color w:val="auto"/>
                <w:kern w:val="0"/>
                <w:sz w:val="24"/>
                <w:highlight w:val="none"/>
              </w:rPr>
              <w:t>处理漆雾，漆雾收集效率为</w:t>
            </w:r>
            <w:r>
              <w:rPr>
                <w:rFonts w:hint="default" w:ascii="Times New Roman" w:hAnsi="Times New Roman" w:cs="Times New Roman"/>
                <w:color w:val="auto"/>
                <w:kern w:val="0"/>
                <w:sz w:val="24"/>
                <w:highlight w:val="none"/>
                <w:lang w:val="en-US" w:eastAsia="zh-CN"/>
              </w:rPr>
              <w:t>90</w:t>
            </w:r>
            <w:r>
              <w:rPr>
                <w:rFonts w:hint="default" w:ascii="Times New Roman" w:hAnsi="Times New Roman" w:cs="Times New Roman"/>
                <w:color w:val="auto"/>
                <w:kern w:val="0"/>
                <w:sz w:val="24"/>
                <w:highlight w:val="none"/>
              </w:rPr>
              <w:t>%，水帘柜处理颗粒物的效率为95%，则收集的废漆渣量为</w:t>
            </w:r>
            <w:r>
              <w:rPr>
                <w:rFonts w:hint="default" w:ascii="Times New Roman" w:hAnsi="Times New Roman" w:cs="Times New Roman"/>
                <w:color w:val="auto"/>
                <w:kern w:val="0"/>
                <w:sz w:val="24"/>
                <w:highlight w:val="none"/>
                <w:lang w:val="en-US" w:eastAsia="zh-CN"/>
              </w:rPr>
              <w:t>1.129</w:t>
            </w:r>
            <w:r>
              <w:rPr>
                <w:rFonts w:hint="default" w:ascii="Times New Roman" w:hAnsi="Times New Roman" w:cs="Times New Roman"/>
                <w:color w:val="auto"/>
                <w:kern w:val="0"/>
                <w:sz w:val="24"/>
                <w:highlight w:val="none"/>
              </w:rPr>
              <w:t>t/a。该类废物属于《国家危险废物名录》（2025年版）规定的危险废物（类别为HW12染料、涂料废物，代码900-252-12），暂存于危废暂存间内，定期交由有资质单位进行处理处置。</w:t>
            </w:r>
          </w:p>
          <w:p w14:paraId="6C6A5FD3">
            <w:pPr>
              <w:pStyle w:val="42"/>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kern w:val="0"/>
                <w:highlight w:val="none"/>
              </w:rPr>
              <w:t>②</w:t>
            </w:r>
            <w:r>
              <w:rPr>
                <w:rFonts w:hint="default" w:ascii="Times New Roman" w:hAnsi="Times New Roman" w:cs="Times New Roman"/>
                <w:color w:val="auto"/>
                <w:highlight w:val="none"/>
              </w:rPr>
              <w:t>水帘柜废水</w:t>
            </w:r>
          </w:p>
          <w:p w14:paraId="47EB00BC">
            <w:pPr>
              <w:widowControl/>
              <w:spacing w:before="120" w:beforeLines="50" w:line="360" w:lineRule="auto"/>
              <w:ind w:firstLine="440" w:firstLineChars="200"/>
              <w:jc w:val="left"/>
              <w:rPr>
                <w:rFonts w:hint="default" w:ascii="Times New Roman" w:hAnsi="Times New Roman" w:cs="Times New Roman"/>
                <w:color w:val="auto"/>
                <w:sz w:val="24"/>
                <w:highlight w:val="none"/>
              </w:rPr>
            </w:pPr>
            <w:r>
              <w:rPr>
                <w:rFonts w:hint="default" w:ascii="Times New Roman" w:hAnsi="Times New Roman" w:cs="Times New Roman"/>
                <w:bCs/>
                <w:color w:val="auto"/>
                <w:spacing w:val="-10"/>
                <w:sz w:val="24"/>
                <w:highlight w:val="none"/>
              </w:rPr>
              <w:t>本项目设置1个水帘柜，水帘柜的尺寸为长2.5m×宽2.5m，有效水深均为0.3m，则水帘柜总有效容积为1.875 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，该部分水循环使用，水帘柜用水每季度更换一次，每次更换废水产生量约为1.875m</w:t>
            </w:r>
            <w:r>
              <w:rPr>
                <w:rFonts w:hint="default" w:ascii="Times New Roman" w:hAnsi="Times New Roman" w:cs="Times New Roman"/>
                <w:bCs/>
                <w:color w:val="auto"/>
                <w:spacing w:val="-10"/>
                <w:sz w:val="24"/>
                <w:highlight w:val="none"/>
                <w:vertAlign w:val="superscript"/>
              </w:rPr>
              <w:t>3</w:t>
            </w:r>
            <w:r>
              <w:rPr>
                <w:rFonts w:hint="default" w:ascii="Times New Roman" w:hAnsi="Times New Roman" w:cs="Times New Roman"/>
                <w:bCs/>
                <w:color w:val="auto"/>
                <w:spacing w:val="-10"/>
                <w:sz w:val="24"/>
                <w:highlight w:val="none"/>
              </w:rPr>
              <w:t>（水箱容积），则更换的废水年产生量为7.5t/a。</w:t>
            </w:r>
            <w:r>
              <w:rPr>
                <w:rFonts w:hint="default" w:ascii="Times New Roman" w:hAnsi="Times New Roman" w:cs="Times New Roman"/>
                <w:color w:val="auto"/>
                <w:kern w:val="0"/>
                <w:sz w:val="24"/>
                <w:highlight w:val="none"/>
              </w:rPr>
              <w:t>水帘柜废水属于《国家危险废物名录》（2025年版）规定的危险废物（类别为HW12染料、涂料废物，代码900-252-12），</w:t>
            </w:r>
            <w:r>
              <w:rPr>
                <w:rFonts w:hint="default" w:ascii="Times New Roman" w:hAnsi="Times New Roman" w:cs="Times New Roman"/>
                <w:bCs/>
                <w:color w:val="auto"/>
                <w:spacing w:val="-10"/>
                <w:sz w:val="24"/>
                <w:highlight w:val="none"/>
              </w:rPr>
              <w:t>采用塑料桶收集后</w:t>
            </w:r>
            <w:r>
              <w:rPr>
                <w:rFonts w:hint="default" w:ascii="Times New Roman" w:hAnsi="Times New Roman" w:cs="Times New Roman"/>
                <w:color w:val="auto"/>
                <w:kern w:val="0"/>
                <w:sz w:val="24"/>
                <w:highlight w:val="none"/>
              </w:rPr>
              <w:t>暂存于危废暂存间内，定期交由有资质单位进行处理处置。</w:t>
            </w:r>
          </w:p>
          <w:p w14:paraId="1D881978">
            <w:pPr>
              <w:widowControl/>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③废活性炭及其吸附物</w:t>
            </w:r>
          </w:p>
          <w:p w14:paraId="0945DD06">
            <w:pPr>
              <w:widowControl/>
              <w:spacing w:before="120" w:beforeLines="50"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项目生产过程会产生有机废气，采用“二级活性炭吸附装置”进行处理，活性炭吸附饱和后需整体更换，更换出来的废活性炭为VOCs治理过程中产生的废活性炭，属于《国家危险废物名录》（2025年版）规定的危险废物（类别为HW49其他废物，代码900-039-49）。根据前文分析，本项目喷涂、洗枪、风干、烘烤工序VOCs收集量为</w:t>
            </w:r>
            <w:r>
              <w:rPr>
                <w:rFonts w:hint="default" w:ascii="Times New Roman" w:hAnsi="Times New Roman" w:cs="Times New Roman"/>
                <w:color w:val="auto"/>
                <w:kern w:val="0"/>
                <w:sz w:val="24"/>
                <w:highlight w:val="none"/>
                <w:lang w:val="en-US" w:eastAsia="zh-CN"/>
              </w:rPr>
              <w:t>1.468</w:t>
            </w:r>
            <w:r>
              <w:rPr>
                <w:rFonts w:hint="default" w:ascii="Times New Roman" w:hAnsi="Times New Roman" w:cs="Times New Roman"/>
                <w:color w:val="auto"/>
                <w:kern w:val="0"/>
                <w:sz w:val="24"/>
                <w:highlight w:val="none"/>
              </w:rPr>
              <w:t>t/a（</w:t>
            </w:r>
            <w:r>
              <w:rPr>
                <w:rFonts w:hint="default" w:ascii="Times New Roman" w:hAnsi="Times New Roman" w:cs="Times New Roman"/>
                <w:color w:val="auto"/>
                <w:kern w:val="0"/>
                <w:sz w:val="24"/>
                <w:highlight w:val="none"/>
                <w:lang w:val="en-US" w:eastAsia="zh-CN"/>
              </w:rPr>
              <w:t>1.239</w:t>
            </w:r>
            <w:r>
              <w:rPr>
                <w:rFonts w:hint="default" w:ascii="Times New Roman" w:hAnsi="Times New Roman" w:cs="Times New Roman"/>
                <w:color w:val="auto"/>
                <w:kern w:val="0"/>
                <w:sz w:val="24"/>
                <w:highlight w:val="none"/>
              </w:rPr>
              <w:t>+0.00</w:t>
            </w:r>
            <w:r>
              <w:rPr>
                <w:rFonts w:hint="default" w:ascii="Times New Roman" w:hAnsi="Times New Roman" w:cs="Times New Roman"/>
                <w:color w:val="auto"/>
                <w:kern w:val="0"/>
                <w:sz w:val="24"/>
                <w:highlight w:val="none"/>
                <w:lang w:val="en-US" w:eastAsia="zh-CN"/>
              </w:rPr>
              <w:t>8</w:t>
            </w:r>
            <w:r>
              <w:rPr>
                <w:rFonts w:hint="default" w:ascii="Times New Roman" w:hAnsi="Times New Roman" w:cs="Times New Roman"/>
                <w:color w:val="auto"/>
                <w:kern w:val="0"/>
                <w:sz w:val="24"/>
                <w:highlight w:val="none"/>
              </w:rPr>
              <w:t>+0.2</w:t>
            </w:r>
            <w:r>
              <w:rPr>
                <w:rFonts w:hint="default" w:ascii="Times New Roman" w:hAnsi="Times New Roman" w:cs="Times New Roman"/>
                <w:color w:val="auto"/>
                <w:kern w:val="0"/>
                <w:sz w:val="24"/>
                <w:highlight w:val="none"/>
                <w:lang w:val="en-US" w:eastAsia="zh-CN"/>
              </w:rPr>
              <w:t>19</w:t>
            </w:r>
            <w:r>
              <w:rPr>
                <w:rFonts w:hint="default" w:ascii="Times New Roman" w:hAnsi="Times New Roman" w:cs="Times New Roman"/>
                <w:color w:val="auto"/>
                <w:kern w:val="0"/>
                <w:sz w:val="24"/>
                <w:highlight w:val="none"/>
              </w:rPr>
              <w:t>+0.002=</w:t>
            </w:r>
            <w:r>
              <w:rPr>
                <w:rFonts w:hint="default" w:ascii="Times New Roman" w:hAnsi="Times New Roman" w:cs="Times New Roman"/>
                <w:color w:val="auto"/>
                <w:kern w:val="0"/>
                <w:sz w:val="24"/>
                <w:highlight w:val="none"/>
                <w:lang w:val="en-US" w:eastAsia="zh-CN"/>
              </w:rPr>
              <w:t>1.468</w:t>
            </w:r>
            <w:r>
              <w:rPr>
                <w:rFonts w:hint="default" w:ascii="Times New Roman" w:hAnsi="Times New Roman" w:cs="Times New Roman"/>
                <w:color w:val="auto"/>
                <w:kern w:val="0"/>
                <w:sz w:val="24"/>
                <w:highlight w:val="none"/>
              </w:rPr>
              <w:t>），二级活性炭吸附处理效率按8</w:t>
            </w:r>
            <w:r>
              <w:rPr>
                <w:rFonts w:hint="default" w:ascii="Times New Roman" w:hAnsi="Times New Roman" w:cs="Times New Roman"/>
                <w:color w:val="auto"/>
                <w:kern w:val="0"/>
                <w:sz w:val="24"/>
                <w:highlight w:val="none"/>
                <w:lang w:val="en-US" w:eastAsia="zh-CN"/>
              </w:rPr>
              <w:t>7.75</w:t>
            </w:r>
            <w:r>
              <w:rPr>
                <w:rFonts w:hint="default" w:ascii="Times New Roman" w:hAnsi="Times New Roman" w:cs="Times New Roman"/>
                <w:color w:val="auto"/>
                <w:kern w:val="0"/>
                <w:sz w:val="24"/>
                <w:highlight w:val="none"/>
              </w:rPr>
              <w:t>%计，则活性炭吸附工艺吸附挥发性有机物的量为</w:t>
            </w:r>
            <w:r>
              <w:rPr>
                <w:rFonts w:hint="default" w:ascii="Times New Roman" w:hAnsi="Times New Roman" w:cs="Times New Roman"/>
                <w:color w:val="auto"/>
                <w:kern w:val="0"/>
                <w:sz w:val="24"/>
                <w:highlight w:val="none"/>
                <w:lang w:val="en-US" w:eastAsia="zh-CN"/>
              </w:rPr>
              <w:t>1.288</w:t>
            </w:r>
            <w:r>
              <w:rPr>
                <w:rFonts w:hint="default" w:ascii="Times New Roman" w:hAnsi="Times New Roman" w:cs="Times New Roman"/>
                <w:color w:val="auto"/>
                <w:kern w:val="0"/>
                <w:sz w:val="24"/>
                <w:highlight w:val="none"/>
              </w:rPr>
              <w:t>t/a。根据《韶关市环境保护局关于为进一步明确排放VOCs企业筛查及初步核算方法的通知》（韶环函[2019]10 号），每100kg活性炭吸吸收30kgVOCs 计算，则本项目需活性炭</w:t>
            </w:r>
            <w:r>
              <w:rPr>
                <w:rFonts w:hint="default" w:ascii="Times New Roman" w:hAnsi="Times New Roman" w:cs="Times New Roman"/>
                <w:color w:val="auto"/>
                <w:kern w:val="0"/>
                <w:sz w:val="24"/>
                <w:highlight w:val="none"/>
                <w:lang w:val="en-US" w:eastAsia="zh-CN"/>
              </w:rPr>
              <w:t>4.294</w:t>
            </w:r>
            <w:r>
              <w:rPr>
                <w:rFonts w:hint="default" w:ascii="Times New Roman" w:hAnsi="Times New Roman" w:cs="Times New Roman"/>
                <w:color w:val="auto"/>
                <w:kern w:val="0"/>
                <w:sz w:val="24"/>
                <w:highlight w:val="none"/>
              </w:rPr>
              <w:t>t/a。则废活性炭及其吸附物为</w:t>
            </w:r>
            <w:r>
              <w:rPr>
                <w:rFonts w:hint="default" w:ascii="Times New Roman" w:hAnsi="Times New Roman" w:cs="Times New Roman"/>
                <w:color w:val="auto"/>
                <w:kern w:val="0"/>
                <w:sz w:val="24"/>
                <w:highlight w:val="none"/>
                <w:lang w:val="en-US" w:eastAsia="zh-CN"/>
              </w:rPr>
              <w:t>5.582</w:t>
            </w:r>
            <w:r>
              <w:rPr>
                <w:rFonts w:hint="default" w:ascii="Times New Roman" w:hAnsi="Times New Roman" w:cs="Times New Roman"/>
                <w:color w:val="auto"/>
                <w:kern w:val="0"/>
                <w:sz w:val="24"/>
                <w:highlight w:val="none"/>
              </w:rPr>
              <w:t>t/a，收集后暂存于危废间，定期交由有资质单处理处置。</w:t>
            </w:r>
          </w:p>
          <w:p w14:paraId="583CED25">
            <w:pPr>
              <w:widowControl/>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④粉末喷涂废滤芯、废喷粉</w:t>
            </w:r>
          </w:p>
          <w:p w14:paraId="34628699">
            <w:pPr>
              <w:widowControl/>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建设单位对</w:t>
            </w:r>
            <w:r>
              <w:rPr>
                <w:rFonts w:hint="default" w:ascii="Times New Roman" w:hAnsi="Times New Roman" w:cs="Times New Roman"/>
                <w:bCs/>
                <w:color w:val="auto"/>
                <w:sz w:val="24"/>
                <w:highlight w:val="none"/>
              </w:rPr>
              <w:t>喷粉采用滤筒式除尘器回收粉末喷涂产生的粉尘，回收的粉尘收集后回用生产不外排。随着滤芯的使用，可能会发生滤芯穿孔、破损、板结等情况，此时需对滤芯进行更换。根据生产经验，每个喷粉柜的滤筒式除尘器安装6个滤芯，共3个喷粉柜，共安装有18个滤芯，平均每两年更换一次滤芯，则每年需更换9个滤芯，每个滤芯重约2.5kg，则年产生的废滤芯约0.023t，喷粉工序未被收集的喷粉约85%在车间内沉降</w:t>
            </w:r>
            <w:r>
              <w:rPr>
                <w:rFonts w:hint="default" w:ascii="Times New Roman" w:hAnsi="Times New Roman" w:cs="Times New Roman"/>
                <w:color w:val="auto"/>
                <w:kern w:val="0"/>
                <w:sz w:val="24"/>
                <w:highlight w:val="none"/>
              </w:rPr>
              <w:t>，被建设单位清扫收集，经计算废喷粉收集量为0.179t/a（0.6*0.35*0.85=0.179），则粉末喷涂废滤芯、废喷粉合计0.202t/a（0.179+0.023=0.202）。</w:t>
            </w:r>
            <w:r>
              <w:rPr>
                <w:rFonts w:hint="default" w:ascii="Times New Roman" w:hAnsi="Times New Roman" w:cs="Times New Roman"/>
                <w:bCs/>
                <w:color w:val="auto"/>
                <w:sz w:val="24"/>
                <w:highlight w:val="none"/>
              </w:rPr>
              <w:t>换下来的废滤芯沾染废树脂粉末属于《国家危险废物名录》（2025年）中的危险废物（HW49 危废代码900-041-49）</w:t>
            </w:r>
            <w:r>
              <w:rPr>
                <w:rFonts w:hint="default" w:ascii="Times New Roman" w:hAnsi="Times New Roman" w:cs="Times New Roman"/>
                <w:color w:val="auto"/>
                <w:kern w:val="0"/>
                <w:sz w:val="24"/>
                <w:highlight w:val="none"/>
              </w:rPr>
              <w:t>，废喷粉属于</w:t>
            </w:r>
            <w:r>
              <w:rPr>
                <w:rFonts w:hint="default" w:ascii="Times New Roman" w:hAnsi="Times New Roman" w:cs="Times New Roman"/>
                <w:bCs/>
                <w:color w:val="auto"/>
                <w:sz w:val="24"/>
                <w:highlight w:val="none"/>
              </w:rPr>
              <w:t>《国家危险废物名录》（2025年）中的危险废物（HW12 危废代码</w:t>
            </w:r>
            <w:r>
              <w:rPr>
                <w:rFonts w:hint="default" w:ascii="Times New Roman" w:hAnsi="Times New Roman" w:cs="Times New Roman"/>
                <w:color w:val="auto"/>
                <w:kern w:val="0"/>
                <w:sz w:val="24"/>
                <w:highlight w:val="none"/>
              </w:rPr>
              <w:t>900-299-12</w:t>
            </w:r>
            <w:r>
              <w:rPr>
                <w:rFonts w:hint="default" w:ascii="Times New Roman" w:hAnsi="Times New Roman" w:cs="Times New Roman"/>
                <w:bCs/>
                <w:color w:val="auto"/>
                <w:sz w:val="24"/>
                <w:highlight w:val="none"/>
              </w:rPr>
              <w:t>），均</w:t>
            </w:r>
            <w:r>
              <w:rPr>
                <w:rFonts w:hint="default" w:ascii="Times New Roman" w:hAnsi="Times New Roman" w:cs="Times New Roman"/>
                <w:color w:val="auto"/>
                <w:kern w:val="0"/>
                <w:sz w:val="24"/>
                <w:highlight w:val="none"/>
              </w:rPr>
              <w:t>收集后交由有资质单位处理。</w:t>
            </w:r>
          </w:p>
          <w:p w14:paraId="42D27379">
            <w:pPr>
              <w:widowControl/>
              <w:spacing w:before="120" w:beforeLines="50"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⑤废原料桶</w:t>
            </w:r>
          </w:p>
          <w:p w14:paraId="1EA4C545">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项目产品生产过程中使用油漆、稀释剂等原材料后会有废原料桶产生，具体产生情况见下表。废原料桶属于《国家危险废物名录》（2025 年版）规定的危险废物（类别为HW49其他废物，代码900-041-49），收集后暂存于危废间，定期交由有资质单位处理处置。</w:t>
            </w:r>
          </w:p>
          <w:p w14:paraId="3230B984">
            <w:pPr>
              <w:adjustRightInd w:val="0"/>
              <w:snapToGrid w:val="0"/>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表4-13  项目废原料桶产生情况一览表</w:t>
            </w:r>
          </w:p>
          <w:tbl>
            <w:tblPr>
              <w:tblStyle w:val="26"/>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125"/>
              <w:gridCol w:w="990"/>
              <w:gridCol w:w="1230"/>
              <w:gridCol w:w="1590"/>
              <w:gridCol w:w="1620"/>
              <w:gridCol w:w="1861"/>
            </w:tblGrid>
            <w:tr w14:paraId="7B53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97" w:type="dxa"/>
                  <w:vAlign w:val="center"/>
                </w:tcPr>
                <w:p w14:paraId="1249C171">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1125" w:type="dxa"/>
                  <w:vAlign w:val="center"/>
                </w:tcPr>
                <w:p w14:paraId="328EC047">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原料名称</w:t>
                  </w:r>
                </w:p>
              </w:tc>
              <w:tc>
                <w:tcPr>
                  <w:tcW w:w="990" w:type="dxa"/>
                  <w:vAlign w:val="center"/>
                </w:tcPr>
                <w:p w14:paraId="29732E6C">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用量</w:t>
                  </w:r>
                </w:p>
              </w:tc>
              <w:tc>
                <w:tcPr>
                  <w:tcW w:w="1230" w:type="dxa"/>
                  <w:vAlign w:val="center"/>
                </w:tcPr>
                <w:p w14:paraId="42C8BBC7">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包装方式</w:t>
                  </w:r>
                </w:p>
              </w:tc>
              <w:tc>
                <w:tcPr>
                  <w:tcW w:w="1590" w:type="dxa"/>
                  <w:vAlign w:val="center"/>
                </w:tcPr>
                <w:p w14:paraId="29D89344">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包装物总用量</w:t>
                  </w:r>
                </w:p>
              </w:tc>
              <w:tc>
                <w:tcPr>
                  <w:tcW w:w="1620" w:type="dxa"/>
                  <w:vAlign w:val="center"/>
                </w:tcPr>
                <w:p w14:paraId="7496669A">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单个包装物重</w:t>
                  </w:r>
                </w:p>
              </w:tc>
              <w:tc>
                <w:tcPr>
                  <w:tcW w:w="1861" w:type="dxa"/>
                  <w:vAlign w:val="center"/>
                </w:tcPr>
                <w:p w14:paraId="48EB060D">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包装物总重</w:t>
                  </w:r>
                </w:p>
              </w:tc>
            </w:tr>
            <w:tr w14:paraId="61D3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vAlign w:val="center"/>
                </w:tcPr>
                <w:p w14:paraId="5DDD4DB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125" w:type="dxa"/>
                  <w:vAlign w:val="center"/>
                </w:tcPr>
                <w:p w14:paraId="0DFB1A7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耐高温漆</w:t>
                  </w:r>
                </w:p>
              </w:tc>
              <w:tc>
                <w:tcPr>
                  <w:tcW w:w="990" w:type="dxa"/>
                  <w:vAlign w:val="center"/>
                </w:tcPr>
                <w:p w14:paraId="7532BE1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3.9</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6t/a</w:t>
                  </w:r>
                </w:p>
              </w:tc>
              <w:tc>
                <w:tcPr>
                  <w:tcW w:w="1230" w:type="dxa"/>
                  <w:vAlign w:val="center"/>
                </w:tcPr>
                <w:p w14:paraId="36B34C0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25kg/桶</w:t>
                  </w:r>
                </w:p>
              </w:tc>
              <w:tc>
                <w:tcPr>
                  <w:tcW w:w="1590" w:type="dxa"/>
                  <w:vAlign w:val="center"/>
                </w:tcPr>
                <w:p w14:paraId="17796485">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159</w:t>
                  </w:r>
                  <w:r>
                    <w:rPr>
                      <w:rFonts w:hint="default" w:ascii="Times New Roman" w:hAnsi="Times New Roman" w:cs="Times New Roman"/>
                      <w:color w:val="auto"/>
                      <w:szCs w:val="21"/>
                      <w:highlight w:val="none"/>
                    </w:rPr>
                    <w:t>桶</w:t>
                  </w:r>
                </w:p>
              </w:tc>
              <w:tc>
                <w:tcPr>
                  <w:tcW w:w="1620" w:type="dxa"/>
                  <w:vAlign w:val="center"/>
                </w:tcPr>
                <w:p w14:paraId="2711F4F8">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1.3kg</w:t>
                  </w:r>
                </w:p>
              </w:tc>
              <w:tc>
                <w:tcPr>
                  <w:tcW w:w="1861" w:type="dxa"/>
                  <w:vAlign w:val="center"/>
                </w:tcPr>
                <w:p w14:paraId="76EF9FD6">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0.207t/a</w:t>
                  </w:r>
                </w:p>
              </w:tc>
            </w:tr>
            <w:tr w14:paraId="63C3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97" w:type="dxa"/>
                  <w:vAlign w:val="center"/>
                </w:tcPr>
                <w:p w14:paraId="17972E7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1125" w:type="dxa"/>
                  <w:vAlign w:val="center"/>
                </w:tcPr>
                <w:p w14:paraId="1DDF251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稀释剂</w:t>
                  </w:r>
                </w:p>
              </w:tc>
              <w:tc>
                <w:tcPr>
                  <w:tcW w:w="990" w:type="dxa"/>
                  <w:vAlign w:val="center"/>
                </w:tcPr>
                <w:p w14:paraId="149F89C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r>
                    <w:rPr>
                      <w:rFonts w:hint="default" w:ascii="Times New Roman" w:hAnsi="Times New Roman" w:cs="Times New Roman"/>
                      <w:color w:val="auto"/>
                      <w:szCs w:val="21"/>
                      <w:highlight w:val="none"/>
                      <w:lang w:val="en-US" w:eastAsia="zh-CN"/>
                    </w:rPr>
                    <w:t>984</w:t>
                  </w:r>
                  <w:r>
                    <w:rPr>
                      <w:rFonts w:hint="default" w:ascii="Times New Roman" w:hAnsi="Times New Roman" w:cs="Times New Roman"/>
                      <w:color w:val="auto"/>
                      <w:szCs w:val="21"/>
                      <w:highlight w:val="none"/>
                    </w:rPr>
                    <w:t>t/a</w:t>
                  </w:r>
                </w:p>
              </w:tc>
              <w:tc>
                <w:tcPr>
                  <w:tcW w:w="1230" w:type="dxa"/>
                  <w:vAlign w:val="center"/>
                </w:tcPr>
                <w:p w14:paraId="477457C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20kg/桶</w:t>
                  </w:r>
                </w:p>
              </w:tc>
              <w:tc>
                <w:tcPr>
                  <w:tcW w:w="1590" w:type="dxa"/>
                  <w:vAlign w:val="center"/>
                </w:tcPr>
                <w:p w14:paraId="55583CA4">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50</w:t>
                  </w:r>
                  <w:r>
                    <w:rPr>
                      <w:rFonts w:hint="default" w:ascii="Times New Roman" w:hAnsi="Times New Roman" w:cs="Times New Roman"/>
                      <w:color w:val="auto"/>
                      <w:szCs w:val="21"/>
                      <w:highlight w:val="none"/>
                    </w:rPr>
                    <w:t>桶</w:t>
                  </w:r>
                </w:p>
              </w:tc>
              <w:tc>
                <w:tcPr>
                  <w:tcW w:w="1620" w:type="dxa"/>
                  <w:vAlign w:val="center"/>
                </w:tcPr>
                <w:p w14:paraId="351B472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1.0</w:t>
                  </w:r>
                  <w:r>
                    <w:rPr>
                      <w:rFonts w:hint="default" w:ascii="Times New Roman" w:hAnsi="Times New Roman" w:cs="Times New Roman"/>
                      <w:color w:val="auto"/>
                      <w:szCs w:val="21"/>
                      <w:highlight w:val="none"/>
                    </w:rPr>
                    <w:t>kg</w:t>
                  </w:r>
                </w:p>
              </w:tc>
              <w:tc>
                <w:tcPr>
                  <w:tcW w:w="1861" w:type="dxa"/>
                  <w:vAlign w:val="center"/>
                </w:tcPr>
                <w:p w14:paraId="728497E0">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0.0</w:t>
                  </w:r>
                  <w:r>
                    <w:rPr>
                      <w:rFonts w:hint="default" w:ascii="Times New Roman" w:hAnsi="Times New Roman" w:cs="Times New Roman"/>
                      <w:color w:val="auto"/>
                      <w:kern w:val="0"/>
                      <w:szCs w:val="21"/>
                      <w:highlight w:val="none"/>
                      <w:lang w:val="en-US" w:eastAsia="zh-CN" w:bidi="ar"/>
                    </w:rPr>
                    <w:t>5</w:t>
                  </w:r>
                  <w:r>
                    <w:rPr>
                      <w:rFonts w:hint="default" w:ascii="Times New Roman" w:hAnsi="Times New Roman" w:cs="Times New Roman"/>
                      <w:color w:val="auto"/>
                      <w:kern w:val="0"/>
                      <w:szCs w:val="21"/>
                      <w:highlight w:val="none"/>
                      <w:lang w:bidi="ar"/>
                    </w:rPr>
                    <w:t>t/a</w:t>
                  </w:r>
                </w:p>
              </w:tc>
            </w:tr>
            <w:tr w14:paraId="788E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2" w:type="dxa"/>
                  <w:gridSpan w:val="6"/>
                  <w:vAlign w:val="center"/>
                </w:tcPr>
                <w:p w14:paraId="574F47CC">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1861" w:type="dxa"/>
                  <w:vAlign w:val="center"/>
                </w:tcPr>
                <w:p w14:paraId="17823095">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 w:val="22"/>
                      <w:szCs w:val="22"/>
                      <w:highlight w:val="none"/>
                      <w:lang w:bidi="ar"/>
                    </w:rPr>
                    <w:t>0.2</w:t>
                  </w:r>
                  <w:r>
                    <w:rPr>
                      <w:rFonts w:hint="default" w:ascii="Times New Roman" w:hAnsi="Times New Roman" w:cs="Times New Roman"/>
                      <w:color w:val="auto"/>
                      <w:kern w:val="0"/>
                      <w:sz w:val="22"/>
                      <w:szCs w:val="22"/>
                      <w:highlight w:val="none"/>
                      <w:lang w:val="en-US" w:eastAsia="zh-CN" w:bidi="ar"/>
                    </w:rPr>
                    <w:t>5</w:t>
                  </w:r>
                  <w:r>
                    <w:rPr>
                      <w:rFonts w:hint="default" w:ascii="Times New Roman" w:hAnsi="Times New Roman" w:cs="Times New Roman"/>
                      <w:color w:val="auto"/>
                      <w:kern w:val="0"/>
                      <w:sz w:val="22"/>
                      <w:szCs w:val="22"/>
                      <w:highlight w:val="none"/>
                      <w:lang w:bidi="ar"/>
                    </w:rPr>
                    <w:t>7</w:t>
                  </w:r>
                  <w:r>
                    <w:rPr>
                      <w:rFonts w:hint="default" w:ascii="Times New Roman" w:hAnsi="Times New Roman" w:cs="Times New Roman"/>
                      <w:color w:val="auto"/>
                      <w:kern w:val="0"/>
                      <w:szCs w:val="21"/>
                      <w:highlight w:val="none"/>
                      <w:lang w:bidi="ar"/>
                    </w:rPr>
                    <w:t>t/a</w:t>
                  </w:r>
                </w:p>
              </w:tc>
            </w:tr>
          </w:tbl>
          <w:p w14:paraId="0E8EEFF7">
            <w:pPr>
              <w:pStyle w:val="8"/>
              <w:ind w:firstLine="482" w:firstLineChars="200"/>
              <w:rPr>
                <w:rFonts w:hint="default" w:ascii="Times New Roman" w:hAnsi="Times New Roman" w:cs="Times New Roman"/>
                <w:color w:val="auto"/>
                <w:highlight w:val="none"/>
              </w:rPr>
            </w:pPr>
            <w:r>
              <w:rPr>
                <w:rFonts w:hint="default" w:ascii="Times New Roman" w:hAnsi="Times New Roman" w:eastAsia="宋体" w:cs="Times New Roman"/>
                <w:b/>
                <w:bCs/>
                <w:color w:val="auto"/>
                <w:highlight w:val="none"/>
              </w:rPr>
              <w:t>本项目固体废物汇总如下表：</w:t>
            </w:r>
          </w:p>
          <w:p w14:paraId="1C98851D">
            <w:pPr>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表4-14 项目固体废物产排情况一览表</w:t>
            </w:r>
          </w:p>
          <w:tbl>
            <w:tblPr>
              <w:tblStyle w:val="26"/>
              <w:tblW w:w="9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1317"/>
              <w:gridCol w:w="1095"/>
              <w:gridCol w:w="679"/>
              <w:gridCol w:w="994"/>
              <w:gridCol w:w="765"/>
              <w:gridCol w:w="1368"/>
              <w:gridCol w:w="1512"/>
              <w:gridCol w:w="807"/>
            </w:tblGrid>
            <w:tr w14:paraId="4266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10" w:type="dxa"/>
                  <w:vAlign w:val="center"/>
                </w:tcPr>
                <w:p w14:paraId="22376DB9">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w:t>
                  </w:r>
                </w:p>
                <w:p w14:paraId="437910EC">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号</w:t>
                  </w:r>
                </w:p>
              </w:tc>
              <w:tc>
                <w:tcPr>
                  <w:tcW w:w="1317" w:type="dxa"/>
                  <w:vAlign w:val="center"/>
                </w:tcPr>
                <w:p w14:paraId="168B08DA">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名称</w:t>
                  </w:r>
                </w:p>
              </w:tc>
              <w:tc>
                <w:tcPr>
                  <w:tcW w:w="1095" w:type="dxa"/>
                  <w:vAlign w:val="center"/>
                </w:tcPr>
                <w:p w14:paraId="6EDF41E0">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属性</w:t>
                  </w:r>
                </w:p>
              </w:tc>
              <w:tc>
                <w:tcPr>
                  <w:tcW w:w="679" w:type="dxa"/>
                  <w:vAlign w:val="center"/>
                </w:tcPr>
                <w:p w14:paraId="05EF0E70">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物理</w:t>
                  </w:r>
                </w:p>
                <w:p w14:paraId="3F098D12">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性状</w:t>
                  </w:r>
                </w:p>
              </w:tc>
              <w:tc>
                <w:tcPr>
                  <w:tcW w:w="994" w:type="dxa"/>
                  <w:vAlign w:val="center"/>
                </w:tcPr>
                <w:p w14:paraId="6C75AFB9">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产生量t/a</w:t>
                  </w:r>
                </w:p>
              </w:tc>
              <w:tc>
                <w:tcPr>
                  <w:tcW w:w="765" w:type="dxa"/>
                  <w:vAlign w:val="center"/>
                </w:tcPr>
                <w:p w14:paraId="79E33148">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贮存方式</w:t>
                  </w:r>
                </w:p>
              </w:tc>
              <w:tc>
                <w:tcPr>
                  <w:tcW w:w="1368" w:type="dxa"/>
                  <w:vAlign w:val="center"/>
                </w:tcPr>
                <w:p w14:paraId="1BE698B6">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去向</w:t>
                  </w:r>
                </w:p>
              </w:tc>
              <w:tc>
                <w:tcPr>
                  <w:tcW w:w="1512" w:type="dxa"/>
                  <w:vAlign w:val="center"/>
                </w:tcPr>
                <w:p w14:paraId="787D33D6">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环境管理要求</w:t>
                  </w:r>
                </w:p>
              </w:tc>
              <w:tc>
                <w:tcPr>
                  <w:tcW w:w="807" w:type="dxa"/>
                  <w:vAlign w:val="center"/>
                </w:tcPr>
                <w:p w14:paraId="763AA202">
                  <w:pPr>
                    <w:pStyle w:val="62"/>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排放量</w:t>
                  </w:r>
                </w:p>
              </w:tc>
            </w:tr>
            <w:tr w14:paraId="17EC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10" w:type="dxa"/>
                  <w:vAlign w:val="center"/>
                </w:tcPr>
                <w:p w14:paraId="629759BA">
                  <w:pPr>
                    <w:pStyle w:val="4"/>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1317" w:type="dxa"/>
                  <w:vAlign w:val="center"/>
                </w:tcPr>
                <w:p w14:paraId="635A10BB">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滤筒收集粉尘</w:t>
                  </w:r>
                </w:p>
              </w:tc>
              <w:tc>
                <w:tcPr>
                  <w:tcW w:w="1095" w:type="dxa"/>
                  <w:vAlign w:val="center"/>
                </w:tcPr>
                <w:p w14:paraId="1140BFCF">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一般固废</w:t>
                  </w:r>
                </w:p>
              </w:tc>
              <w:tc>
                <w:tcPr>
                  <w:tcW w:w="679" w:type="dxa"/>
                  <w:vAlign w:val="center"/>
                </w:tcPr>
                <w:p w14:paraId="7C0B34E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固态</w:t>
                  </w:r>
                </w:p>
              </w:tc>
              <w:tc>
                <w:tcPr>
                  <w:tcW w:w="994" w:type="dxa"/>
                  <w:vAlign w:val="center"/>
                </w:tcPr>
                <w:p w14:paraId="54FA41F0">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0.37</w:t>
                  </w:r>
                </w:p>
              </w:tc>
              <w:tc>
                <w:tcPr>
                  <w:tcW w:w="765" w:type="dxa"/>
                  <w:vAlign w:val="center"/>
                </w:tcPr>
                <w:p w14:paraId="1FC065F0">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袋装</w:t>
                  </w:r>
                </w:p>
              </w:tc>
              <w:tc>
                <w:tcPr>
                  <w:tcW w:w="1368" w:type="dxa"/>
                  <w:vAlign w:val="center"/>
                </w:tcPr>
                <w:p w14:paraId="3313622F">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做原料回用生产</w:t>
                  </w:r>
                </w:p>
              </w:tc>
              <w:tc>
                <w:tcPr>
                  <w:tcW w:w="1512" w:type="dxa"/>
                  <w:vAlign w:val="center"/>
                </w:tcPr>
                <w:p w14:paraId="09AA6F2F">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一般固体</w:t>
                  </w:r>
                </w:p>
                <w:p w14:paraId="6A7803D6">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废物暂存区暂存</w:t>
                  </w:r>
                </w:p>
              </w:tc>
              <w:tc>
                <w:tcPr>
                  <w:tcW w:w="807" w:type="dxa"/>
                  <w:vAlign w:val="center"/>
                </w:tcPr>
                <w:p w14:paraId="19381790">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76D2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dxa"/>
                  <w:vAlign w:val="center"/>
                </w:tcPr>
                <w:p w14:paraId="6FE5663F">
                  <w:pPr>
                    <w:pStyle w:val="4"/>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1317" w:type="dxa"/>
                  <w:vAlign w:val="center"/>
                </w:tcPr>
                <w:p w14:paraId="4E906949">
                  <w:pPr>
                    <w:widowControl/>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废漆渣</w:t>
                  </w:r>
                </w:p>
              </w:tc>
              <w:tc>
                <w:tcPr>
                  <w:tcW w:w="1095" w:type="dxa"/>
                  <w:vAlign w:val="center"/>
                </w:tcPr>
                <w:p w14:paraId="1523ECAA">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危险废物</w:t>
                  </w:r>
                </w:p>
              </w:tc>
              <w:tc>
                <w:tcPr>
                  <w:tcW w:w="679" w:type="dxa"/>
                  <w:vAlign w:val="center"/>
                </w:tcPr>
                <w:p w14:paraId="1E3AF2C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半固</w:t>
                  </w:r>
                  <w:r>
                    <w:rPr>
                      <w:rFonts w:hint="default" w:ascii="Times New Roman" w:hAnsi="Times New Roman" w:cs="Times New Roman"/>
                      <w:color w:val="auto"/>
                      <w:szCs w:val="21"/>
                      <w:highlight w:val="none"/>
                    </w:rPr>
                    <w:t>态</w:t>
                  </w:r>
                </w:p>
              </w:tc>
              <w:tc>
                <w:tcPr>
                  <w:tcW w:w="994" w:type="dxa"/>
                  <w:vAlign w:val="center"/>
                </w:tcPr>
                <w:p w14:paraId="567F840B">
                  <w:pPr>
                    <w:pStyle w:val="62"/>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1.</w:t>
                  </w:r>
                  <w:r>
                    <w:rPr>
                      <w:rFonts w:hint="default" w:ascii="Times New Roman" w:hAnsi="Times New Roman" w:cs="Times New Roman"/>
                      <w:color w:val="auto"/>
                      <w:sz w:val="21"/>
                      <w:szCs w:val="21"/>
                      <w:highlight w:val="none"/>
                      <w:lang w:val="en-US" w:eastAsia="zh-CN"/>
                    </w:rPr>
                    <w:t>129</w:t>
                  </w:r>
                </w:p>
              </w:tc>
              <w:tc>
                <w:tcPr>
                  <w:tcW w:w="765" w:type="dxa"/>
                  <w:vAlign w:val="center"/>
                </w:tcPr>
                <w:p w14:paraId="74F98118">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密封</w:t>
                  </w:r>
                  <w:r>
                    <w:rPr>
                      <w:rFonts w:hint="default" w:ascii="Times New Roman" w:hAnsi="Times New Roman" w:cs="Times New Roman"/>
                      <w:color w:val="auto"/>
                      <w:sz w:val="21"/>
                      <w:szCs w:val="21"/>
                      <w:highlight w:val="none"/>
                    </w:rPr>
                    <w:t>袋装</w:t>
                  </w:r>
                </w:p>
              </w:tc>
              <w:tc>
                <w:tcPr>
                  <w:tcW w:w="1368" w:type="dxa"/>
                  <w:vAlign w:val="center"/>
                </w:tcPr>
                <w:p w14:paraId="22DA7387">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交由有资质单位处置</w:t>
                  </w:r>
                </w:p>
              </w:tc>
              <w:tc>
                <w:tcPr>
                  <w:tcW w:w="1512" w:type="dxa"/>
                  <w:vAlign w:val="center"/>
                </w:tcPr>
                <w:p w14:paraId="318EB49F">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危废暂存间</w:t>
                  </w:r>
                </w:p>
              </w:tc>
              <w:tc>
                <w:tcPr>
                  <w:tcW w:w="807" w:type="dxa"/>
                  <w:vAlign w:val="center"/>
                </w:tcPr>
                <w:p w14:paraId="4AB4028A">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6BCF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dxa"/>
                  <w:vAlign w:val="center"/>
                </w:tcPr>
                <w:p w14:paraId="7CD1ECC3">
                  <w:pPr>
                    <w:pStyle w:val="4"/>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w:t>
                  </w:r>
                </w:p>
              </w:tc>
              <w:tc>
                <w:tcPr>
                  <w:tcW w:w="1317" w:type="dxa"/>
                  <w:vAlign w:val="center"/>
                </w:tcPr>
                <w:p w14:paraId="1C74EADB">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废活性炭及其吸附物</w:t>
                  </w:r>
                </w:p>
              </w:tc>
              <w:tc>
                <w:tcPr>
                  <w:tcW w:w="1095" w:type="dxa"/>
                  <w:vAlign w:val="center"/>
                </w:tcPr>
                <w:p w14:paraId="4C628A55">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危险废物</w:t>
                  </w:r>
                </w:p>
              </w:tc>
              <w:tc>
                <w:tcPr>
                  <w:tcW w:w="679" w:type="dxa"/>
                  <w:vAlign w:val="center"/>
                </w:tcPr>
                <w:p w14:paraId="7B61B03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固态</w:t>
                  </w:r>
                </w:p>
              </w:tc>
              <w:tc>
                <w:tcPr>
                  <w:tcW w:w="994" w:type="dxa"/>
                  <w:vAlign w:val="center"/>
                </w:tcPr>
                <w:p w14:paraId="6DB36B21">
                  <w:pPr>
                    <w:pStyle w:val="62"/>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5.582</w:t>
                  </w:r>
                </w:p>
              </w:tc>
              <w:tc>
                <w:tcPr>
                  <w:tcW w:w="765" w:type="dxa"/>
                  <w:vAlign w:val="center"/>
                </w:tcPr>
                <w:p w14:paraId="1721AFC7">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密封</w:t>
                  </w:r>
                  <w:r>
                    <w:rPr>
                      <w:rFonts w:hint="default" w:ascii="Times New Roman" w:hAnsi="Times New Roman" w:cs="Times New Roman"/>
                      <w:color w:val="auto"/>
                      <w:sz w:val="21"/>
                      <w:szCs w:val="21"/>
                      <w:highlight w:val="none"/>
                    </w:rPr>
                    <w:t>袋装</w:t>
                  </w:r>
                </w:p>
              </w:tc>
              <w:tc>
                <w:tcPr>
                  <w:tcW w:w="1368" w:type="dxa"/>
                  <w:vAlign w:val="center"/>
                </w:tcPr>
                <w:p w14:paraId="0261103B">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交由有资质单位处置</w:t>
                  </w:r>
                </w:p>
              </w:tc>
              <w:tc>
                <w:tcPr>
                  <w:tcW w:w="1512" w:type="dxa"/>
                  <w:vAlign w:val="center"/>
                </w:tcPr>
                <w:p w14:paraId="60B85DFB">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危废暂存间</w:t>
                  </w:r>
                </w:p>
              </w:tc>
              <w:tc>
                <w:tcPr>
                  <w:tcW w:w="807" w:type="dxa"/>
                  <w:vAlign w:val="center"/>
                </w:tcPr>
                <w:p w14:paraId="1BFA4905">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0</w:t>
                  </w:r>
                </w:p>
              </w:tc>
            </w:tr>
            <w:tr w14:paraId="6C02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510" w:type="dxa"/>
                  <w:vAlign w:val="center"/>
                </w:tcPr>
                <w:p w14:paraId="25835AC3">
                  <w:pPr>
                    <w:pStyle w:val="4"/>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4</w:t>
                  </w:r>
                </w:p>
              </w:tc>
              <w:tc>
                <w:tcPr>
                  <w:tcW w:w="1317" w:type="dxa"/>
                  <w:vAlign w:val="center"/>
                </w:tcPr>
                <w:p w14:paraId="3B3DC07C">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粉末喷涂废滤芯</w:t>
                  </w:r>
                </w:p>
              </w:tc>
              <w:tc>
                <w:tcPr>
                  <w:tcW w:w="1095" w:type="dxa"/>
                  <w:vAlign w:val="center"/>
                </w:tcPr>
                <w:p w14:paraId="4B0E2020">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危险废物</w:t>
                  </w:r>
                </w:p>
              </w:tc>
              <w:tc>
                <w:tcPr>
                  <w:tcW w:w="679" w:type="dxa"/>
                  <w:vAlign w:val="center"/>
                </w:tcPr>
                <w:p w14:paraId="77F3459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固态</w:t>
                  </w:r>
                </w:p>
              </w:tc>
              <w:tc>
                <w:tcPr>
                  <w:tcW w:w="994" w:type="dxa"/>
                  <w:vAlign w:val="center"/>
                </w:tcPr>
                <w:p w14:paraId="4AC277A5">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0.023</w:t>
                  </w:r>
                </w:p>
              </w:tc>
              <w:tc>
                <w:tcPr>
                  <w:tcW w:w="765" w:type="dxa"/>
                  <w:vAlign w:val="center"/>
                </w:tcPr>
                <w:p w14:paraId="2174C617">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袋装</w:t>
                  </w:r>
                </w:p>
              </w:tc>
              <w:tc>
                <w:tcPr>
                  <w:tcW w:w="1368" w:type="dxa"/>
                  <w:vAlign w:val="center"/>
                </w:tcPr>
                <w:p w14:paraId="17E02F55">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交由有资质单位处置</w:t>
                  </w:r>
                </w:p>
              </w:tc>
              <w:tc>
                <w:tcPr>
                  <w:tcW w:w="1512" w:type="dxa"/>
                  <w:vAlign w:val="center"/>
                </w:tcPr>
                <w:p w14:paraId="0E849497">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危废暂存间</w:t>
                  </w:r>
                </w:p>
              </w:tc>
              <w:tc>
                <w:tcPr>
                  <w:tcW w:w="807" w:type="dxa"/>
                  <w:vAlign w:val="center"/>
                </w:tcPr>
                <w:p w14:paraId="0F452DFD">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3042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dxa"/>
                  <w:vAlign w:val="center"/>
                </w:tcPr>
                <w:p w14:paraId="23F3F304">
                  <w:pPr>
                    <w:pStyle w:val="4"/>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5</w:t>
                  </w:r>
                </w:p>
              </w:tc>
              <w:tc>
                <w:tcPr>
                  <w:tcW w:w="1317" w:type="dxa"/>
                  <w:vAlign w:val="center"/>
                </w:tcPr>
                <w:p w14:paraId="60BEA802">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废喷粉</w:t>
                  </w:r>
                </w:p>
              </w:tc>
              <w:tc>
                <w:tcPr>
                  <w:tcW w:w="1095" w:type="dxa"/>
                  <w:vAlign w:val="center"/>
                </w:tcPr>
                <w:p w14:paraId="0D40407A">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危险废物</w:t>
                  </w:r>
                </w:p>
              </w:tc>
              <w:tc>
                <w:tcPr>
                  <w:tcW w:w="679" w:type="dxa"/>
                  <w:vAlign w:val="center"/>
                </w:tcPr>
                <w:p w14:paraId="74F6437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固态</w:t>
                  </w:r>
                </w:p>
              </w:tc>
              <w:tc>
                <w:tcPr>
                  <w:tcW w:w="994" w:type="dxa"/>
                  <w:vAlign w:val="center"/>
                </w:tcPr>
                <w:p w14:paraId="26860598">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0.179</w:t>
                  </w:r>
                </w:p>
              </w:tc>
              <w:tc>
                <w:tcPr>
                  <w:tcW w:w="765" w:type="dxa"/>
                  <w:vAlign w:val="center"/>
                </w:tcPr>
                <w:p w14:paraId="7E914CE4">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袋装</w:t>
                  </w:r>
                </w:p>
              </w:tc>
              <w:tc>
                <w:tcPr>
                  <w:tcW w:w="1368" w:type="dxa"/>
                  <w:vAlign w:val="center"/>
                </w:tcPr>
                <w:p w14:paraId="273FBB45">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交由有资质单位处置</w:t>
                  </w:r>
                </w:p>
              </w:tc>
              <w:tc>
                <w:tcPr>
                  <w:tcW w:w="1512" w:type="dxa"/>
                  <w:vAlign w:val="center"/>
                </w:tcPr>
                <w:p w14:paraId="53000408">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危废暂存间</w:t>
                  </w:r>
                </w:p>
              </w:tc>
              <w:tc>
                <w:tcPr>
                  <w:tcW w:w="807" w:type="dxa"/>
                  <w:vAlign w:val="center"/>
                </w:tcPr>
                <w:p w14:paraId="42A78910">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2B05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dxa"/>
                  <w:vAlign w:val="center"/>
                </w:tcPr>
                <w:p w14:paraId="6F6E8FB3">
                  <w:pPr>
                    <w:pStyle w:val="4"/>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6</w:t>
                  </w:r>
                </w:p>
              </w:tc>
              <w:tc>
                <w:tcPr>
                  <w:tcW w:w="1317" w:type="dxa"/>
                  <w:vAlign w:val="center"/>
                </w:tcPr>
                <w:p w14:paraId="7F8BBDD6">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废原料桶</w:t>
                  </w:r>
                </w:p>
              </w:tc>
              <w:tc>
                <w:tcPr>
                  <w:tcW w:w="1095" w:type="dxa"/>
                  <w:vAlign w:val="center"/>
                </w:tcPr>
                <w:p w14:paraId="2EFEA5AB">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危险废物</w:t>
                  </w:r>
                </w:p>
              </w:tc>
              <w:tc>
                <w:tcPr>
                  <w:tcW w:w="679" w:type="dxa"/>
                  <w:vAlign w:val="center"/>
                </w:tcPr>
                <w:p w14:paraId="7A264C6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固态</w:t>
                  </w:r>
                </w:p>
              </w:tc>
              <w:tc>
                <w:tcPr>
                  <w:tcW w:w="994" w:type="dxa"/>
                  <w:vAlign w:val="center"/>
                </w:tcPr>
                <w:p w14:paraId="2A4D65CE">
                  <w:pPr>
                    <w:pStyle w:val="62"/>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0.257</w:t>
                  </w:r>
                </w:p>
              </w:tc>
              <w:tc>
                <w:tcPr>
                  <w:tcW w:w="765" w:type="dxa"/>
                  <w:vAlign w:val="center"/>
                </w:tcPr>
                <w:p w14:paraId="764762C7">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散装</w:t>
                  </w:r>
                </w:p>
              </w:tc>
              <w:tc>
                <w:tcPr>
                  <w:tcW w:w="1368" w:type="dxa"/>
                  <w:vAlign w:val="center"/>
                </w:tcPr>
                <w:p w14:paraId="2BA56F6B">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交由有资质单位处置</w:t>
                  </w:r>
                </w:p>
              </w:tc>
              <w:tc>
                <w:tcPr>
                  <w:tcW w:w="1512" w:type="dxa"/>
                  <w:vAlign w:val="center"/>
                </w:tcPr>
                <w:p w14:paraId="04B030EB">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危废暂存间</w:t>
                  </w:r>
                </w:p>
              </w:tc>
              <w:tc>
                <w:tcPr>
                  <w:tcW w:w="807" w:type="dxa"/>
                  <w:vAlign w:val="center"/>
                </w:tcPr>
                <w:p w14:paraId="76516110">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r w14:paraId="7482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dxa"/>
                  <w:vAlign w:val="center"/>
                </w:tcPr>
                <w:p w14:paraId="11826B42">
                  <w:pPr>
                    <w:pStyle w:val="4"/>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7</w:t>
                  </w:r>
                </w:p>
              </w:tc>
              <w:tc>
                <w:tcPr>
                  <w:tcW w:w="1317" w:type="dxa"/>
                  <w:vAlign w:val="center"/>
                </w:tcPr>
                <w:p w14:paraId="53596A8A">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水帘柜废水</w:t>
                  </w:r>
                </w:p>
              </w:tc>
              <w:tc>
                <w:tcPr>
                  <w:tcW w:w="1095" w:type="dxa"/>
                  <w:vAlign w:val="center"/>
                </w:tcPr>
                <w:p w14:paraId="28590661">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危险废物</w:t>
                  </w:r>
                </w:p>
              </w:tc>
              <w:tc>
                <w:tcPr>
                  <w:tcW w:w="679" w:type="dxa"/>
                  <w:vAlign w:val="center"/>
                </w:tcPr>
                <w:p w14:paraId="7A566D5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液态</w:t>
                  </w:r>
                </w:p>
              </w:tc>
              <w:tc>
                <w:tcPr>
                  <w:tcW w:w="994" w:type="dxa"/>
                  <w:vAlign w:val="center"/>
                </w:tcPr>
                <w:p w14:paraId="60AD5BA0">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7.5</w:t>
                  </w:r>
                </w:p>
              </w:tc>
              <w:tc>
                <w:tcPr>
                  <w:tcW w:w="765" w:type="dxa"/>
                  <w:vAlign w:val="center"/>
                </w:tcPr>
                <w:p w14:paraId="75A0EBCD">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桶装</w:t>
                  </w:r>
                </w:p>
              </w:tc>
              <w:tc>
                <w:tcPr>
                  <w:tcW w:w="1368" w:type="dxa"/>
                  <w:vAlign w:val="center"/>
                </w:tcPr>
                <w:p w14:paraId="39832024">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交由有资质单位处置</w:t>
                  </w:r>
                </w:p>
              </w:tc>
              <w:tc>
                <w:tcPr>
                  <w:tcW w:w="1512" w:type="dxa"/>
                  <w:vAlign w:val="center"/>
                </w:tcPr>
                <w:p w14:paraId="7674EAE7">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危废暂存间</w:t>
                  </w:r>
                </w:p>
              </w:tc>
              <w:tc>
                <w:tcPr>
                  <w:tcW w:w="807" w:type="dxa"/>
                  <w:vAlign w:val="center"/>
                </w:tcPr>
                <w:p w14:paraId="7E649A59">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0</w:t>
                  </w:r>
                </w:p>
              </w:tc>
            </w:tr>
          </w:tbl>
          <w:p w14:paraId="44060E73">
            <w:pPr>
              <w:adjustRightInd w:val="0"/>
              <w:snapToGrid w:val="0"/>
              <w:spacing w:before="120" w:beforeLines="50" w:line="360" w:lineRule="auto"/>
              <w:jc w:val="center"/>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表4-15 项目危险废物产生情况一览</w:t>
            </w:r>
          </w:p>
          <w:tbl>
            <w:tblPr>
              <w:tblStyle w:val="27"/>
              <w:tblW w:w="90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1083"/>
              <w:gridCol w:w="899"/>
              <w:gridCol w:w="1084"/>
              <w:gridCol w:w="695"/>
              <w:gridCol w:w="930"/>
              <w:gridCol w:w="495"/>
              <w:gridCol w:w="900"/>
              <w:gridCol w:w="964"/>
              <w:gridCol w:w="692"/>
              <w:gridCol w:w="823"/>
            </w:tblGrid>
            <w:tr w14:paraId="1330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vAlign w:val="center"/>
                </w:tcPr>
                <w:p w14:paraId="3765285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083" w:type="dxa"/>
                  <w:vAlign w:val="center"/>
                </w:tcPr>
                <w:p w14:paraId="3EC8A3C3">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危险废物名称</w:t>
                  </w:r>
                </w:p>
              </w:tc>
              <w:tc>
                <w:tcPr>
                  <w:tcW w:w="899" w:type="dxa"/>
                  <w:vAlign w:val="center"/>
                </w:tcPr>
                <w:p w14:paraId="323F3EBE">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危险废物类别</w:t>
                  </w:r>
                </w:p>
              </w:tc>
              <w:tc>
                <w:tcPr>
                  <w:tcW w:w="1084" w:type="dxa"/>
                  <w:vAlign w:val="center"/>
                </w:tcPr>
                <w:p w14:paraId="3F56BCC4">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危险废物代码</w:t>
                  </w:r>
                </w:p>
              </w:tc>
              <w:tc>
                <w:tcPr>
                  <w:tcW w:w="695" w:type="dxa"/>
                  <w:vAlign w:val="center"/>
                </w:tcPr>
                <w:p w14:paraId="7D947873">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产生量t/a</w:t>
                  </w:r>
                </w:p>
              </w:tc>
              <w:tc>
                <w:tcPr>
                  <w:tcW w:w="930" w:type="dxa"/>
                  <w:vAlign w:val="center"/>
                </w:tcPr>
                <w:p w14:paraId="43DDDE65">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产生工序及装置</w:t>
                  </w:r>
                </w:p>
              </w:tc>
              <w:tc>
                <w:tcPr>
                  <w:tcW w:w="495" w:type="dxa"/>
                  <w:vAlign w:val="center"/>
                </w:tcPr>
                <w:p w14:paraId="31A9A40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形态</w:t>
                  </w:r>
                </w:p>
              </w:tc>
              <w:tc>
                <w:tcPr>
                  <w:tcW w:w="900" w:type="dxa"/>
                  <w:vAlign w:val="center"/>
                </w:tcPr>
                <w:p w14:paraId="54068A7E">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有害成分</w:t>
                  </w:r>
                </w:p>
              </w:tc>
              <w:tc>
                <w:tcPr>
                  <w:tcW w:w="964" w:type="dxa"/>
                  <w:vAlign w:val="center"/>
                </w:tcPr>
                <w:p w14:paraId="19FBD77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产生周期</w:t>
                  </w:r>
                </w:p>
              </w:tc>
              <w:tc>
                <w:tcPr>
                  <w:tcW w:w="692" w:type="dxa"/>
                  <w:vAlign w:val="center"/>
                </w:tcPr>
                <w:p w14:paraId="6D85EC4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危险特性</w:t>
                  </w:r>
                </w:p>
              </w:tc>
              <w:tc>
                <w:tcPr>
                  <w:tcW w:w="823" w:type="dxa"/>
                  <w:vAlign w:val="center"/>
                </w:tcPr>
                <w:p w14:paraId="45C78B1C">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污染防治措施</w:t>
                  </w:r>
                </w:p>
              </w:tc>
            </w:tr>
            <w:tr w14:paraId="7AA1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vAlign w:val="center"/>
                </w:tcPr>
                <w:p w14:paraId="47BC4A7D">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83" w:type="dxa"/>
                  <w:vAlign w:val="center"/>
                </w:tcPr>
                <w:p w14:paraId="1D8266EB">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废原料桶</w:t>
                  </w:r>
                </w:p>
              </w:tc>
              <w:tc>
                <w:tcPr>
                  <w:tcW w:w="899" w:type="dxa"/>
                  <w:vAlign w:val="center"/>
                </w:tcPr>
                <w:p w14:paraId="2EB3001E">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HW49</w:t>
                  </w:r>
                </w:p>
              </w:tc>
              <w:tc>
                <w:tcPr>
                  <w:tcW w:w="1084" w:type="dxa"/>
                  <w:vAlign w:val="center"/>
                </w:tcPr>
                <w:p w14:paraId="241841F6">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900-041-49</w:t>
                  </w:r>
                </w:p>
              </w:tc>
              <w:tc>
                <w:tcPr>
                  <w:tcW w:w="695" w:type="dxa"/>
                  <w:vAlign w:val="center"/>
                </w:tcPr>
                <w:p w14:paraId="51A743A5">
                  <w:pPr>
                    <w:pStyle w:val="62"/>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0.257</w:t>
                  </w:r>
                </w:p>
              </w:tc>
              <w:tc>
                <w:tcPr>
                  <w:tcW w:w="930" w:type="dxa"/>
                  <w:vAlign w:val="center"/>
                </w:tcPr>
                <w:p w14:paraId="18DB038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喷涂</w:t>
                  </w:r>
                </w:p>
              </w:tc>
              <w:tc>
                <w:tcPr>
                  <w:tcW w:w="495" w:type="dxa"/>
                  <w:vAlign w:val="center"/>
                </w:tcPr>
                <w:p w14:paraId="252261A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w:t>
                  </w:r>
                </w:p>
              </w:tc>
              <w:tc>
                <w:tcPr>
                  <w:tcW w:w="900" w:type="dxa"/>
                  <w:vAlign w:val="center"/>
                </w:tcPr>
                <w:p w14:paraId="33090BD3">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废树脂、挥发性有机物</w:t>
                  </w:r>
                </w:p>
              </w:tc>
              <w:tc>
                <w:tcPr>
                  <w:tcW w:w="964" w:type="dxa"/>
                  <w:vAlign w:val="center"/>
                </w:tcPr>
                <w:p w14:paraId="7D17746A">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每日</w:t>
                  </w:r>
                </w:p>
              </w:tc>
              <w:tc>
                <w:tcPr>
                  <w:tcW w:w="692" w:type="dxa"/>
                  <w:vAlign w:val="center"/>
                </w:tcPr>
                <w:p w14:paraId="07DA13C0">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T/In</w:t>
                  </w:r>
                </w:p>
              </w:tc>
              <w:tc>
                <w:tcPr>
                  <w:tcW w:w="823" w:type="dxa"/>
                  <w:vMerge w:val="restart"/>
                  <w:vAlign w:val="center"/>
                </w:tcPr>
                <w:p w14:paraId="54346F5C">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危险废物暂存间暂存，定期交有资质单位处置</w:t>
                  </w:r>
                </w:p>
              </w:tc>
            </w:tr>
            <w:tr w14:paraId="1F34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vAlign w:val="center"/>
                </w:tcPr>
                <w:p w14:paraId="0ED47A55">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1083" w:type="dxa"/>
                  <w:vAlign w:val="center"/>
                </w:tcPr>
                <w:p w14:paraId="0865B5C5">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废漆渣</w:t>
                  </w:r>
                </w:p>
              </w:tc>
              <w:tc>
                <w:tcPr>
                  <w:tcW w:w="899" w:type="dxa"/>
                  <w:vAlign w:val="center"/>
                </w:tcPr>
                <w:p w14:paraId="40FB0475">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HW12</w:t>
                  </w:r>
                </w:p>
              </w:tc>
              <w:tc>
                <w:tcPr>
                  <w:tcW w:w="1084" w:type="dxa"/>
                  <w:vAlign w:val="center"/>
                </w:tcPr>
                <w:p w14:paraId="78E6D7B0">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900-252-12</w:t>
                  </w:r>
                </w:p>
              </w:tc>
              <w:tc>
                <w:tcPr>
                  <w:tcW w:w="695" w:type="dxa"/>
                  <w:vAlign w:val="center"/>
                </w:tcPr>
                <w:p w14:paraId="4AED7D50">
                  <w:pPr>
                    <w:pStyle w:val="62"/>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1.</w:t>
                  </w:r>
                  <w:r>
                    <w:rPr>
                      <w:rFonts w:hint="default" w:ascii="Times New Roman" w:hAnsi="Times New Roman" w:cs="Times New Roman"/>
                      <w:color w:val="auto"/>
                      <w:sz w:val="21"/>
                      <w:szCs w:val="21"/>
                      <w:highlight w:val="none"/>
                      <w:lang w:val="en-US" w:eastAsia="zh-CN"/>
                    </w:rPr>
                    <w:t>129</w:t>
                  </w:r>
                </w:p>
              </w:tc>
              <w:tc>
                <w:tcPr>
                  <w:tcW w:w="930" w:type="dxa"/>
                  <w:vMerge w:val="restart"/>
                  <w:vAlign w:val="center"/>
                </w:tcPr>
                <w:p w14:paraId="13ED420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有机废气处理</w:t>
                  </w:r>
                </w:p>
              </w:tc>
              <w:tc>
                <w:tcPr>
                  <w:tcW w:w="495" w:type="dxa"/>
                  <w:vAlign w:val="center"/>
                </w:tcPr>
                <w:p w14:paraId="1009CEF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半</w:t>
                  </w:r>
                  <w:r>
                    <w:rPr>
                      <w:rFonts w:hint="default" w:ascii="Times New Roman" w:hAnsi="Times New Roman" w:cs="Times New Roman"/>
                      <w:color w:val="auto"/>
                      <w:szCs w:val="21"/>
                      <w:highlight w:val="none"/>
                    </w:rPr>
                    <w:t>固</w:t>
                  </w:r>
                </w:p>
              </w:tc>
              <w:tc>
                <w:tcPr>
                  <w:tcW w:w="900" w:type="dxa"/>
                  <w:vAlign w:val="center"/>
                </w:tcPr>
                <w:p w14:paraId="6355D92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废树脂</w:t>
                  </w:r>
                </w:p>
              </w:tc>
              <w:tc>
                <w:tcPr>
                  <w:tcW w:w="964" w:type="dxa"/>
                  <w:vAlign w:val="center"/>
                </w:tcPr>
                <w:p w14:paraId="6F79B8C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每季度</w:t>
                  </w:r>
                </w:p>
              </w:tc>
              <w:tc>
                <w:tcPr>
                  <w:tcW w:w="692" w:type="dxa"/>
                  <w:vAlign w:val="center"/>
                </w:tcPr>
                <w:p w14:paraId="2BB2F99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I</w:t>
                  </w:r>
                </w:p>
              </w:tc>
              <w:tc>
                <w:tcPr>
                  <w:tcW w:w="823" w:type="dxa"/>
                  <w:vMerge w:val="continue"/>
                  <w:vAlign w:val="center"/>
                </w:tcPr>
                <w:p w14:paraId="0C1F1352">
                  <w:pPr>
                    <w:adjustRightInd w:val="0"/>
                    <w:snapToGrid w:val="0"/>
                    <w:spacing w:before="120" w:beforeLines="50"/>
                    <w:jc w:val="center"/>
                    <w:rPr>
                      <w:rFonts w:hint="default" w:ascii="Times New Roman" w:hAnsi="Times New Roman" w:cs="Times New Roman"/>
                      <w:color w:val="auto"/>
                      <w:szCs w:val="21"/>
                      <w:highlight w:val="none"/>
                    </w:rPr>
                  </w:pPr>
                </w:p>
              </w:tc>
            </w:tr>
            <w:tr w14:paraId="3D30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484" w:type="dxa"/>
                  <w:vAlign w:val="center"/>
                </w:tcPr>
                <w:p w14:paraId="499C081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1083" w:type="dxa"/>
                  <w:vAlign w:val="center"/>
                </w:tcPr>
                <w:p w14:paraId="01EF4F3F">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废活性炭及其吸附物</w:t>
                  </w:r>
                </w:p>
              </w:tc>
              <w:tc>
                <w:tcPr>
                  <w:tcW w:w="899" w:type="dxa"/>
                  <w:vAlign w:val="center"/>
                </w:tcPr>
                <w:p w14:paraId="54BFE526">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HW49</w:t>
                  </w:r>
                </w:p>
              </w:tc>
              <w:tc>
                <w:tcPr>
                  <w:tcW w:w="1084" w:type="dxa"/>
                  <w:vAlign w:val="center"/>
                </w:tcPr>
                <w:p w14:paraId="60C6C4A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900-039-49</w:t>
                  </w:r>
                </w:p>
              </w:tc>
              <w:tc>
                <w:tcPr>
                  <w:tcW w:w="695" w:type="dxa"/>
                  <w:vAlign w:val="center"/>
                </w:tcPr>
                <w:p w14:paraId="447380C7">
                  <w:pPr>
                    <w:pStyle w:val="62"/>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5.582</w:t>
                  </w:r>
                </w:p>
              </w:tc>
              <w:tc>
                <w:tcPr>
                  <w:tcW w:w="930" w:type="dxa"/>
                  <w:vMerge w:val="continue"/>
                  <w:vAlign w:val="center"/>
                </w:tcPr>
                <w:p w14:paraId="1E203606">
                  <w:pPr>
                    <w:adjustRightInd w:val="0"/>
                    <w:snapToGrid w:val="0"/>
                    <w:spacing w:before="120" w:beforeLines="50"/>
                    <w:jc w:val="center"/>
                    <w:rPr>
                      <w:rFonts w:hint="default" w:ascii="Times New Roman" w:hAnsi="Times New Roman" w:cs="Times New Roman"/>
                      <w:color w:val="auto"/>
                      <w:szCs w:val="21"/>
                      <w:highlight w:val="none"/>
                    </w:rPr>
                  </w:pPr>
                </w:p>
              </w:tc>
              <w:tc>
                <w:tcPr>
                  <w:tcW w:w="495" w:type="dxa"/>
                  <w:vAlign w:val="center"/>
                </w:tcPr>
                <w:p w14:paraId="54C554F4">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w:t>
                  </w:r>
                </w:p>
              </w:tc>
              <w:tc>
                <w:tcPr>
                  <w:tcW w:w="900" w:type="dxa"/>
                  <w:vAlign w:val="center"/>
                </w:tcPr>
                <w:p w14:paraId="3158E723">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废活性炭、挥发性有机物</w:t>
                  </w:r>
                </w:p>
              </w:tc>
              <w:tc>
                <w:tcPr>
                  <w:tcW w:w="964" w:type="dxa"/>
                  <w:vAlign w:val="center"/>
                </w:tcPr>
                <w:p w14:paraId="3AA8030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每季度</w:t>
                  </w:r>
                </w:p>
              </w:tc>
              <w:tc>
                <w:tcPr>
                  <w:tcW w:w="692" w:type="dxa"/>
                  <w:vAlign w:val="center"/>
                </w:tcPr>
                <w:p w14:paraId="5A89112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w:t>
                  </w:r>
                </w:p>
              </w:tc>
              <w:tc>
                <w:tcPr>
                  <w:tcW w:w="823" w:type="dxa"/>
                  <w:vMerge w:val="continue"/>
                  <w:vAlign w:val="center"/>
                </w:tcPr>
                <w:p w14:paraId="57644821">
                  <w:pPr>
                    <w:adjustRightInd w:val="0"/>
                    <w:snapToGrid w:val="0"/>
                    <w:spacing w:before="120" w:beforeLines="50"/>
                    <w:jc w:val="center"/>
                    <w:rPr>
                      <w:rFonts w:hint="default" w:ascii="Times New Roman" w:hAnsi="Times New Roman" w:cs="Times New Roman"/>
                      <w:color w:val="auto"/>
                      <w:szCs w:val="21"/>
                      <w:highlight w:val="none"/>
                    </w:rPr>
                  </w:pPr>
                </w:p>
              </w:tc>
            </w:tr>
            <w:tr w14:paraId="34D5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vAlign w:val="center"/>
                </w:tcPr>
                <w:p w14:paraId="7747740B">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1083" w:type="dxa"/>
                  <w:vAlign w:val="center"/>
                </w:tcPr>
                <w:p w14:paraId="0B3BB320">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粉末喷涂废滤芯</w:t>
                  </w:r>
                </w:p>
              </w:tc>
              <w:tc>
                <w:tcPr>
                  <w:tcW w:w="899" w:type="dxa"/>
                  <w:vAlign w:val="center"/>
                </w:tcPr>
                <w:p w14:paraId="0C53801C">
                  <w:pPr>
                    <w:adjustRightInd w:val="0"/>
                    <w:snapToGrid w:val="0"/>
                    <w:spacing w:before="120" w:beforeLines="5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HW49</w:t>
                  </w:r>
                </w:p>
              </w:tc>
              <w:tc>
                <w:tcPr>
                  <w:tcW w:w="1084" w:type="dxa"/>
                  <w:vAlign w:val="center"/>
                </w:tcPr>
                <w:p w14:paraId="7A666F76">
                  <w:pPr>
                    <w:adjustRightInd w:val="0"/>
                    <w:snapToGrid w:val="0"/>
                    <w:spacing w:before="120" w:beforeLines="5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900-041-49</w:t>
                  </w:r>
                </w:p>
              </w:tc>
              <w:tc>
                <w:tcPr>
                  <w:tcW w:w="695" w:type="dxa"/>
                  <w:vAlign w:val="center"/>
                </w:tcPr>
                <w:p w14:paraId="46CEF209">
                  <w:pPr>
                    <w:pStyle w:val="62"/>
                    <w:tabs>
                      <w:tab w:val="left" w:pos="452"/>
                    </w:tabs>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0.023</w:t>
                  </w:r>
                </w:p>
              </w:tc>
              <w:tc>
                <w:tcPr>
                  <w:tcW w:w="930" w:type="dxa"/>
                  <w:vAlign w:val="center"/>
                </w:tcPr>
                <w:p w14:paraId="0C2819F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喷粉废气处理</w:t>
                  </w:r>
                </w:p>
              </w:tc>
              <w:tc>
                <w:tcPr>
                  <w:tcW w:w="495" w:type="dxa"/>
                  <w:vAlign w:val="center"/>
                </w:tcPr>
                <w:p w14:paraId="7978D246">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w:t>
                  </w:r>
                </w:p>
              </w:tc>
              <w:tc>
                <w:tcPr>
                  <w:tcW w:w="900" w:type="dxa"/>
                  <w:vAlign w:val="center"/>
                </w:tcPr>
                <w:p w14:paraId="2B27B474">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废树脂</w:t>
                  </w:r>
                </w:p>
              </w:tc>
              <w:tc>
                <w:tcPr>
                  <w:tcW w:w="964" w:type="dxa"/>
                  <w:vAlign w:val="center"/>
                </w:tcPr>
                <w:p w14:paraId="2D4284B5">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每年</w:t>
                  </w:r>
                </w:p>
              </w:tc>
              <w:tc>
                <w:tcPr>
                  <w:tcW w:w="692" w:type="dxa"/>
                  <w:vAlign w:val="center"/>
                </w:tcPr>
                <w:p w14:paraId="6BE9E0ED">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T/In</w:t>
                  </w:r>
                </w:p>
              </w:tc>
              <w:tc>
                <w:tcPr>
                  <w:tcW w:w="823" w:type="dxa"/>
                  <w:vMerge w:val="continue"/>
                  <w:vAlign w:val="center"/>
                </w:tcPr>
                <w:p w14:paraId="0666E7C0">
                  <w:pPr>
                    <w:adjustRightInd w:val="0"/>
                    <w:snapToGrid w:val="0"/>
                    <w:spacing w:before="120" w:beforeLines="50"/>
                    <w:jc w:val="center"/>
                    <w:rPr>
                      <w:rFonts w:hint="default" w:ascii="Times New Roman" w:hAnsi="Times New Roman" w:cs="Times New Roman"/>
                      <w:color w:val="auto"/>
                      <w:szCs w:val="21"/>
                      <w:highlight w:val="none"/>
                    </w:rPr>
                  </w:pPr>
                </w:p>
              </w:tc>
            </w:tr>
            <w:tr w14:paraId="17CD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vAlign w:val="center"/>
                </w:tcPr>
                <w:p w14:paraId="7A478D2B">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1083" w:type="dxa"/>
                  <w:vAlign w:val="center"/>
                </w:tcPr>
                <w:p w14:paraId="25FFAC53">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废喷粉</w:t>
                  </w:r>
                </w:p>
              </w:tc>
              <w:tc>
                <w:tcPr>
                  <w:tcW w:w="899" w:type="dxa"/>
                  <w:vAlign w:val="center"/>
                </w:tcPr>
                <w:p w14:paraId="5C82AFD0">
                  <w:pPr>
                    <w:adjustRightInd w:val="0"/>
                    <w:snapToGrid w:val="0"/>
                    <w:spacing w:before="120" w:beforeLines="5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HW12</w:t>
                  </w:r>
                </w:p>
              </w:tc>
              <w:tc>
                <w:tcPr>
                  <w:tcW w:w="1084" w:type="dxa"/>
                  <w:vAlign w:val="center"/>
                </w:tcPr>
                <w:p w14:paraId="1C9F993A">
                  <w:pPr>
                    <w:adjustRightInd w:val="0"/>
                    <w:snapToGrid w:val="0"/>
                    <w:spacing w:before="120" w:beforeLines="5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900-299-12</w:t>
                  </w:r>
                </w:p>
              </w:tc>
              <w:tc>
                <w:tcPr>
                  <w:tcW w:w="695" w:type="dxa"/>
                  <w:vAlign w:val="center"/>
                </w:tcPr>
                <w:p w14:paraId="31C617AB">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0.179</w:t>
                  </w:r>
                </w:p>
              </w:tc>
              <w:tc>
                <w:tcPr>
                  <w:tcW w:w="930" w:type="dxa"/>
                  <w:vAlign w:val="center"/>
                </w:tcPr>
                <w:p w14:paraId="1786CD8C">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喷粉</w:t>
                  </w:r>
                </w:p>
              </w:tc>
              <w:tc>
                <w:tcPr>
                  <w:tcW w:w="495" w:type="dxa"/>
                  <w:vAlign w:val="center"/>
                </w:tcPr>
                <w:p w14:paraId="29881FD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w:t>
                  </w:r>
                </w:p>
              </w:tc>
              <w:tc>
                <w:tcPr>
                  <w:tcW w:w="900" w:type="dxa"/>
                  <w:vAlign w:val="center"/>
                </w:tcPr>
                <w:p w14:paraId="663A6CD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废树脂</w:t>
                  </w:r>
                </w:p>
              </w:tc>
              <w:tc>
                <w:tcPr>
                  <w:tcW w:w="964" w:type="dxa"/>
                  <w:vAlign w:val="center"/>
                </w:tcPr>
                <w:p w14:paraId="6A6E9054">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每日</w:t>
                  </w:r>
                </w:p>
              </w:tc>
              <w:tc>
                <w:tcPr>
                  <w:tcW w:w="692" w:type="dxa"/>
                  <w:vAlign w:val="center"/>
                </w:tcPr>
                <w:p w14:paraId="2EA3DC0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w:t>
                  </w:r>
                </w:p>
              </w:tc>
              <w:tc>
                <w:tcPr>
                  <w:tcW w:w="823" w:type="dxa"/>
                  <w:vMerge w:val="continue"/>
                  <w:vAlign w:val="center"/>
                </w:tcPr>
                <w:p w14:paraId="5F3BE502">
                  <w:pPr>
                    <w:adjustRightInd w:val="0"/>
                    <w:snapToGrid w:val="0"/>
                    <w:spacing w:before="120" w:beforeLines="50"/>
                    <w:jc w:val="center"/>
                    <w:rPr>
                      <w:rFonts w:hint="default" w:ascii="Times New Roman" w:hAnsi="Times New Roman" w:cs="Times New Roman"/>
                      <w:color w:val="auto"/>
                      <w:szCs w:val="21"/>
                      <w:highlight w:val="none"/>
                    </w:rPr>
                  </w:pPr>
                </w:p>
              </w:tc>
            </w:tr>
            <w:tr w14:paraId="6751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vAlign w:val="center"/>
                </w:tcPr>
                <w:p w14:paraId="3DA7B033">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1083" w:type="dxa"/>
                  <w:vAlign w:val="center"/>
                </w:tcPr>
                <w:p w14:paraId="651F6526">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水帘柜废水</w:t>
                  </w:r>
                </w:p>
              </w:tc>
              <w:tc>
                <w:tcPr>
                  <w:tcW w:w="899" w:type="dxa"/>
                  <w:vAlign w:val="center"/>
                </w:tcPr>
                <w:p w14:paraId="00784DBB">
                  <w:pPr>
                    <w:adjustRightInd w:val="0"/>
                    <w:snapToGrid w:val="0"/>
                    <w:spacing w:before="120" w:beforeLines="5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HW12</w:t>
                  </w:r>
                </w:p>
              </w:tc>
              <w:tc>
                <w:tcPr>
                  <w:tcW w:w="1084" w:type="dxa"/>
                  <w:vAlign w:val="center"/>
                </w:tcPr>
                <w:p w14:paraId="224ABA21">
                  <w:pPr>
                    <w:adjustRightInd w:val="0"/>
                    <w:snapToGrid w:val="0"/>
                    <w:spacing w:before="120" w:beforeLines="5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900-252-12</w:t>
                  </w:r>
                </w:p>
              </w:tc>
              <w:tc>
                <w:tcPr>
                  <w:tcW w:w="695" w:type="dxa"/>
                  <w:vAlign w:val="center"/>
                </w:tcPr>
                <w:p w14:paraId="27D34A80">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7.5</w:t>
                  </w:r>
                </w:p>
              </w:tc>
              <w:tc>
                <w:tcPr>
                  <w:tcW w:w="930" w:type="dxa"/>
                  <w:vAlign w:val="center"/>
                </w:tcPr>
                <w:p w14:paraId="6FDDCC8D">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喷涂</w:t>
                  </w:r>
                </w:p>
              </w:tc>
              <w:tc>
                <w:tcPr>
                  <w:tcW w:w="495" w:type="dxa"/>
                  <w:vAlign w:val="center"/>
                </w:tcPr>
                <w:p w14:paraId="2AFD40B0">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液</w:t>
                  </w:r>
                </w:p>
              </w:tc>
              <w:tc>
                <w:tcPr>
                  <w:tcW w:w="900" w:type="dxa"/>
                  <w:vAlign w:val="center"/>
                </w:tcPr>
                <w:p w14:paraId="50A75AC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废树脂、挥发性有机物</w:t>
                  </w:r>
                </w:p>
              </w:tc>
              <w:tc>
                <w:tcPr>
                  <w:tcW w:w="964" w:type="dxa"/>
                  <w:vAlign w:val="center"/>
                </w:tcPr>
                <w:p w14:paraId="3F518E82">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每季度</w:t>
                  </w:r>
                </w:p>
              </w:tc>
              <w:tc>
                <w:tcPr>
                  <w:tcW w:w="692" w:type="dxa"/>
                  <w:vAlign w:val="center"/>
                </w:tcPr>
                <w:p w14:paraId="36D4D663">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I</w:t>
                  </w:r>
                </w:p>
              </w:tc>
              <w:tc>
                <w:tcPr>
                  <w:tcW w:w="823" w:type="dxa"/>
                  <w:vMerge w:val="continue"/>
                  <w:vAlign w:val="center"/>
                </w:tcPr>
                <w:p w14:paraId="1E31608B">
                  <w:pPr>
                    <w:adjustRightInd w:val="0"/>
                    <w:snapToGrid w:val="0"/>
                    <w:spacing w:before="120" w:beforeLines="50"/>
                    <w:jc w:val="center"/>
                    <w:rPr>
                      <w:rFonts w:hint="default" w:ascii="Times New Roman" w:hAnsi="Times New Roman" w:cs="Times New Roman"/>
                      <w:color w:val="auto"/>
                      <w:szCs w:val="21"/>
                      <w:highlight w:val="none"/>
                    </w:rPr>
                  </w:pPr>
                </w:p>
              </w:tc>
            </w:tr>
          </w:tbl>
          <w:p w14:paraId="3CB7A2F8">
            <w:pPr>
              <w:adjustRightInd w:val="0"/>
              <w:snapToGrid w:val="0"/>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（4）环境管理要求</w:t>
            </w:r>
          </w:p>
          <w:p w14:paraId="6BF3DCBB">
            <w:pPr>
              <w:adjustRightInd w:val="0"/>
              <w:snapToGrid w:val="0"/>
              <w:spacing w:before="120" w:beforeLines="50"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危废暂存建应按照《固体废物污染环境防治法》要求，采取防扬撒、防流失、防渗漏等污染防治措施，必须满足《危险废物贮存污染控制标准》（GB18597-2023）要求。针对本项目的危险废物种类，提出以下收集、贮存、运输等方面的要求：</w:t>
            </w:r>
          </w:p>
          <w:p w14:paraId="0567ED92">
            <w:pPr>
              <w:adjustRightInd w:val="0"/>
              <w:snapToGrid w:val="0"/>
              <w:spacing w:before="120" w:beforeLines="50"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①收集方面</w:t>
            </w:r>
          </w:p>
          <w:p w14:paraId="7F11A26C">
            <w:pPr>
              <w:widowControl/>
              <w:spacing w:line="360" w:lineRule="auto"/>
              <w:ind w:firstLine="480" w:firstLineChars="200"/>
              <w:jc w:val="left"/>
              <w:rPr>
                <w:rFonts w:hint="default" w:ascii="Times New Roman" w:hAnsi="Times New Roman" w:cs="Times New Roman"/>
                <w:bCs/>
                <w:color w:val="auto"/>
                <w:sz w:val="24"/>
                <w:highlight w:val="none"/>
              </w:rPr>
            </w:pPr>
            <w:r>
              <w:rPr>
                <w:rFonts w:hint="default" w:ascii="Times New Roman" w:hAnsi="Times New Roman" w:cs="Times New Roman"/>
                <w:color w:val="auto"/>
                <w:kern w:val="0"/>
                <w:sz w:val="24"/>
                <w:highlight w:val="none"/>
                <w:lang w:bidi="ar"/>
              </w:rPr>
              <w:t>对危险废物的容器和包装物以及收集、贮存、运输、利用、处置危险废物的设施、场所，应当按照规定设置危险废物识别标志；</w:t>
            </w:r>
          </w:p>
          <w:p w14:paraId="629105C3">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收集、贮存危险废物，应当按照危险废物特性分类进行。禁止混合收集、贮存、运输、处置性质不相容而未经安全性处置的危险废物，禁止将危险废物混入非危险废物中贮存；</w:t>
            </w:r>
          </w:p>
          <w:p w14:paraId="709705D8">
            <w:pPr>
              <w:adjustRightInd w:val="0"/>
              <w:snapToGrid w:val="0"/>
              <w:spacing w:before="120" w:beforeLines="50"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②储存方面</w:t>
            </w:r>
          </w:p>
          <w:p w14:paraId="6CC820E8">
            <w:pPr>
              <w:adjustRightInd w:val="0"/>
              <w:snapToGrid w:val="0"/>
              <w:spacing w:before="120" w:line="360" w:lineRule="auto"/>
              <w:ind w:firstLine="480" w:firstLineChars="200"/>
              <w:rPr>
                <w:rFonts w:hint="default" w:ascii="Times New Roman" w:hAnsi="Times New Roman" w:cs="Times New Roman"/>
                <w:b/>
                <w:color w:val="auto"/>
                <w:sz w:val="24"/>
                <w:highlight w:val="none"/>
              </w:rPr>
            </w:pPr>
            <w:r>
              <w:rPr>
                <w:rFonts w:hint="default" w:ascii="Times New Roman" w:hAnsi="Times New Roman" w:cs="Times New Roman"/>
                <w:bCs/>
                <w:color w:val="auto"/>
                <w:sz w:val="24"/>
                <w:highlight w:val="none"/>
              </w:rPr>
              <w:t>本项目拟设置专门的危废暂存间，应满足： </w:t>
            </w:r>
            <w:r>
              <w:rPr>
                <w:rFonts w:hint="default" w:ascii="Times New Roman" w:hAnsi="Times New Roman" w:cs="Times New Roman"/>
                <w:b/>
                <w:color w:val="auto"/>
                <w:sz w:val="24"/>
                <w:highlight w:val="none"/>
              </w:rPr>
              <w:t xml:space="preserve"> </w:t>
            </w:r>
          </w:p>
          <w:p w14:paraId="54A364C8">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贮存设施选址应满足生态环境保护法律法规、规划和“三线一单”生态环境分区管控的要求，建设项目应依法进行环境影响评价；</w:t>
            </w:r>
          </w:p>
          <w:p w14:paraId="1B5E3A47">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贮存设施不应选在江河、湖泊、运河、渠道、水库及其最高水位线以下的滩地和岸坡，以及法律法规规定禁止贮存危险废物的其他地点；</w:t>
            </w:r>
          </w:p>
          <w:p w14:paraId="08EE85AC">
            <w:pPr>
              <w:widowControl/>
              <w:spacing w:line="360" w:lineRule="auto"/>
              <w:ind w:firstLine="480" w:firstLineChars="200"/>
              <w:jc w:val="left"/>
              <w:rPr>
                <w:rFonts w:hint="default" w:ascii="Times New Roman" w:hAnsi="Times New Roman" w:cs="Times New Roman"/>
                <w:color w:val="auto"/>
                <w:kern w:val="0"/>
                <w:sz w:val="24"/>
                <w:highlight w:val="none"/>
                <w:lang w:bidi="ar"/>
              </w:rPr>
            </w:pPr>
            <w:r>
              <w:rPr>
                <w:rFonts w:hint="default" w:ascii="Times New Roman" w:hAnsi="Times New Roman" w:cs="Times New Roman"/>
                <w:color w:val="auto"/>
                <w:kern w:val="0"/>
                <w:sz w:val="24"/>
                <w:highlight w:val="none"/>
                <w:lang w:bidi="ar"/>
              </w:rPr>
              <w:t>贮存设施应根据危险废物的形态、物理化学性质、包装形式和污染物迁移途径，采取必要的防风、防晒、防雨、防漏、防渗、防腐以及其他环境污染防治措施，不应露天堆放危险废物；</w:t>
            </w:r>
          </w:p>
          <w:p w14:paraId="418ABCB9">
            <w:pPr>
              <w:widowControl/>
              <w:spacing w:line="360" w:lineRule="auto"/>
              <w:ind w:firstLine="480" w:firstLineChars="200"/>
              <w:jc w:val="left"/>
              <w:rPr>
                <w:rFonts w:hint="default" w:ascii="Times New Roman" w:hAnsi="Times New Roman" w:cs="Times New Roman"/>
                <w:color w:val="auto"/>
                <w:kern w:val="0"/>
                <w:sz w:val="24"/>
                <w:highlight w:val="none"/>
                <w:lang w:bidi="ar"/>
              </w:rPr>
            </w:pPr>
            <w:r>
              <w:rPr>
                <w:rFonts w:hint="default" w:ascii="Times New Roman" w:hAnsi="Times New Roman" w:cs="Times New Roman"/>
                <w:color w:val="auto"/>
                <w:kern w:val="0"/>
                <w:sz w:val="24"/>
                <w:highlight w:val="none"/>
                <w:lang w:bidi="ar"/>
              </w:rPr>
              <w:t>危险废物存入贮存设施前应对危险废物类别和特性与危险废物标签等危险废物识</w:t>
            </w:r>
          </w:p>
          <w:p w14:paraId="0276E99D">
            <w:pPr>
              <w:widowControl/>
              <w:spacing w:line="360" w:lineRule="auto"/>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别标志的一致性进行核验，不一致的或类别、特性不明的不应存入；</w:t>
            </w:r>
          </w:p>
          <w:p w14:paraId="26ECEECC">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贮存设施应根据危险废物的类别、数量、形态、物理化学性质和污染防治等要求设置必要的贮存分区，避免不相容的危险废物接触、混合，贮存库内不同贮存分区之间应采取隔离措施。隔离措施可根据危险废物特性采用过道、隔板或隔墙等方式；</w:t>
            </w:r>
          </w:p>
          <w:p w14:paraId="6A91DBE1">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贮存设施或贮存分区内地面、墙面裙脚、堵截泄漏的围堰、接触危险废物的隔板和墙体等应采用坚固的材料建造，表面无裂缝。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 厚黏土层（渗透系数不大于10</w:t>
            </w:r>
            <w:r>
              <w:rPr>
                <w:rFonts w:hint="default" w:ascii="Times New Roman" w:hAnsi="Times New Roman" w:cs="Times New Roman"/>
                <w:color w:val="auto"/>
                <w:kern w:val="0"/>
                <w:sz w:val="24"/>
                <w:highlight w:val="none"/>
                <w:vertAlign w:val="superscript"/>
                <w:lang w:bidi="ar"/>
              </w:rPr>
              <w:t>-7</w:t>
            </w:r>
            <w:r>
              <w:rPr>
                <w:rFonts w:hint="default" w:ascii="Times New Roman" w:hAnsi="Times New Roman" w:cs="Times New Roman"/>
                <w:color w:val="auto"/>
                <w:kern w:val="0"/>
                <w:sz w:val="24"/>
                <w:highlight w:val="none"/>
                <w:lang w:bidi="ar"/>
              </w:rPr>
              <w:t xml:space="preserve"> cm/s），或至少2 mm 厚高密度聚乙烯膜等人工防渗材料（渗透系数不大于 10</w:t>
            </w:r>
            <w:r>
              <w:rPr>
                <w:rFonts w:hint="default" w:ascii="Times New Roman" w:hAnsi="Times New Roman" w:cs="Times New Roman"/>
                <w:color w:val="auto"/>
                <w:kern w:val="0"/>
                <w:sz w:val="24"/>
                <w:highlight w:val="none"/>
                <w:vertAlign w:val="superscript"/>
                <w:lang w:bidi="ar"/>
              </w:rPr>
              <w:t xml:space="preserve">-10 </w:t>
            </w:r>
            <w:r>
              <w:rPr>
                <w:rFonts w:hint="default" w:ascii="Times New Roman" w:hAnsi="Times New Roman" w:cs="Times New Roman"/>
                <w:color w:val="auto"/>
                <w:kern w:val="0"/>
                <w:sz w:val="24"/>
                <w:highlight w:val="none"/>
                <w:lang w:bidi="ar"/>
              </w:rPr>
              <w:t>cm/s），或其他防渗性能等效的材料；</w:t>
            </w:r>
          </w:p>
          <w:p w14:paraId="78AD3A6D">
            <w:pPr>
              <w:widowControl/>
              <w:spacing w:line="360" w:lineRule="auto"/>
              <w:ind w:firstLine="480" w:firstLineChars="200"/>
              <w:jc w:val="left"/>
              <w:rPr>
                <w:rFonts w:hint="default" w:ascii="Times New Roman" w:hAnsi="Times New Roman" w:cs="Times New Roman"/>
                <w:color w:val="auto"/>
                <w:kern w:val="0"/>
                <w:sz w:val="24"/>
                <w:highlight w:val="none"/>
                <w:lang w:bidi="ar"/>
              </w:rPr>
            </w:pPr>
            <w:r>
              <w:rPr>
                <w:rFonts w:hint="default" w:ascii="Times New Roman" w:hAnsi="Times New Roman" w:cs="Times New Roman"/>
                <w:color w:val="auto"/>
                <w:kern w:val="0"/>
                <w:sz w:val="24"/>
                <w:highlight w:val="none"/>
                <w:lang w:bidi="ar"/>
              </w:rPr>
              <w:t>贮存设施应采取技术和管理措施防止无关人员进入；</w:t>
            </w:r>
          </w:p>
          <w:p w14:paraId="28A752D2">
            <w:pPr>
              <w:widowControl/>
              <w:spacing w:line="360" w:lineRule="auto"/>
              <w:ind w:firstLine="480" w:firstLineChars="20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lang w:bidi="ar"/>
              </w:rPr>
              <w:t>在贮存库内或通过贮存分区方式贮存液态危险废物的，应具有液体泄漏堵截设施，堵截设施最小容积不应低于对应贮存区域最大液态废物容器容积或液态废物总储量 1/10（二者取较大者）；用于贮存可能产生渗滤液的危险废物的贮存库或贮存分区应设计渗滤液收集设施，收集设施容积应满足渗滤液的收集要求；</w:t>
            </w:r>
          </w:p>
          <w:p w14:paraId="3621196E">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针对不同类别、形态、物理化学性质的危险废物，其容器和包装物应满足相应的防渗、防漏、防腐和强度等要求。硬质容器和包装物及其支护结构堆叠码放时不应有明显变形，无破损泄漏。柔性容器和包装物堆叠码放时应封口严密，无破损泄漏。使用容器盛装液态、半固态危险废物时，容器内部应留有适当的空间，以适应因温度变化等可能引发的收缩和膨胀，防止其导致容器渗漏或永久变形。容器和包装物外表面应保持清洁；</w:t>
            </w:r>
          </w:p>
          <w:p w14:paraId="2ED97451">
            <w:pPr>
              <w:widowControl/>
              <w:spacing w:line="360" w:lineRule="auto"/>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应定期检查危险废物的贮存状况，及时清理贮存设施地面，更换破损泄漏的危险废物贮存容器和包装物，保证堆存危险废物的防雨、防风、防扬尘等设施功能完好；</w:t>
            </w:r>
          </w:p>
          <w:p w14:paraId="67501BB8">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 xml:space="preserve">贮存设施运行期间，应按国家有关标准和规定建立危险废物管理台账并保存； </w:t>
            </w:r>
          </w:p>
          <w:p w14:paraId="074448F3">
            <w:pPr>
              <w:widowControl/>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lang w:bidi="ar"/>
              </w:rPr>
              <w:t>贮存设施所有者或运营者应建立贮存设施环境管理制度、管理人员岗位职责制度、设施运行操作制度、人员岗位培训制度等；</w:t>
            </w:r>
          </w:p>
          <w:p w14:paraId="61AF435B">
            <w:pPr>
              <w:widowControl/>
              <w:spacing w:line="360" w:lineRule="auto"/>
              <w:ind w:firstLine="480" w:firstLineChars="200"/>
              <w:jc w:val="left"/>
              <w:rPr>
                <w:rFonts w:hint="default" w:ascii="Times New Roman" w:hAnsi="Times New Roman" w:cs="Times New Roman"/>
                <w:bCs/>
                <w:color w:val="auto"/>
                <w:kern w:val="0"/>
                <w:sz w:val="24"/>
                <w:highlight w:val="none"/>
              </w:rPr>
            </w:pPr>
            <w:r>
              <w:rPr>
                <w:rFonts w:hint="default" w:ascii="Times New Roman" w:hAnsi="Times New Roman" w:cs="Times New Roman"/>
                <w:bCs/>
                <w:color w:val="auto"/>
                <w:kern w:val="0"/>
                <w:sz w:val="24"/>
                <w:highlight w:val="none"/>
              </w:rPr>
              <w:t>项目危险废物的暂存场所设置情况如下表：</w:t>
            </w:r>
          </w:p>
          <w:p w14:paraId="1BB7D2ED">
            <w:pPr>
              <w:adjustRightInd w:val="0"/>
              <w:snapToGrid w:val="0"/>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 4-16 建设项目危险废物贮存场所（设施）基本情况表</w:t>
            </w:r>
          </w:p>
          <w:tbl>
            <w:tblPr>
              <w:tblStyle w:val="26"/>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2207"/>
              <w:gridCol w:w="846"/>
              <w:gridCol w:w="1418"/>
              <w:gridCol w:w="850"/>
              <w:gridCol w:w="1151"/>
              <w:gridCol w:w="795"/>
              <w:gridCol w:w="681"/>
            </w:tblGrid>
            <w:tr w14:paraId="27BD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14:paraId="762391E8">
                  <w:pPr>
                    <w:widowControl/>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kern w:val="0"/>
                      <w:szCs w:val="21"/>
                      <w:highlight w:val="none"/>
                    </w:rPr>
                    <w:t>贮存场所（设施名称）</w:t>
                  </w:r>
                </w:p>
              </w:tc>
              <w:tc>
                <w:tcPr>
                  <w:tcW w:w="2207" w:type="dxa"/>
                  <w:vAlign w:val="center"/>
                </w:tcPr>
                <w:p w14:paraId="4DA159E1">
                  <w:pPr>
                    <w:widowControl/>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kern w:val="0"/>
                      <w:szCs w:val="21"/>
                      <w:highlight w:val="none"/>
                    </w:rPr>
                    <w:t>危险废物名称</w:t>
                  </w:r>
                </w:p>
              </w:tc>
              <w:tc>
                <w:tcPr>
                  <w:tcW w:w="846" w:type="dxa"/>
                  <w:vAlign w:val="center"/>
                </w:tcPr>
                <w:p w14:paraId="4201FC75">
                  <w:pPr>
                    <w:widowControl/>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kern w:val="0"/>
                      <w:szCs w:val="21"/>
                      <w:highlight w:val="none"/>
                    </w:rPr>
                    <w:t>危险废物类别</w:t>
                  </w:r>
                </w:p>
              </w:tc>
              <w:tc>
                <w:tcPr>
                  <w:tcW w:w="1418" w:type="dxa"/>
                  <w:vAlign w:val="center"/>
                </w:tcPr>
                <w:p w14:paraId="613EE7AC">
                  <w:pPr>
                    <w:widowControl/>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kern w:val="0"/>
                      <w:szCs w:val="21"/>
                      <w:highlight w:val="none"/>
                    </w:rPr>
                    <w:t>危险废物代码</w:t>
                  </w:r>
                </w:p>
              </w:tc>
              <w:tc>
                <w:tcPr>
                  <w:tcW w:w="850" w:type="dxa"/>
                  <w:vAlign w:val="center"/>
                </w:tcPr>
                <w:p w14:paraId="454AA327">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占地</w:t>
                  </w:r>
                </w:p>
                <w:p w14:paraId="5B61D7B2">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kern w:val="0"/>
                      <w:szCs w:val="21"/>
                      <w:highlight w:val="none"/>
                    </w:rPr>
                    <w:t>面积</w:t>
                  </w:r>
                </w:p>
              </w:tc>
              <w:tc>
                <w:tcPr>
                  <w:tcW w:w="1151" w:type="dxa"/>
                  <w:vAlign w:val="center"/>
                </w:tcPr>
                <w:p w14:paraId="539CC146">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贮存</w:t>
                  </w:r>
                </w:p>
                <w:p w14:paraId="3FAF6CB4">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kern w:val="0"/>
                      <w:szCs w:val="21"/>
                      <w:highlight w:val="none"/>
                    </w:rPr>
                    <w:t>方式</w:t>
                  </w:r>
                </w:p>
              </w:tc>
              <w:tc>
                <w:tcPr>
                  <w:tcW w:w="795" w:type="dxa"/>
                  <w:vAlign w:val="center"/>
                </w:tcPr>
                <w:p w14:paraId="47E9F9CD">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贮存</w:t>
                  </w:r>
                </w:p>
                <w:p w14:paraId="76210117">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kern w:val="0"/>
                      <w:szCs w:val="21"/>
                      <w:highlight w:val="none"/>
                    </w:rPr>
                    <w:t>能力</w:t>
                  </w:r>
                </w:p>
              </w:tc>
              <w:tc>
                <w:tcPr>
                  <w:tcW w:w="681" w:type="dxa"/>
                  <w:vAlign w:val="center"/>
                </w:tcPr>
                <w:p w14:paraId="6B33C477">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贮存</w:t>
                  </w:r>
                </w:p>
                <w:p w14:paraId="3C0505D6">
                  <w:pPr>
                    <w:widowControl/>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kern w:val="0"/>
                      <w:szCs w:val="21"/>
                      <w:highlight w:val="none"/>
                    </w:rPr>
                    <w:t>周期</w:t>
                  </w:r>
                </w:p>
              </w:tc>
            </w:tr>
            <w:tr w14:paraId="7FCB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80" w:type="dxa"/>
                  <w:vMerge w:val="restart"/>
                  <w:vAlign w:val="center"/>
                </w:tcPr>
                <w:p w14:paraId="355FED25">
                  <w:pPr>
                    <w:widowControl/>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危废暂存危间</w:t>
                  </w:r>
                </w:p>
              </w:tc>
              <w:tc>
                <w:tcPr>
                  <w:tcW w:w="2207" w:type="dxa"/>
                  <w:vAlign w:val="center"/>
                </w:tcPr>
                <w:p w14:paraId="3C1982ED">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废原料桶</w:t>
                  </w:r>
                </w:p>
              </w:tc>
              <w:tc>
                <w:tcPr>
                  <w:tcW w:w="846" w:type="dxa"/>
                  <w:vAlign w:val="center"/>
                </w:tcPr>
                <w:p w14:paraId="39C099D0">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HW49</w:t>
                  </w:r>
                </w:p>
              </w:tc>
              <w:tc>
                <w:tcPr>
                  <w:tcW w:w="1418" w:type="dxa"/>
                  <w:vAlign w:val="center"/>
                </w:tcPr>
                <w:p w14:paraId="2CD980A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900-041-49</w:t>
                  </w:r>
                </w:p>
              </w:tc>
              <w:tc>
                <w:tcPr>
                  <w:tcW w:w="850" w:type="dxa"/>
                  <w:vMerge w:val="restart"/>
                  <w:vAlign w:val="center"/>
                </w:tcPr>
                <w:p w14:paraId="2F285F94">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lang w:val="en-US" w:eastAsia="zh-CN"/>
                    </w:rPr>
                    <w:t>3</w:t>
                  </w:r>
                  <w:r>
                    <w:rPr>
                      <w:rFonts w:hint="default" w:ascii="Times New Roman" w:hAnsi="Times New Roman" w:cs="Times New Roman"/>
                      <w:bCs/>
                      <w:color w:val="auto"/>
                      <w:spacing w:val="-10"/>
                      <w:szCs w:val="21"/>
                      <w:highlight w:val="none"/>
                    </w:rPr>
                    <w:t>0m</w:t>
                  </w:r>
                  <w:r>
                    <w:rPr>
                      <w:rFonts w:hint="default" w:ascii="Times New Roman" w:hAnsi="Times New Roman" w:cs="Times New Roman"/>
                      <w:bCs/>
                      <w:color w:val="auto"/>
                      <w:spacing w:val="-10"/>
                      <w:szCs w:val="21"/>
                      <w:highlight w:val="none"/>
                      <w:vertAlign w:val="superscript"/>
                    </w:rPr>
                    <w:t>2</w:t>
                  </w:r>
                </w:p>
              </w:tc>
              <w:tc>
                <w:tcPr>
                  <w:tcW w:w="1151" w:type="dxa"/>
                  <w:vAlign w:val="center"/>
                </w:tcPr>
                <w:p w14:paraId="3AE7885C">
                  <w:pPr>
                    <w:widowControl/>
                    <w:jc w:val="center"/>
                    <w:rPr>
                      <w:rFonts w:hint="default" w:ascii="Times New Roman" w:hAnsi="Times New Roman" w:cs="Times New Roman"/>
                      <w:bCs/>
                      <w:color w:val="auto"/>
                      <w:spacing w:val="-10"/>
                      <w:szCs w:val="21"/>
                      <w:highlight w:val="none"/>
                    </w:rPr>
                  </w:pPr>
                  <w:r>
                    <w:rPr>
                      <w:rFonts w:hint="default" w:ascii="Times New Roman" w:hAnsi="Times New Roman" w:cs="Times New Roman"/>
                      <w:color w:val="auto"/>
                      <w:kern w:val="0"/>
                      <w:szCs w:val="21"/>
                      <w:highlight w:val="none"/>
                    </w:rPr>
                    <w:t>密闭散装</w:t>
                  </w:r>
                </w:p>
              </w:tc>
              <w:tc>
                <w:tcPr>
                  <w:tcW w:w="795" w:type="dxa"/>
                  <w:vAlign w:val="center"/>
                </w:tcPr>
                <w:p w14:paraId="5F66F1DC">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0.</w:t>
                  </w:r>
                  <w:r>
                    <w:rPr>
                      <w:rFonts w:hint="default" w:ascii="Times New Roman" w:hAnsi="Times New Roman" w:cs="Times New Roman"/>
                      <w:bCs/>
                      <w:color w:val="auto"/>
                      <w:spacing w:val="-10"/>
                      <w:szCs w:val="21"/>
                      <w:highlight w:val="none"/>
                      <w:lang w:val="en-US" w:eastAsia="zh-CN"/>
                    </w:rPr>
                    <w:t>15</w:t>
                  </w:r>
                  <w:r>
                    <w:rPr>
                      <w:rFonts w:hint="default" w:ascii="Times New Roman" w:hAnsi="Times New Roman" w:cs="Times New Roman"/>
                      <w:bCs/>
                      <w:color w:val="auto"/>
                      <w:spacing w:val="-10"/>
                      <w:szCs w:val="21"/>
                      <w:highlight w:val="none"/>
                    </w:rPr>
                    <w:t>t</w:t>
                  </w:r>
                </w:p>
              </w:tc>
              <w:tc>
                <w:tcPr>
                  <w:tcW w:w="681" w:type="dxa"/>
                  <w:vMerge w:val="restart"/>
                  <w:vAlign w:val="center"/>
                </w:tcPr>
                <w:p w14:paraId="0B5966DB">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lang w:val="en-US" w:eastAsia="zh-CN"/>
                    </w:rPr>
                    <w:t>6</w:t>
                  </w:r>
                  <w:r>
                    <w:rPr>
                      <w:rFonts w:hint="default" w:ascii="Times New Roman" w:hAnsi="Times New Roman" w:cs="Times New Roman"/>
                      <w:bCs/>
                      <w:color w:val="auto"/>
                      <w:spacing w:val="-10"/>
                      <w:szCs w:val="21"/>
                      <w:highlight w:val="none"/>
                    </w:rPr>
                    <w:t>个月</w:t>
                  </w:r>
                </w:p>
              </w:tc>
            </w:tr>
            <w:tr w14:paraId="4505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980" w:type="dxa"/>
                  <w:vMerge w:val="continue"/>
                  <w:vAlign w:val="center"/>
                </w:tcPr>
                <w:p w14:paraId="4227972C">
                  <w:pPr>
                    <w:widowControl/>
                    <w:jc w:val="center"/>
                    <w:rPr>
                      <w:rFonts w:hint="default" w:ascii="Times New Roman" w:hAnsi="Times New Roman" w:cs="Times New Roman"/>
                      <w:bCs/>
                      <w:color w:val="auto"/>
                      <w:spacing w:val="-10"/>
                      <w:szCs w:val="21"/>
                      <w:highlight w:val="none"/>
                    </w:rPr>
                  </w:pPr>
                </w:p>
              </w:tc>
              <w:tc>
                <w:tcPr>
                  <w:tcW w:w="2207" w:type="dxa"/>
                  <w:vAlign w:val="center"/>
                </w:tcPr>
                <w:p w14:paraId="03DF4363">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废漆渣</w:t>
                  </w:r>
                </w:p>
              </w:tc>
              <w:tc>
                <w:tcPr>
                  <w:tcW w:w="846" w:type="dxa"/>
                  <w:vAlign w:val="center"/>
                </w:tcPr>
                <w:p w14:paraId="2728DC9F">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HW12</w:t>
                  </w:r>
                </w:p>
              </w:tc>
              <w:tc>
                <w:tcPr>
                  <w:tcW w:w="1418" w:type="dxa"/>
                  <w:vAlign w:val="center"/>
                </w:tcPr>
                <w:p w14:paraId="65A4875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900-252-12</w:t>
                  </w:r>
                </w:p>
              </w:tc>
              <w:tc>
                <w:tcPr>
                  <w:tcW w:w="850" w:type="dxa"/>
                  <w:vMerge w:val="continue"/>
                  <w:vAlign w:val="center"/>
                </w:tcPr>
                <w:p w14:paraId="73E81A2B">
                  <w:pPr>
                    <w:adjustRightInd w:val="0"/>
                    <w:snapToGrid w:val="0"/>
                    <w:jc w:val="center"/>
                    <w:rPr>
                      <w:rFonts w:hint="default" w:ascii="Times New Roman" w:hAnsi="Times New Roman" w:cs="Times New Roman"/>
                      <w:bCs/>
                      <w:color w:val="auto"/>
                      <w:spacing w:val="-10"/>
                      <w:szCs w:val="21"/>
                      <w:highlight w:val="none"/>
                    </w:rPr>
                  </w:pPr>
                </w:p>
              </w:tc>
              <w:tc>
                <w:tcPr>
                  <w:tcW w:w="1151" w:type="dxa"/>
                  <w:vAlign w:val="center"/>
                </w:tcPr>
                <w:p w14:paraId="2A40EB78">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密封袋装</w:t>
                  </w:r>
                </w:p>
              </w:tc>
              <w:tc>
                <w:tcPr>
                  <w:tcW w:w="795" w:type="dxa"/>
                  <w:vAlign w:val="center"/>
                </w:tcPr>
                <w:p w14:paraId="17961A36">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0.</w:t>
                  </w:r>
                  <w:r>
                    <w:rPr>
                      <w:rFonts w:hint="default" w:ascii="Times New Roman" w:hAnsi="Times New Roman" w:cs="Times New Roman"/>
                      <w:bCs/>
                      <w:color w:val="auto"/>
                      <w:spacing w:val="-10"/>
                      <w:szCs w:val="21"/>
                      <w:highlight w:val="none"/>
                      <w:lang w:val="en-US" w:eastAsia="zh-CN"/>
                    </w:rPr>
                    <w:t>6</w:t>
                  </w:r>
                  <w:r>
                    <w:rPr>
                      <w:rFonts w:hint="default" w:ascii="Times New Roman" w:hAnsi="Times New Roman" w:cs="Times New Roman"/>
                      <w:bCs/>
                      <w:color w:val="auto"/>
                      <w:spacing w:val="-10"/>
                      <w:szCs w:val="21"/>
                      <w:highlight w:val="none"/>
                    </w:rPr>
                    <w:t>5t</w:t>
                  </w:r>
                </w:p>
              </w:tc>
              <w:tc>
                <w:tcPr>
                  <w:tcW w:w="681" w:type="dxa"/>
                  <w:vMerge w:val="continue"/>
                  <w:vAlign w:val="center"/>
                </w:tcPr>
                <w:p w14:paraId="74784542">
                  <w:pPr>
                    <w:adjustRightInd w:val="0"/>
                    <w:snapToGrid w:val="0"/>
                    <w:jc w:val="center"/>
                    <w:rPr>
                      <w:rFonts w:hint="default" w:ascii="Times New Roman" w:hAnsi="Times New Roman" w:cs="Times New Roman"/>
                      <w:bCs/>
                      <w:color w:val="auto"/>
                      <w:spacing w:val="-10"/>
                      <w:szCs w:val="21"/>
                      <w:highlight w:val="none"/>
                    </w:rPr>
                  </w:pPr>
                </w:p>
              </w:tc>
            </w:tr>
            <w:tr w14:paraId="43D2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80" w:type="dxa"/>
                  <w:vMerge w:val="continue"/>
                  <w:vAlign w:val="center"/>
                </w:tcPr>
                <w:p w14:paraId="0E3A52E1">
                  <w:pPr>
                    <w:widowControl/>
                    <w:jc w:val="center"/>
                    <w:rPr>
                      <w:rFonts w:hint="default" w:ascii="Times New Roman" w:hAnsi="Times New Roman" w:cs="Times New Roman"/>
                      <w:bCs/>
                      <w:color w:val="auto"/>
                      <w:spacing w:val="-10"/>
                      <w:szCs w:val="21"/>
                      <w:highlight w:val="none"/>
                    </w:rPr>
                  </w:pPr>
                </w:p>
              </w:tc>
              <w:tc>
                <w:tcPr>
                  <w:tcW w:w="2207" w:type="dxa"/>
                  <w:vAlign w:val="center"/>
                </w:tcPr>
                <w:p w14:paraId="6E8A330A">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废活性炭及其吸附物</w:t>
                  </w:r>
                </w:p>
              </w:tc>
              <w:tc>
                <w:tcPr>
                  <w:tcW w:w="846" w:type="dxa"/>
                  <w:vAlign w:val="center"/>
                </w:tcPr>
                <w:p w14:paraId="46D4F467">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HW49</w:t>
                  </w:r>
                </w:p>
              </w:tc>
              <w:tc>
                <w:tcPr>
                  <w:tcW w:w="1418" w:type="dxa"/>
                  <w:vAlign w:val="center"/>
                </w:tcPr>
                <w:p w14:paraId="72B0F14D">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900-039-49</w:t>
                  </w:r>
                </w:p>
              </w:tc>
              <w:tc>
                <w:tcPr>
                  <w:tcW w:w="850" w:type="dxa"/>
                  <w:vMerge w:val="continue"/>
                  <w:vAlign w:val="center"/>
                </w:tcPr>
                <w:p w14:paraId="092607AB">
                  <w:pPr>
                    <w:adjustRightInd w:val="0"/>
                    <w:snapToGrid w:val="0"/>
                    <w:jc w:val="center"/>
                    <w:rPr>
                      <w:rFonts w:hint="default" w:ascii="Times New Roman" w:hAnsi="Times New Roman" w:cs="Times New Roman"/>
                      <w:bCs/>
                      <w:color w:val="auto"/>
                      <w:spacing w:val="-10"/>
                      <w:szCs w:val="21"/>
                      <w:highlight w:val="none"/>
                    </w:rPr>
                  </w:pPr>
                </w:p>
              </w:tc>
              <w:tc>
                <w:tcPr>
                  <w:tcW w:w="1151" w:type="dxa"/>
                  <w:vAlign w:val="center"/>
                </w:tcPr>
                <w:p w14:paraId="1300E5CB">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密封袋装</w:t>
                  </w:r>
                </w:p>
              </w:tc>
              <w:tc>
                <w:tcPr>
                  <w:tcW w:w="795" w:type="dxa"/>
                  <w:vAlign w:val="center"/>
                </w:tcPr>
                <w:p w14:paraId="247C58D7">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lang w:val="en-US" w:eastAsia="zh-CN"/>
                    </w:rPr>
                    <w:t>2</w:t>
                  </w:r>
                  <w:r>
                    <w:rPr>
                      <w:rFonts w:hint="default" w:ascii="Times New Roman" w:hAnsi="Times New Roman" w:cs="Times New Roman"/>
                      <w:bCs/>
                      <w:color w:val="auto"/>
                      <w:spacing w:val="-10"/>
                      <w:szCs w:val="21"/>
                      <w:highlight w:val="none"/>
                    </w:rPr>
                    <w:t>t</w:t>
                  </w:r>
                </w:p>
              </w:tc>
              <w:tc>
                <w:tcPr>
                  <w:tcW w:w="681" w:type="dxa"/>
                  <w:vMerge w:val="continue"/>
                  <w:vAlign w:val="center"/>
                </w:tcPr>
                <w:p w14:paraId="5168FD81">
                  <w:pPr>
                    <w:adjustRightInd w:val="0"/>
                    <w:snapToGrid w:val="0"/>
                    <w:jc w:val="center"/>
                    <w:rPr>
                      <w:rFonts w:hint="default" w:ascii="Times New Roman" w:hAnsi="Times New Roman" w:cs="Times New Roman"/>
                      <w:bCs/>
                      <w:color w:val="auto"/>
                      <w:spacing w:val="-10"/>
                      <w:szCs w:val="21"/>
                      <w:highlight w:val="none"/>
                    </w:rPr>
                  </w:pPr>
                </w:p>
              </w:tc>
            </w:tr>
            <w:tr w14:paraId="72F8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80" w:type="dxa"/>
                  <w:vMerge w:val="continue"/>
                  <w:vAlign w:val="center"/>
                </w:tcPr>
                <w:p w14:paraId="718A5C07">
                  <w:pPr>
                    <w:widowControl/>
                    <w:jc w:val="center"/>
                    <w:rPr>
                      <w:rFonts w:hint="default" w:ascii="Times New Roman" w:hAnsi="Times New Roman" w:cs="Times New Roman"/>
                      <w:bCs/>
                      <w:color w:val="auto"/>
                      <w:spacing w:val="-10"/>
                      <w:szCs w:val="21"/>
                      <w:highlight w:val="none"/>
                    </w:rPr>
                  </w:pPr>
                </w:p>
              </w:tc>
              <w:tc>
                <w:tcPr>
                  <w:tcW w:w="2207" w:type="dxa"/>
                  <w:vAlign w:val="center"/>
                </w:tcPr>
                <w:p w14:paraId="63F97BAA">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粉末喷涂废滤芯</w:t>
                  </w:r>
                </w:p>
              </w:tc>
              <w:tc>
                <w:tcPr>
                  <w:tcW w:w="846" w:type="dxa"/>
                  <w:vAlign w:val="center"/>
                </w:tcPr>
                <w:p w14:paraId="750A2429">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HW49</w:t>
                  </w:r>
                </w:p>
              </w:tc>
              <w:tc>
                <w:tcPr>
                  <w:tcW w:w="1418" w:type="dxa"/>
                  <w:vAlign w:val="center"/>
                </w:tcPr>
                <w:p w14:paraId="211A3F51">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900-041-49</w:t>
                  </w:r>
                </w:p>
              </w:tc>
              <w:tc>
                <w:tcPr>
                  <w:tcW w:w="850" w:type="dxa"/>
                  <w:vMerge w:val="continue"/>
                  <w:vAlign w:val="center"/>
                </w:tcPr>
                <w:p w14:paraId="06FBDB2C">
                  <w:pPr>
                    <w:adjustRightInd w:val="0"/>
                    <w:snapToGrid w:val="0"/>
                    <w:jc w:val="center"/>
                    <w:rPr>
                      <w:rFonts w:hint="default" w:ascii="Times New Roman" w:hAnsi="Times New Roman" w:cs="Times New Roman"/>
                      <w:bCs/>
                      <w:color w:val="auto"/>
                      <w:spacing w:val="-10"/>
                      <w:szCs w:val="21"/>
                      <w:highlight w:val="none"/>
                    </w:rPr>
                  </w:pPr>
                </w:p>
              </w:tc>
              <w:tc>
                <w:tcPr>
                  <w:tcW w:w="1151" w:type="dxa"/>
                  <w:vAlign w:val="center"/>
                </w:tcPr>
                <w:p w14:paraId="0713EB2C">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密封袋装</w:t>
                  </w:r>
                </w:p>
              </w:tc>
              <w:tc>
                <w:tcPr>
                  <w:tcW w:w="795" w:type="dxa"/>
                  <w:vAlign w:val="center"/>
                </w:tcPr>
                <w:p w14:paraId="2231B5B4">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0.03t</w:t>
                  </w:r>
                </w:p>
              </w:tc>
              <w:tc>
                <w:tcPr>
                  <w:tcW w:w="681" w:type="dxa"/>
                  <w:vMerge w:val="continue"/>
                  <w:vAlign w:val="center"/>
                </w:tcPr>
                <w:p w14:paraId="68146F23">
                  <w:pPr>
                    <w:adjustRightInd w:val="0"/>
                    <w:snapToGrid w:val="0"/>
                    <w:jc w:val="center"/>
                    <w:rPr>
                      <w:rFonts w:hint="default" w:ascii="Times New Roman" w:hAnsi="Times New Roman" w:cs="Times New Roman"/>
                      <w:bCs/>
                      <w:color w:val="auto"/>
                      <w:spacing w:val="-10"/>
                      <w:szCs w:val="21"/>
                      <w:highlight w:val="none"/>
                    </w:rPr>
                  </w:pPr>
                </w:p>
              </w:tc>
            </w:tr>
            <w:tr w14:paraId="05D4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80" w:type="dxa"/>
                  <w:vMerge w:val="continue"/>
                  <w:vAlign w:val="center"/>
                </w:tcPr>
                <w:p w14:paraId="444ABE52">
                  <w:pPr>
                    <w:widowControl/>
                    <w:jc w:val="center"/>
                    <w:rPr>
                      <w:rFonts w:hint="default" w:ascii="Times New Roman" w:hAnsi="Times New Roman" w:cs="Times New Roman"/>
                      <w:bCs/>
                      <w:color w:val="auto"/>
                      <w:spacing w:val="-10"/>
                      <w:szCs w:val="21"/>
                      <w:highlight w:val="none"/>
                    </w:rPr>
                  </w:pPr>
                </w:p>
              </w:tc>
              <w:tc>
                <w:tcPr>
                  <w:tcW w:w="2207" w:type="dxa"/>
                  <w:vAlign w:val="center"/>
                </w:tcPr>
                <w:p w14:paraId="02742489">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废喷粉</w:t>
                  </w:r>
                </w:p>
              </w:tc>
              <w:tc>
                <w:tcPr>
                  <w:tcW w:w="846" w:type="dxa"/>
                  <w:vAlign w:val="center"/>
                </w:tcPr>
                <w:p w14:paraId="3CAA5FF4">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HW12</w:t>
                  </w:r>
                </w:p>
              </w:tc>
              <w:tc>
                <w:tcPr>
                  <w:tcW w:w="1418" w:type="dxa"/>
                  <w:vAlign w:val="center"/>
                </w:tcPr>
                <w:p w14:paraId="6F2FF8B8">
                  <w:pPr>
                    <w:adjustRightInd w:val="0"/>
                    <w:snapToGrid w:val="0"/>
                    <w:spacing w:before="120" w:beforeLines="5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900-299-12</w:t>
                  </w:r>
                </w:p>
              </w:tc>
              <w:tc>
                <w:tcPr>
                  <w:tcW w:w="850" w:type="dxa"/>
                  <w:vMerge w:val="continue"/>
                  <w:vAlign w:val="center"/>
                </w:tcPr>
                <w:p w14:paraId="1E659CF6">
                  <w:pPr>
                    <w:adjustRightInd w:val="0"/>
                    <w:snapToGrid w:val="0"/>
                    <w:jc w:val="center"/>
                    <w:rPr>
                      <w:rFonts w:hint="default" w:ascii="Times New Roman" w:hAnsi="Times New Roman" w:cs="Times New Roman"/>
                      <w:bCs/>
                      <w:color w:val="auto"/>
                      <w:spacing w:val="-10"/>
                      <w:szCs w:val="21"/>
                      <w:highlight w:val="none"/>
                    </w:rPr>
                  </w:pPr>
                </w:p>
              </w:tc>
              <w:tc>
                <w:tcPr>
                  <w:tcW w:w="1151" w:type="dxa"/>
                  <w:vAlign w:val="center"/>
                </w:tcPr>
                <w:p w14:paraId="3B43556C">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密封袋装</w:t>
                  </w:r>
                </w:p>
              </w:tc>
              <w:tc>
                <w:tcPr>
                  <w:tcW w:w="795" w:type="dxa"/>
                  <w:vAlign w:val="center"/>
                </w:tcPr>
                <w:p w14:paraId="2130D1B9">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0.1t</w:t>
                  </w:r>
                </w:p>
              </w:tc>
              <w:tc>
                <w:tcPr>
                  <w:tcW w:w="681" w:type="dxa"/>
                  <w:vMerge w:val="continue"/>
                  <w:vAlign w:val="center"/>
                </w:tcPr>
                <w:p w14:paraId="68EA769A">
                  <w:pPr>
                    <w:adjustRightInd w:val="0"/>
                    <w:snapToGrid w:val="0"/>
                    <w:jc w:val="center"/>
                    <w:rPr>
                      <w:rFonts w:hint="default" w:ascii="Times New Roman" w:hAnsi="Times New Roman" w:cs="Times New Roman"/>
                      <w:bCs/>
                      <w:color w:val="auto"/>
                      <w:spacing w:val="-10"/>
                      <w:szCs w:val="21"/>
                      <w:highlight w:val="none"/>
                    </w:rPr>
                  </w:pPr>
                </w:p>
              </w:tc>
            </w:tr>
            <w:tr w14:paraId="28C4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80" w:type="dxa"/>
                  <w:vMerge w:val="continue"/>
                  <w:vAlign w:val="center"/>
                </w:tcPr>
                <w:p w14:paraId="54C7D412">
                  <w:pPr>
                    <w:widowControl/>
                    <w:jc w:val="center"/>
                    <w:rPr>
                      <w:rFonts w:hint="default" w:ascii="Times New Roman" w:hAnsi="Times New Roman" w:cs="Times New Roman"/>
                      <w:bCs/>
                      <w:color w:val="auto"/>
                      <w:spacing w:val="-10"/>
                      <w:szCs w:val="21"/>
                      <w:highlight w:val="none"/>
                    </w:rPr>
                  </w:pPr>
                </w:p>
              </w:tc>
              <w:tc>
                <w:tcPr>
                  <w:tcW w:w="2207" w:type="dxa"/>
                  <w:vAlign w:val="center"/>
                </w:tcPr>
                <w:p w14:paraId="111FA24A">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水帘柜废水</w:t>
                  </w:r>
                </w:p>
              </w:tc>
              <w:tc>
                <w:tcPr>
                  <w:tcW w:w="846" w:type="dxa"/>
                  <w:vAlign w:val="center"/>
                </w:tcPr>
                <w:p w14:paraId="05A1AC01">
                  <w:pPr>
                    <w:adjustRightInd w:val="0"/>
                    <w:snapToGrid w:val="0"/>
                    <w:spacing w:before="120" w:beforeLines="5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HW12</w:t>
                  </w:r>
                </w:p>
              </w:tc>
              <w:tc>
                <w:tcPr>
                  <w:tcW w:w="1418" w:type="dxa"/>
                  <w:vAlign w:val="center"/>
                </w:tcPr>
                <w:p w14:paraId="265061E8">
                  <w:pPr>
                    <w:adjustRightInd w:val="0"/>
                    <w:snapToGrid w:val="0"/>
                    <w:spacing w:before="120" w:beforeLines="5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900-252-12</w:t>
                  </w:r>
                </w:p>
              </w:tc>
              <w:tc>
                <w:tcPr>
                  <w:tcW w:w="850" w:type="dxa"/>
                  <w:vMerge w:val="continue"/>
                  <w:vAlign w:val="center"/>
                </w:tcPr>
                <w:p w14:paraId="74C8B5F4">
                  <w:pPr>
                    <w:adjustRightInd w:val="0"/>
                    <w:snapToGrid w:val="0"/>
                    <w:jc w:val="center"/>
                    <w:rPr>
                      <w:rFonts w:hint="default" w:ascii="Times New Roman" w:hAnsi="Times New Roman" w:cs="Times New Roman"/>
                      <w:bCs/>
                      <w:color w:val="auto"/>
                      <w:spacing w:val="-10"/>
                      <w:szCs w:val="21"/>
                      <w:highlight w:val="none"/>
                    </w:rPr>
                  </w:pPr>
                </w:p>
              </w:tc>
              <w:tc>
                <w:tcPr>
                  <w:tcW w:w="1151" w:type="dxa"/>
                  <w:vAlign w:val="center"/>
                </w:tcPr>
                <w:p w14:paraId="52F94614">
                  <w:pPr>
                    <w:widowControl/>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密封桶装</w:t>
                  </w:r>
                </w:p>
              </w:tc>
              <w:tc>
                <w:tcPr>
                  <w:tcW w:w="795" w:type="dxa"/>
                  <w:vAlign w:val="center"/>
                </w:tcPr>
                <w:p w14:paraId="40025198">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lang w:val="en-US" w:eastAsia="zh-CN"/>
                    </w:rPr>
                    <w:t>4</w:t>
                  </w:r>
                  <w:r>
                    <w:rPr>
                      <w:rFonts w:hint="default" w:ascii="Times New Roman" w:hAnsi="Times New Roman" w:cs="Times New Roman"/>
                      <w:bCs/>
                      <w:color w:val="auto"/>
                      <w:spacing w:val="-10"/>
                      <w:szCs w:val="21"/>
                      <w:highlight w:val="none"/>
                    </w:rPr>
                    <w:t>t</w:t>
                  </w:r>
                </w:p>
              </w:tc>
              <w:tc>
                <w:tcPr>
                  <w:tcW w:w="681" w:type="dxa"/>
                  <w:vMerge w:val="continue"/>
                  <w:vAlign w:val="center"/>
                </w:tcPr>
                <w:p w14:paraId="34011660">
                  <w:pPr>
                    <w:adjustRightInd w:val="0"/>
                    <w:snapToGrid w:val="0"/>
                    <w:jc w:val="center"/>
                    <w:rPr>
                      <w:rFonts w:hint="default" w:ascii="Times New Roman" w:hAnsi="Times New Roman" w:cs="Times New Roman"/>
                      <w:bCs/>
                      <w:color w:val="auto"/>
                      <w:spacing w:val="-10"/>
                      <w:szCs w:val="21"/>
                      <w:highlight w:val="none"/>
                    </w:rPr>
                  </w:pPr>
                </w:p>
              </w:tc>
            </w:tr>
          </w:tbl>
          <w:p w14:paraId="0AC29385">
            <w:pPr>
              <w:widowControl/>
              <w:spacing w:before="120" w:beforeLines="50" w:line="360" w:lineRule="auto"/>
              <w:ind w:firstLine="480" w:firstLineChars="200"/>
              <w:jc w:val="left"/>
              <w:rPr>
                <w:rFonts w:hint="default" w:ascii="Times New Roman" w:hAnsi="Times New Roman" w:cs="Times New Roman"/>
                <w:bCs/>
                <w:color w:val="auto"/>
                <w:sz w:val="24"/>
                <w:highlight w:val="none"/>
              </w:rPr>
            </w:pPr>
            <w:r>
              <w:rPr>
                <w:rFonts w:hint="default" w:ascii="Times New Roman" w:hAnsi="Times New Roman" w:cs="Times New Roman"/>
                <w:bCs/>
                <w:color w:val="auto"/>
                <w:kern w:val="0"/>
                <w:sz w:val="24"/>
                <w:highlight w:val="none"/>
              </w:rPr>
              <w:t xml:space="preserve">③运输方面 </w:t>
            </w:r>
          </w:p>
          <w:p w14:paraId="65A20066">
            <w:pPr>
              <w:widowControl/>
              <w:spacing w:before="120" w:beforeLines="50"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 xml:space="preserve">执行危险废物转移联单制度，登记危险废物的的转出单位、数量、类型、最终处置单位等，并且在项目投入运营前应与危废处理单位签订合同。 </w:t>
            </w:r>
          </w:p>
          <w:p w14:paraId="12F633E8">
            <w:pPr>
              <w:widowControl/>
              <w:spacing w:before="120" w:beforeLines="50"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 xml:space="preserve">危险废物由危废处理单位用专用危废运输车进行运输，严格按照危险货物运输的管理规定进行，减少运输过程中的二次污染和可能造成的环境风险。 </w:t>
            </w:r>
          </w:p>
          <w:p w14:paraId="0A31FF83">
            <w:pPr>
              <w:widowControl/>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本项目危险废物拟集中收集，严格按照《危险废物贮存污染控制标准》（GB18597-2023），暂存于厂区内危废暂存间，定期委托具有危险废物处理资质的单位处理，对周边环境影响较小。危废仓面积约为</w:t>
            </w:r>
            <w:r>
              <w:rPr>
                <w:rFonts w:hint="default" w:ascii="Times New Roman" w:hAnsi="Times New Roman" w:cs="Times New Roman"/>
                <w:color w:val="auto"/>
                <w:kern w:val="0"/>
                <w:sz w:val="24"/>
                <w:highlight w:val="none"/>
                <w:lang w:val="en-US" w:eastAsia="zh-CN"/>
              </w:rPr>
              <w:t>3</w:t>
            </w:r>
            <w:r>
              <w:rPr>
                <w:rFonts w:hint="default" w:ascii="Times New Roman" w:hAnsi="Times New Roman" w:cs="Times New Roman"/>
                <w:color w:val="auto"/>
                <w:kern w:val="0"/>
                <w:sz w:val="24"/>
                <w:highlight w:val="none"/>
              </w:rPr>
              <w:t>0m</w:t>
            </w:r>
            <w:r>
              <w:rPr>
                <w:rFonts w:hint="default" w:ascii="Times New Roman" w:hAnsi="Times New Roman" w:cs="Times New Roman"/>
                <w:color w:val="auto"/>
                <w:kern w:val="0"/>
                <w:sz w:val="24"/>
                <w:highlight w:val="none"/>
                <w:vertAlign w:val="superscript"/>
              </w:rPr>
              <w:t>2</w:t>
            </w:r>
            <w:r>
              <w:rPr>
                <w:rFonts w:hint="default" w:ascii="Times New Roman" w:hAnsi="Times New Roman" w:cs="Times New Roman"/>
                <w:color w:val="auto"/>
                <w:kern w:val="0"/>
                <w:sz w:val="24"/>
                <w:highlight w:val="none"/>
              </w:rPr>
              <w:t>，有充足位置暂存本项目产生的危险废物。</w:t>
            </w:r>
          </w:p>
          <w:p w14:paraId="3B23E8DB">
            <w:pPr>
              <w:widowControl/>
              <w:spacing w:before="120" w:beforeLines="50" w:line="360" w:lineRule="auto"/>
              <w:ind w:firstLine="480" w:firstLineChars="200"/>
              <w:jc w:val="left"/>
              <w:rPr>
                <w:rFonts w:hint="default" w:ascii="Times New Roman" w:hAnsi="Times New Roman" w:cs="Times New Roman"/>
                <w:b/>
                <w:color w:val="auto"/>
                <w:szCs w:val="21"/>
                <w:highlight w:val="none"/>
              </w:rPr>
            </w:pPr>
            <w:r>
              <w:rPr>
                <w:rFonts w:hint="default" w:ascii="Times New Roman" w:hAnsi="Times New Roman" w:cs="Times New Roman"/>
                <w:color w:val="auto"/>
                <w:kern w:val="0"/>
                <w:sz w:val="24"/>
                <w:highlight w:val="none"/>
              </w:rPr>
              <w:t>可见，项目产生的固体废弃物均得到妥善处置，对周围环境造成的影响在可接受范围内。</w:t>
            </w:r>
          </w:p>
          <w:p w14:paraId="6BA8F019">
            <w:pPr>
              <w:spacing w:line="360" w:lineRule="auto"/>
              <w:ind w:firstLine="482" w:firstLineChars="200"/>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5、地下水、土壤</w:t>
            </w:r>
          </w:p>
          <w:p w14:paraId="4B0FE76B">
            <w:pPr>
              <w:adjustRightInd w:val="0"/>
              <w:snapToGrid w:val="0"/>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r>
              <w:rPr>
                <w:rFonts w:hint="default" w:ascii="Times New Roman" w:hAnsi="Times New Roman" w:cs="Times New Roman"/>
                <w:color w:val="auto"/>
                <w:sz w:val="24"/>
                <w:highlight w:val="none"/>
              </w:rPr>
              <w:t>本项目使用的原料、产品、固废、废物中均不含重金属、持久性有机物；无生产废水及生活污水产生。项目厂区车间均进行硬底化，不存在土壤、地下水污染途径，不会对地下水、土壤造成污染。</w:t>
            </w:r>
          </w:p>
          <w:p w14:paraId="3C2DC2EC">
            <w:pPr>
              <w:adjustRightInd w:val="0"/>
              <w:snapToGrid w:val="0"/>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bCs/>
                <w:color w:val="auto"/>
                <w:kern w:val="0"/>
                <w:sz w:val="24"/>
                <w:highlight w:val="none"/>
              </w:rPr>
              <w:t>6、</w:t>
            </w:r>
            <w:r>
              <w:rPr>
                <w:rFonts w:hint="default" w:ascii="Times New Roman" w:hAnsi="Times New Roman" w:cs="Times New Roman"/>
                <w:b/>
                <w:color w:val="auto"/>
                <w:sz w:val="24"/>
                <w:highlight w:val="none"/>
              </w:rPr>
              <w:t>生态环境</w:t>
            </w:r>
          </w:p>
          <w:p w14:paraId="429BA36A">
            <w:pPr>
              <w:adjustRightInd w:val="0"/>
              <w:snapToGrid w:val="0"/>
              <w:spacing w:line="360" w:lineRule="auto"/>
              <w:ind w:firstLine="480" w:firstLineChars="200"/>
              <w:rPr>
                <w:rFonts w:hint="default" w:ascii="Times New Roman" w:hAnsi="Times New Roman" w:cs="Times New Roman"/>
                <w:b/>
                <w:color w:val="auto"/>
                <w:sz w:val="24"/>
                <w:highlight w:val="none"/>
              </w:rPr>
            </w:pPr>
            <w:r>
              <w:rPr>
                <w:rFonts w:hint="default" w:ascii="Times New Roman" w:hAnsi="Times New Roman" w:cs="Times New Roman"/>
                <w:bCs/>
                <w:color w:val="auto"/>
                <w:sz w:val="24"/>
                <w:highlight w:val="none"/>
              </w:rPr>
              <w:t>本项目用地范围内</w:t>
            </w:r>
            <w:r>
              <w:rPr>
                <w:rFonts w:hint="default" w:ascii="Times New Roman" w:hAnsi="Times New Roman" w:cs="Times New Roman"/>
                <w:color w:val="auto"/>
                <w:kern w:val="0"/>
                <w:sz w:val="24"/>
                <w:highlight w:val="none"/>
              </w:rPr>
              <w:t>不含生态环境保护目标。</w:t>
            </w:r>
          </w:p>
          <w:p w14:paraId="67D8DE84">
            <w:pPr>
              <w:widowControl/>
              <w:spacing w:line="360" w:lineRule="auto"/>
              <w:ind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7、环境风险</w:t>
            </w:r>
          </w:p>
          <w:p w14:paraId="05DD52F6">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（1）风险调查</w:t>
            </w:r>
          </w:p>
          <w:p w14:paraId="16C45527">
            <w:pPr>
              <w:spacing w:line="360" w:lineRule="auto"/>
              <w:ind w:firstLine="440" w:firstLineChars="200"/>
              <w:rPr>
                <w:rFonts w:hint="default" w:ascii="Times New Roman" w:hAnsi="Times New Roman" w:cs="Times New Roman"/>
                <w:color w:val="auto"/>
                <w:sz w:val="24"/>
                <w:highlight w:val="none"/>
              </w:rPr>
            </w:pPr>
            <w:r>
              <w:rPr>
                <w:rFonts w:hint="default" w:ascii="Times New Roman" w:hAnsi="Times New Roman" w:cs="Times New Roman"/>
                <w:bCs/>
                <w:color w:val="auto"/>
                <w:spacing w:val="-10"/>
                <w:sz w:val="24"/>
                <w:highlight w:val="none"/>
              </w:rPr>
              <w:t>根据《建设项目环境风险评价技术导则》（HJ 169-2018）附录B 、《危险化学品重大危险源辨识》（GB18218-2018）及</w:t>
            </w:r>
            <w:r>
              <w:rPr>
                <w:rFonts w:hint="default" w:ascii="Times New Roman" w:hAnsi="Times New Roman" w:cs="Times New Roman"/>
                <w:color w:val="auto"/>
                <w:sz w:val="24"/>
                <w:highlight w:val="none"/>
              </w:rPr>
              <w:t>《危险化学品目录(2022调整版)》</w:t>
            </w:r>
            <w:r>
              <w:rPr>
                <w:rFonts w:hint="default" w:ascii="Times New Roman" w:hAnsi="Times New Roman" w:cs="Times New Roman"/>
                <w:bCs/>
                <w:color w:val="auto"/>
                <w:spacing w:val="-10"/>
                <w:sz w:val="24"/>
                <w:highlight w:val="none"/>
              </w:rPr>
              <w:t>对项目进行辨识，项目生产过程中涉及的环境风险物质为耐高温漆、稀释剂、废原料桶、废漆渣、粉末喷涂废滤芯、废喷粉、水帘柜废水、废活性炭及其吸附物等。</w:t>
            </w:r>
          </w:p>
          <w:p w14:paraId="05036BF9">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（2）环境风险潜势判定</w:t>
            </w:r>
          </w:p>
          <w:p w14:paraId="6F51E8C6">
            <w:pPr>
              <w:snapToGrid w:val="0"/>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建设项目环境风险评价技术导则》（HJ169-2018），环境风险评价工作等级分为一级、二级、三级。根据建设项目涉及的物质及工艺系统危险性和所在地环境敏感性确定环境风险潜势。风险评价工作等级见下表。</w:t>
            </w:r>
          </w:p>
          <w:p w14:paraId="345BF269">
            <w:pPr>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表4-17 风险评价工作等级</w:t>
            </w:r>
          </w:p>
          <w:tbl>
            <w:tblPr>
              <w:tblStyle w:val="26"/>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1676"/>
              <w:gridCol w:w="1676"/>
              <w:gridCol w:w="1676"/>
              <w:gridCol w:w="2342"/>
            </w:tblGrid>
            <w:tr w14:paraId="5DF6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dxa"/>
                  <w:shd w:val="clear" w:color="auto" w:fill="auto"/>
                </w:tcPr>
                <w:p w14:paraId="466F70FF">
                  <w:pPr>
                    <w:spacing w:line="36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环境风险潜势</w:t>
                  </w:r>
                </w:p>
              </w:tc>
              <w:tc>
                <w:tcPr>
                  <w:tcW w:w="1676" w:type="dxa"/>
                  <w:shd w:val="clear" w:color="auto" w:fill="auto"/>
                </w:tcPr>
                <w:p w14:paraId="3C4ED216">
                  <w:pPr>
                    <w:spacing w:line="36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Ⅳ、Ⅳ</w:t>
                  </w:r>
                  <w:r>
                    <w:rPr>
                      <w:rFonts w:hint="default" w:ascii="Times New Roman" w:hAnsi="Times New Roman" w:cs="Times New Roman"/>
                      <w:b/>
                      <w:bCs/>
                      <w:color w:val="auto"/>
                      <w:szCs w:val="21"/>
                      <w:highlight w:val="none"/>
                      <w:vertAlign w:val="superscript"/>
                    </w:rPr>
                    <w:t>+</w:t>
                  </w:r>
                </w:p>
              </w:tc>
              <w:tc>
                <w:tcPr>
                  <w:tcW w:w="1676" w:type="dxa"/>
                  <w:shd w:val="clear" w:color="auto" w:fill="auto"/>
                </w:tcPr>
                <w:p w14:paraId="36DE5B9A">
                  <w:pPr>
                    <w:spacing w:line="36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Ⅲ</w:t>
                  </w:r>
                </w:p>
              </w:tc>
              <w:tc>
                <w:tcPr>
                  <w:tcW w:w="1676" w:type="dxa"/>
                  <w:shd w:val="clear" w:color="auto" w:fill="auto"/>
                </w:tcPr>
                <w:p w14:paraId="0B6CF2F9">
                  <w:pPr>
                    <w:spacing w:line="36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Ⅱ</w:t>
                  </w:r>
                </w:p>
              </w:tc>
              <w:tc>
                <w:tcPr>
                  <w:tcW w:w="2342" w:type="dxa"/>
                  <w:shd w:val="clear" w:color="auto" w:fill="auto"/>
                </w:tcPr>
                <w:p w14:paraId="6DB1EDA1">
                  <w:pPr>
                    <w:spacing w:line="36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Ⅰ</w:t>
                  </w:r>
                </w:p>
              </w:tc>
            </w:tr>
            <w:tr w14:paraId="6503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dxa"/>
                  <w:shd w:val="clear" w:color="auto" w:fill="auto"/>
                </w:tcPr>
                <w:p w14:paraId="4A69291D">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评价工作等级</w:t>
                  </w:r>
                </w:p>
              </w:tc>
              <w:tc>
                <w:tcPr>
                  <w:tcW w:w="1676" w:type="dxa"/>
                  <w:shd w:val="clear" w:color="auto" w:fill="auto"/>
                </w:tcPr>
                <w:p w14:paraId="3F5B1833">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w:t>
                  </w:r>
                </w:p>
              </w:tc>
              <w:tc>
                <w:tcPr>
                  <w:tcW w:w="1676" w:type="dxa"/>
                  <w:shd w:val="clear" w:color="auto" w:fill="auto"/>
                </w:tcPr>
                <w:p w14:paraId="24BC2E20">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二</w:t>
                  </w:r>
                </w:p>
              </w:tc>
              <w:tc>
                <w:tcPr>
                  <w:tcW w:w="1676" w:type="dxa"/>
                  <w:shd w:val="clear" w:color="auto" w:fill="auto"/>
                </w:tcPr>
                <w:p w14:paraId="6242540B">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三</w:t>
                  </w:r>
                </w:p>
              </w:tc>
              <w:tc>
                <w:tcPr>
                  <w:tcW w:w="2342" w:type="dxa"/>
                  <w:shd w:val="clear" w:color="auto" w:fill="auto"/>
                </w:tcPr>
                <w:p w14:paraId="259F22B5">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简单分析</w:t>
                  </w:r>
                  <w:r>
                    <w:rPr>
                      <w:rFonts w:hint="default" w:ascii="Times New Roman" w:hAnsi="Times New Roman" w:cs="Times New Roman"/>
                      <w:color w:val="auto"/>
                      <w:szCs w:val="21"/>
                      <w:highlight w:val="none"/>
                      <w:vertAlign w:val="superscript"/>
                    </w:rPr>
                    <w:t>a</w:t>
                  </w:r>
                </w:p>
              </w:tc>
            </w:tr>
            <w:tr w14:paraId="4D7A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5" w:type="dxa"/>
                  <w:gridSpan w:val="5"/>
                  <w:shd w:val="clear" w:color="auto" w:fill="auto"/>
                </w:tcPr>
                <w:p w14:paraId="497FF8DA">
                  <w:pPr>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 是相对于详细评价工作内容而言，在描述危险物质、环境影响途径、环境危害后果、风险防范措施等方面给出定性的说明。</w:t>
                  </w:r>
                </w:p>
              </w:tc>
            </w:tr>
          </w:tbl>
          <w:p w14:paraId="724C266F">
            <w:pPr>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建设项目环境风险潜势划分为Ⅰ、Ⅱ、Ⅲ、Ⅳ/Ⅳ+级。按下表确定环境风险潜势。</w:t>
            </w:r>
          </w:p>
          <w:p w14:paraId="6E6B5793">
            <w:pPr>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其中危险物质数量与临界量比值（Q）按以下方法确定：</w:t>
            </w:r>
          </w:p>
          <w:p w14:paraId="270B87EF">
            <w:pPr>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当只涉及一种环境风险物质时，计算该物质的总数量与其临界量比值，即为 Q；</w:t>
            </w:r>
          </w:p>
          <w:p w14:paraId="006A9419">
            <w:pPr>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当存在多种环境风险物质时，则按下式计算物质数量与其临界量比值（Q）：</w:t>
            </w:r>
          </w:p>
          <w:p w14:paraId="13C0465F">
            <w:pPr>
              <w:snapToGrid w:val="0"/>
              <w:spacing w:before="120" w:beforeLines="50" w:line="360"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Q=q1/Q1+q2/Q2+..+q/Qn</w:t>
            </w:r>
          </w:p>
          <w:p w14:paraId="52586255">
            <w:pPr>
              <w:snapToGrid w:val="0"/>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式中：q1、q2...、qn－每种危险物质实际存在量（t）：</w:t>
            </w:r>
          </w:p>
          <w:p w14:paraId="23C14896">
            <w:pPr>
              <w:snapToGrid w:val="0"/>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Q、Q2、…、Qn－与各危险物质相对应的生产场所或贮存区的临界量（t）</w:t>
            </w:r>
          </w:p>
          <w:p w14:paraId="490A5B4A">
            <w:pPr>
              <w:snapToGrid w:val="0"/>
              <w:spacing w:before="120" w:beforeLines="50"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当Q＜1时，该项目环境风险潜势为Ⅰ。</w:t>
            </w:r>
          </w:p>
          <w:p w14:paraId="2D5CF396">
            <w:pPr>
              <w:snapToGrid w:val="0"/>
              <w:spacing w:before="120" w:beforeLines="50"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当Q≥1时，将Q值划分为（1）1≤Q＜10：（2）1≤Q＜100：（3）Q≥100</w:t>
            </w:r>
          </w:p>
          <w:p w14:paraId="61F982D4">
            <w:pPr>
              <w:spacing w:before="120" w:beforeLines="50"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eastAsiaTheme="minorEastAsia"/>
                <w:color w:val="auto"/>
                <w:kern w:val="0"/>
                <w:sz w:val="24"/>
                <w:highlight w:val="none"/>
              </w:rPr>
              <w:t>项目使用的危险化学品其Q 值计算如下。</w:t>
            </w:r>
          </w:p>
          <w:p w14:paraId="3C1CE7D7">
            <w:pPr>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表4-18 危险物质数量与临界量比值Q核算表</w:t>
            </w:r>
          </w:p>
          <w:tbl>
            <w:tblPr>
              <w:tblStyle w:val="26"/>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795"/>
              <w:gridCol w:w="2565"/>
              <w:gridCol w:w="2010"/>
              <w:gridCol w:w="1650"/>
              <w:gridCol w:w="1328"/>
            </w:tblGrid>
            <w:tr w14:paraId="50D3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0" w:type="dxa"/>
                  <w:shd w:val="clear" w:color="auto" w:fill="auto"/>
                  <w:vAlign w:val="center"/>
                </w:tcPr>
                <w:p w14:paraId="3BF7015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3360" w:type="dxa"/>
                  <w:gridSpan w:val="2"/>
                  <w:shd w:val="clear" w:color="auto" w:fill="auto"/>
                  <w:vAlign w:val="center"/>
                </w:tcPr>
                <w:p w14:paraId="0DFC39F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类别</w:t>
                  </w:r>
                </w:p>
              </w:tc>
              <w:tc>
                <w:tcPr>
                  <w:tcW w:w="2010" w:type="dxa"/>
                  <w:shd w:val="clear" w:color="auto" w:fill="auto"/>
                  <w:vAlign w:val="center"/>
                </w:tcPr>
                <w:p w14:paraId="2048386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最大存在总量（t）</w:t>
                  </w:r>
                </w:p>
              </w:tc>
              <w:tc>
                <w:tcPr>
                  <w:tcW w:w="1650" w:type="dxa"/>
                  <w:shd w:val="clear" w:color="auto" w:fill="auto"/>
                  <w:vAlign w:val="center"/>
                </w:tcPr>
                <w:p w14:paraId="0DA9B84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临界量（t）</w:t>
                  </w:r>
                </w:p>
              </w:tc>
              <w:tc>
                <w:tcPr>
                  <w:tcW w:w="1328" w:type="dxa"/>
                  <w:shd w:val="clear" w:color="auto" w:fill="auto"/>
                  <w:vAlign w:val="center"/>
                </w:tcPr>
                <w:p w14:paraId="430FD10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比值/Q</w:t>
                  </w:r>
                </w:p>
              </w:tc>
            </w:tr>
            <w:tr w14:paraId="4278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690" w:type="dxa"/>
                  <w:shd w:val="clear" w:color="auto" w:fill="auto"/>
                  <w:vAlign w:val="center"/>
                </w:tcPr>
                <w:p w14:paraId="53F8A4F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3360" w:type="dxa"/>
                  <w:gridSpan w:val="2"/>
                  <w:shd w:val="clear" w:color="auto" w:fill="auto"/>
                  <w:vAlign w:val="center"/>
                </w:tcPr>
                <w:p w14:paraId="04DE75B9">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废原料桶</w:t>
                  </w:r>
                </w:p>
              </w:tc>
              <w:tc>
                <w:tcPr>
                  <w:tcW w:w="2010" w:type="dxa"/>
                  <w:shd w:val="clear" w:color="auto" w:fill="auto"/>
                  <w:vAlign w:val="center"/>
                </w:tcPr>
                <w:p w14:paraId="6556FEB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pacing w:val="-10"/>
                      <w:szCs w:val="21"/>
                      <w:highlight w:val="none"/>
                    </w:rPr>
                    <w:t>0.</w:t>
                  </w:r>
                  <w:r>
                    <w:rPr>
                      <w:rFonts w:hint="default" w:ascii="Times New Roman" w:hAnsi="Times New Roman" w:cs="Times New Roman"/>
                      <w:bCs/>
                      <w:color w:val="auto"/>
                      <w:spacing w:val="-10"/>
                      <w:szCs w:val="21"/>
                      <w:highlight w:val="none"/>
                      <w:lang w:val="en-US" w:eastAsia="zh-CN"/>
                    </w:rPr>
                    <w:t>15</w:t>
                  </w:r>
                  <w:r>
                    <w:rPr>
                      <w:rFonts w:hint="default" w:ascii="Times New Roman" w:hAnsi="Times New Roman" w:cs="Times New Roman"/>
                      <w:bCs/>
                      <w:color w:val="auto"/>
                      <w:spacing w:val="-10"/>
                      <w:szCs w:val="21"/>
                      <w:highlight w:val="none"/>
                    </w:rPr>
                    <w:t>t</w:t>
                  </w:r>
                </w:p>
              </w:tc>
              <w:tc>
                <w:tcPr>
                  <w:tcW w:w="1650" w:type="dxa"/>
                  <w:shd w:val="clear" w:color="auto" w:fill="auto"/>
                  <w:vAlign w:val="center"/>
                </w:tcPr>
                <w:p w14:paraId="5575A6E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w:t>
                  </w:r>
                </w:p>
              </w:tc>
              <w:tc>
                <w:tcPr>
                  <w:tcW w:w="1328" w:type="dxa"/>
                  <w:shd w:val="clear" w:color="auto" w:fill="auto"/>
                  <w:vAlign w:val="center"/>
                </w:tcPr>
                <w:p w14:paraId="1D90437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r>
            <w:tr w14:paraId="035B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0" w:type="dxa"/>
                  <w:shd w:val="clear" w:color="auto" w:fill="auto"/>
                  <w:vAlign w:val="center"/>
                </w:tcPr>
                <w:p w14:paraId="2BECBC5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3360" w:type="dxa"/>
                  <w:gridSpan w:val="2"/>
                  <w:shd w:val="clear" w:color="auto" w:fill="auto"/>
                  <w:vAlign w:val="center"/>
                </w:tcPr>
                <w:p w14:paraId="3401D7C8">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废漆渣</w:t>
                  </w:r>
                </w:p>
              </w:tc>
              <w:tc>
                <w:tcPr>
                  <w:tcW w:w="2010" w:type="dxa"/>
                  <w:shd w:val="clear" w:color="auto" w:fill="auto"/>
                  <w:vAlign w:val="center"/>
                </w:tcPr>
                <w:p w14:paraId="45BFD16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pacing w:val="-10"/>
                      <w:szCs w:val="21"/>
                      <w:highlight w:val="none"/>
                    </w:rPr>
                    <w:t>0.</w:t>
                  </w:r>
                  <w:r>
                    <w:rPr>
                      <w:rFonts w:hint="default" w:ascii="Times New Roman" w:hAnsi="Times New Roman" w:cs="Times New Roman"/>
                      <w:bCs/>
                      <w:color w:val="auto"/>
                      <w:spacing w:val="-10"/>
                      <w:szCs w:val="21"/>
                      <w:highlight w:val="none"/>
                      <w:lang w:val="en-US" w:eastAsia="zh-CN"/>
                    </w:rPr>
                    <w:t>6</w:t>
                  </w:r>
                  <w:r>
                    <w:rPr>
                      <w:rFonts w:hint="default" w:ascii="Times New Roman" w:hAnsi="Times New Roman" w:cs="Times New Roman"/>
                      <w:bCs/>
                      <w:color w:val="auto"/>
                      <w:spacing w:val="-10"/>
                      <w:szCs w:val="21"/>
                      <w:highlight w:val="none"/>
                    </w:rPr>
                    <w:t>5t</w:t>
                  </w:r>
                </w:p>
              </w:tc>
              <w:tc>
                <w:tcPr>
                  <w:tcW w:w="1650" w:type="dxa"/>
                  <w:shd w:val="clear" w:color="auto" w:fill="auto"/>
                  <w:vAlign w:val="center"/>
                </w:tcPr>
                <w:p w14:paraId="6AD1034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w:t>
                  </w:r>
                </w:p>
              </w:tc>
              <w:tc>
                <w:tcPr>
                  <w:tcW w:w="1328" w:type="dxa"/>
                  <w:shd w:val="clear" w:color="auto" w:fill="auto"/>
                  <w:vAlign w:val="center"/>
                </w:tcPr>
                <w:p w14:paraId="6F78AB9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r>
            <w:tr w14:paraId="0ABD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0" w:type="dxa"/>
                  <w:shd w:val="clear" w:color="auto" w:fill="auto"/>
                  <w:vAlign w:val="center"/>
                </w:tcPr>
                <w:p w14:paraId="6C5D90D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3360" w:type="dxa"/>
                  <w:gridSpan w:val="2"/>
                  <w:shd w:val="clear" w:color="auto" w:fill="auto"/>
                  <w:vAlign w:val="center"/>
                </w:tcPr>
                <w:p w14:paraId="5C89C950">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废活性炭及其吸附物</w:t>
                  </w:r>
                </w:p>
              </w:tc>
              <w:tc>
                <w:tcPr>
                  <w:tcW w:w="2010" w:type="dxa"/>
                  <w:shd w:val="clear" w:color="auto" w:fill="auto"/>
                  <w:vAlign w:val="center"/>
                </w:tcPr>
                <w:p w14:paraId="2CFCFA2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pacing w:val="-10"/>
                      <w:szCs w:val="21"/>
                      <w:highlight w:val="none"/>
                      <w:lang w:val="en-US" w:eastAsia="zh-CN"/>
                    </w:rPr>
                    <w:t>2</w:t>
                  </w:r>
                  <w:r>
                    <w:rPr>
                      <w:rFonts w:hint="default" w:ascii="Times New Roman" w:hAnsi="Times New Roman" w:cs="Times New Roman"/>
                      <w:bCs/>
                      <w:color w:val="auto"/>
                      <w:spacing w:val="-10"/>
                      <w:szCs w:val="21"/>
                      <w:highlight w:val="none"/>
                    </w:rPr>
                    <w:t>t</w:t>
                  </w:r>
                </w:p>
              </w:tc>
              <w:tc>
                <w:tcPr>
                  <w:tcW w:w="1650" w:type="dxa"/>
                  <w:shd w:val="clear" w:color="auto" w:fill="auto"/>
                  <w:vAlign w:val="center"/>
                </w:tcPr>
                <w:p w14:paraId="00164A5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w:t>
                  </w:r>
                </w:p>
              </w:tc>
              <w:tc>
                <w:tcPr>
                  <w:tcW w:w="1328" w:type="dxa"/>
                  <w:shd w:val="clear" w:color="auto" w:fill="auto"/>
                  <w:vAlign w:val="center"/>
                </w:tcPr>
                <w:p w14:paraId="722EDC12">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0.04</w:t>
                  </w:r>
                </w:p>
              </w:tc>
            </w:tr>
            <w:tr w14:paraId="37B2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0" w:type="dxa"/>
                  <w:shd w:val="clear" w:color="auto" w:fill="auto"/>
                  <w:vAlign w:val="center"/>
                </w:tcPr>
                <w:p w14:paraId="2571B62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3360" w:type="dxa"/>
                  <w:gridSpan w:val="2"/>
                  <w:shd w:val="clear" w:color="auto" w:fill="auto"/>
                  <w:vAlign w:val="center"/>
                </w:tcPr>
                <w:p w14:paraId="1665AC45">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粉末喷涂废滤芯</w:t>
                  </w:r>
                </w:p>
              </w:tc>
              <w:tc>
                <w:tcPr>
                  <w:tcW w:w="2010" w:type="dxa"/>
                  <w:shd w:val="clear" w:color="auto" w:fill="auto"/>
                  <w:vAlign w:val="center"/>
                </w:tcPr>
                <w:p w14:paraId="558E8C16">
                  <w:pPr>
                    <w:adjustRightInd w:val="0"/>
                    <w:snapToGrid w:val="0"/>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rPr>
                    <w:t>0.03t</w:t>
                  </w:r>
                </w:p>
              </w:tc>
              <w:tc>
                <w:tcPr>
                  <w:tcW w:w="1650" w:type="dxa"/>
                  <w:shd w:val="clear" w:color="auto" w:fill="auto"/>
                  <w:vAlign w:val="center"/>
                </w:tcPr>
                <w:p w14:paraId="58A10A9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w:t>
                  </w:r>
                </w:p>
              </w:tc>
              <w:tc>
                <w:tcPr>
                  <w:tcW w:w="1328" w:type="dxa"/>
                  <w:shd w:val="clear" w:color="auto" w:fill="auto"/>
                  <w:vAlign w:val="center"/>
                </w:tcPr>
                <w:p w14:paraId="35206AEC">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0.0006</w:t>
                  </w:r>
                </w:p>
              </w:tc>
            </w:tr>
            <w:tr w14:paraId="155A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0" w:type="dxa"/>
                  <w:shd w:val="clear" w:color="auto" w:fill="auto"/>
                  <w:vAlign w:val="center"/>
                </w:tcPr>
                <w:p w14:paraId="5B30547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3360" w:type="dxa"/>
                  <w:gridSpan w:val="2"/>
                  <w:shd w:val="clear" w:color="auto" w:fill="auto"/>
                  <w:vAlign w:val="center"/>
                </w:tcPr>
                <w:p w14:paraId="6825EEC3">
                  <w:pPr>
                    <w:pStyle w:val="62"/>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rPr>
                    <w:t>废喷粉</w:t>
                  </w:r>
                </w:p>
              </w:tc>
              <w:tc>
                <w:tcPr>
                  <w:tcW w:w="2010" w:type="dxa"/>
                  <w:shd w:val="clear" w:color="auto" w:fill="auto"/>
                  <w:vAlign w:val="center"/>
                </w:tcPr>
                <w:p w14:paraId="1245A74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pacing w:val="-10"/>
                      <w:szCs w:val="21"/>
                      <w:highlight w:val="none"/>
                    </w:rPr>
                    <w:t>0.1t</w:t>
                  </w:r>
                </w:p>
              </w:tc>
              <w:tc>
                <w:tcPr>
                  <w:tcW w:w="1650" w:type="dxa"/>
                  <w:shd w:val="clear" w:color="auto" w:fill="auto"/>
                  <w:vAlign w:val="center"/>
                </w:tcPr>
                <w:p w14:paraId="152E181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w:t>
                  </w:r>
                </w:p>
              </w:tc>
              <w:tc>
                <w:tcPr>
                  <w:tcW w:w="1328" w:type="dxa"/>
                  <w:shd w:val="clear" w:color="auto" w:fill="auto"/>
                  <w:vAlign w:val="center"/>
                </w:tcPr>
                <w:p w14:paraId="246016E2">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r>
            <w:tr w14:paraId="2981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90" w:type="dxa"/>
                  <w:shd w:val="clear" w:color="auto" w:fill="auto"/>
                  <w:vAlign w:val="center"/>
                </w:tcPr>
                <w:p w14:paraId="522E254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3360" w:type="dxa"/>
                  <w:gridSpan w:val="2"/>
                  <w:shd w:val="clear" w:color="auto" w:fill="auto"/>
                  <w:vAlign w:val="center"/>
                </w:tcPr>
                <w:p w14:paraId="4F59E7EB">
                  <w:pPr>
                    <w:pStyle w:val="62"/>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rPr>
                    <w:t>水帘柜废水</w:t>
                  </w:r>
                </w:p>
              </w:tc>
              <w:tc>
                <w:tcPr>
                  <w:tcW w:w="2010" w:type="dxa"/>
                  <w:shd w:val="clear" w:color="auto" w:fill="auto"/>
                  <w:vAlign w:val="center"/>
                </w:tcPr>
                <w:p w14:paraId="4723004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pacing w:val="-10"/>
                      <w:szCs w:val="21"/>
                      <w:highlight w:val="none"/>
                      <w:lang w:val="en-US" w:eastAsia="zh-CN"/>
                    </w:rPr>
                    <w:t>4</w:t>
                  </w:r>
                  <w:r>
                    <w:rPr>
                      <w:rFonts w:hint="default" w:ascii="Times New Roman" w:hAnsi="Times New Roman" w:cs="Times New Roman"/>
                      <w:bCs/>
                      <w:color w:val="auto"/>
                      <w:spacing w:val="-10"/>
                      <w:szCs w:val="21"/>
                      <w:highlight w:val="none"/>
                    </w:rPr>
                    <w:t>t</w:t>
                  </w:r>
                </w:p>
              </w:tc>
              <w:tc>
                <w:tcPr>
                  <w:tcW w:w="1650" w:type="dxa"/>
                  <w:shd w:val="clear" w:color="auto" w:fill="auto"/>
                  <w:vAlign w:val="center"/>
                </w:tcPr>
                <w:p w14:paraId="24CDAE4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w:t>
                  </w:r>
                </w:p>
              </w:tc>
              <w:tc>
                <w:tcPr>
                  <w:tcW w:w="1328" w:type="dxa"/>
                  <w:shd w:val="clear" w:color="auto" w:fill="auto"/>
                  <w:vAlign w:val="center"/>
                </w:tcPr>
                <w:p w14:paraId="01A4C75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0.08</w:t>
                  </w:r>
                </w:p>
              </w:tc>
            </w:tr>
            <w:tr w14:paraId="7CED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0" w:type="dxa"/>
                  <w:vMerge w:val="restart"/>
                  <w:shd w:val="clear" w:color="auto" w:fill="auto"/>
                  <w:vAlign w:val="center"/>
                </w:tcPr>
                <w:p w14:paraId="5F0B5EB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795" w:type="dxa"/>
                  <w:vMerge w:val="restart"/>
                  <w:shd w:val="clear" w:color="auto" w:fill="auto"/>
                  <w:vAlign w:val="center"/>
                </w:tcPr>
                <w:p w14:paraId="523D437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耐高温漆</w:t>
                  </w:r>
                </w:p>
              </w:tc>
              <w:tc>
                <w:tcPr>
                  <w:tcW w:w="2565" w:type="dxa"/>
                  <w:shd w:val="clear" w:color="auto" w:fill="auto"/>
                  <w:vAlign w:val="center"/>
                </w:tcPr>
                <w:p w14:paraId="19CEDAD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二甲苯</w:t>
                  </w:r>
                </w:p>
              </w:tc>
              <w:tc>
                <w:tcPr>
                  <w:tcW w:w="2010" w:type="dxa"/>
                  <w:shd w:val="clear" w:color="auto" w:fill="auto"/>
                  <w:vAlign w:val="center"/>
                </w:tcPr>
                <w:p w14:paraId="13514DF9">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bidi="ar"/>
                    </w:rPr>
                    <w:t>0.</w:t>
                  </w:r>
                  <w:r>
                    <w:rPr>
                      <w:rFonts w:hint="default" w:ascii="Times New Roman" w:hAnsi="Times New Roman" w:cs="Times New Roman"/>
                      <w:color w:val="auto"/>
                      <w:kern w:val="0"/>
                      <w:sz w:val="22"/>
                      <w:szCs w:val="22"/>
                      <w:highlight w:val="none"/>
                      <w:lang w:val="en-US" w:eastAsia="zh-CN" w:bidi="ar"/>
                    </w:rPr>
                    <w:t>04</w:t>
                  </w:r>
                  <w:r>
                    <w:rPr>
                      <w:rFonts w:hint="default" w:ascii="Times New Roman" w:hAnsi="Times New Roman" w:cs="Times New Roman"/>
                      <w:color w:val="auto"/>
                      <w:kern w:val="0"/>
                      <w:sz w:val="22"/>
                      <w:szCs w:val="22"/>
                      <w:highlight w:val="none"/>
                      <w:lang w:bidi="ar"/>
                    </w:rPr>
                    <w:t>t</w:t>
                  </w:r>
                  <w:r>
                    <w:rPr>
                      <w:rFonts w:hint="default" w:ascii="Times New Roman" w:hAnsi="Times New Roman" w:cs="Times New Roman"/>
                      <w:color w:val="auto"/>
                      <w:kern w:val="0"/>
                      <w:sz w:val="22"/>
                      <w:szCs w:val="22"/>
                      <w:highlight w:val="none"/>
                      <w:lang w:val="en-US" w:eastAsia="zh-CN" w:bidi="ar"/>
                    </w:rPr>
                    <w:t>*</w:t>
                  </w:r>
                </w:p>
              </w:tc>
              <w:tc>
                <w:tcPr>
                  <w:tcW w:w="1650" w:type="dxa"/>
                  <w:shd w:val="clear" w:color="auto" w:fill="auto"/>
                  <w:vAlign w:val="center"/>
                </w:tcPr>
                <w:p w14:paraId="31290FF7">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10</w:t>
                  </w:r>
                </w:p>
              </w:tc>
              <w:tc>
                <w:tcPr>
                  <w:tcW w:w="1328" w:type="dxa"/>
                  <w:shd w:val="clear" w:color="auto" w:fill="auto"/>
                  <w:vAlign w:val="center"/>
                </w:tcPr>
                <w:p w14:paraId="0F564DA7">
                  <w:pPr>
                    <w:keepNext w:val="0"/>
                    <w:keepLines w:val="0"/>
                    <w:widowControl/>
                    <w:suppressLineNumbers w:val="0"/>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r>
            <w:tr w14:paraId="0C07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0" w:type="dxa"/>
                  <w:vMerge w:val="continue"/>
                  <w:shd w:val="clear" w:color="auto" w:fill="auto"/>
                  <w:vAlign w:val="center"/>
                </w:tcPr>
                <w:p w14:paraId="7DE70DF4">
                  <w:pPr>
                    <w:jc w:val="center"/>
                    <w:rPr>
                      <w:rFonts w:hint="default" w:ascii="Times New Roman" w:hAnsi="Times New Roman" w:cs="Times New Roman"/>
                      <w:color w:val="auto"/>
                      <w:szCs w:val="21"/>
                      <w:highlight w:val="none"/>
                    </w:rPr>
                  </w:pPr>
                </w:p>
              </w:tc>
              <w:tc>
                <w:tcPr>
                  <w:tcW w:w="795" w:type="dxa"/>
                  <w:vMerge w:val="continue"/>
                  <w:shd w:val="clear" w:color="auto" w:fill="auto"/>
                  <w:vAlign w:val="center"/>
                </w:tcPr>
                <w:p w14:paraId="5351C8EF">
                  <w:pPr>
                    <w:adjustRightInd w:val="0"/>
                    <w:snapToGrid w:val="0"/>
                    <w:jc w:val="center"/>
                    <w:rPr>
                      <w:rFonts w:hint="default" w:ascii="Times New Roman" w:hAnsi="Times New Roman" w:cs="Times New Roman"/>
                      <w:color w:val="auto"/>
                      <w:szCs w:val="21"/>
                      <w:highlight w:val="none"/>
                    </w:rPr>
                  </w:pPr>
                </w:p>
              </w:tc>
              <w:tc>
                <w:tcPr>
                  <w:tcW w:w="2565" w:type="dxa"/>
                  <w:shd w:val="clear" w:color="auto" w:fill="auto"/>
                  <w:vAlign w:val="center"/>
                </w:tcPr>
                <w:p w14:paraId="6434B5C4">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除二甲苯外的其他组分</w:t>
                  </w:r>
                </w:p>
              </w:tc>
              <w:tc>
                <w:tcPr>
                  <w:tcW w:w="2010" w:type="dxa"/>
                  <w:shd w:val="clear" w:color="auto" w:fill="auto"/>
                  <w:vAlign w:val="center"/>
                </w:tcPr>
                <w:p w14:paraId="5BD3F992">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0.46t*</w:t>
                  </w:r>
                </w:p>
              </w:tc>
              <w:tc>
                <w:tcPr>
                  <w:tcW w:w="1650" w:type="dxa"/>
                  <w:shd w:val="clear" w:color="auto" w:fill="auto"/>
                  <w:vAlign w:val="center"/>
                </w:tcPr>
                <w:p w14:paraId="0F8C717E">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50</w:t>
                  </w:r>
                </w:p>
              </w:tc>
              <w:tc>
                <w:tcPr>
                  <w:tcW w:w="1328" w:type="dxa"/>
                  <w:shd w:val="clear" w:color="auto" w:fill="auto"/>
                  <w:vAlign w:val="center"/>
                </w:tcPr>
                <w:p w14:paraId="170CF0D9">
                  <w:pPr>
                    <w:keepNext w:val="0"/>
                    <w:keepLines w:val="0"/>
                    <w:widowControl/>
                    <w:suppressLineNumbers w:val="0"/>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eastAsia="宋体" w:cs="Times New Roman"/>
                      <w:i w:val="0"/>
                      <w:iCs w:val="0"/>
                      <w:color w:val="auto"/>
                      <w:kern w:val="0"/>
                      <w:sz w:val="21"/>
                      <w:szCs w:val="21"/>
                      <w:highlight w:val="none"/>
                      <w:u w:val="none"/>
                      <w:lang w:val="en-US" w:eastAsia="zh-CN" w:bidi="ar"/>
                    </w:rPr>
                    <w:t>0.0092</w:t>
                  </w:r>
                </w:p>
              </w:tc>
            </w:tr>
            <w:tr w14:paraId="07C0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0" w:type="dxa"/>
                  <w:vMerge w:val="restart"/>
                  <w:shd w:val="clear" w:color="auto" w:fill="auto"/>
                  <w:vAlign w:val="center"/>
                </w:tcPr>
                <w:p w14:paraId="444977C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795" w:type="dxa"/>
                  <w:vMerge w:val="restart"/>
                  <w:shd w:val="clear" w:color="auto" w:fill="auto"/>
                  <w:vAlign w:val="center"/>
                </w:tcPr>
                <w:p w14:paraId="5184A6B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稀释剂</w:t>
                  </w:r>
                </w:p>
              </w:tc>
              <w:tc>
                <w:tcPr>
                  <w:tcW w:w="2565" w:type="dxa"/>
                  <w:shd w:val="clear" w:color="auto" w:fill="auto"/>
                  <w:vAlign w:val="center"/>
                </w:tcPr>
                <w:p w14:paraId="603E2421">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二甲苯</w:t>
                  </w:r>
                </w:p>
              </w:tc>
              <w:tc>
                <w:tcPr>
                  <w:tcW w:w="2010" w:type="dxa"/>
                  <w:shd w:val="clear" w:color="auto" w:fill="auto"/>
                  <w:vAlign w:val="center"/>
                </w:tcPr>
                <w:p w14:paraId="68FBC43E">
                  <w:pPr>
                    <w:widowControl/>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 w:val="22"/>
                      <w:szCs w:val="22"/>
                      <w:highlight w:val="none"/>
                      <w:lang w:val="en-US" w:eastAsia="zh-CN" w:bidi="ar"/>
                    </w:rPr>
                    <w:t>0.7</w:t>
                  </w:r>
                  <w:r>
                    <w:rPr>
                      <w:rFonts w:hint="default" w:ascii="Times New Roman" w:hAnsi="Times New Roman" w:cs="Times New Roman"/>
                      <w:color w:val="auto"/>
                      <w:kern w:val="0"/>
                      <w:sz w:val="22"/>
                      <w:szCs w:val="22"/>
                      <w:highlight w:val="none"/>
                      <w:lang w:bidi="ar"/>
                    </w:rPr>
                    <w:t>t</w:t>
                  </w:r>
                  <w:r>
                    <w:rPr>
                      <w:rFonts w:hint="default" w:ascii="Times New Roman" w:hAnsi="Times New Roman" w:cs="Times New Roman"/>
                      <w:color w:val="auto"/>
                      <w:kern w:val="0"/>
                      <w:sz w:val="22"/>
                      <w:szCs w:val="22"/>
                      <w:highlight w:val="none"/>
                      <w:lang w:val="en-US" w:eastAsia="zh-CN" w:bidi="ar"/>
                    </w:rPr>
                    <w:t>*</w:t>
                  </w:r>
                </w:p>
              </w:tc>
              <w:tc>
                <w:tcPr>
                  <w:tcW w:w="1650" w:type="dxa"/>
                  <w:shd w:val="clear" w:color="auto" w:fill="auto"/>
                  <w:vAlign w:val="center"/>
                </w:tcPr>
                <w:p w14:paraId="1DA4669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1328" w:type="dxa"/>
                  <w:shd w:val="clear" w:color="auto" w:fill="auto"/>
                  <w:vAlign w:val="center"/>
                </w:tcPr>
                <w:p w14:paraId="4700E0E3">
                  <w:pPr>
                    <w:keepNext w:val="0"/>
                    <w:keepLines w:val="0"/>
                    <w:widowControl/>
                    <w:suppressLineNumbers w:val="0"/>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eastAsia="宋体" w:cs="Times New Roman"/>
                      <w:i w:val="0"/>
                      <w:iCs w:val="0"/>
                      <w:color w:val="auto"/>
                      <w:kern w:val="0"/>
                      <w:sz w:val="21"/>
                      <w:szCs w:val="21"/>
                      <w:highlight w:val="none"/>
                      <w:u w:val="none"/>
                      <w:lang w:val="en-US" w:eastAsia="zh-CN" w:bidi="ar"/>
                    </w:rPr>
                    <w:t>0.07</w:t>
                  </w:r>
                </w:p>
              </w:tc>
            </w:tr>
            <w:tr w14:paraId="3D19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0" w:type="dxa"/>
                  <w:vMerge w:val="continue"/>
                  <w:shd w:val="clear" w:color="auto" w:fill="auto"/>
                  <w:vAlign w:val="center"/>
                </w:tcPr>
                <w:p w14:paraId="7AA5915A">
                  <w:pPr>
                    <w:jc w:val="center"/>
                    <w:rPr>
                      <w:rFonts w:hint="default" w:ascii="Times New Roman" w:hAnsi="Times New Roman" w:cs="Times New Roman"/>
                      <w:color w:val="auto"/>
                      <w:szCs w:val="21"/>
                      <w:highlight w:val="none"/>
                    </w:rPr>
                  </w:pPr>
                </w:p>
              </w:tc>
              <w:tc>
                <w:tcPr>
                  <w:tcW w:w="795" w:type="dxa"/>
                  <w:vMerge w:val="continue"/>
                  <w:shd w:val="clear" w:color="auto" w:fill="auto"/>
                  <w:vAlign w:val="center"/>
                </w:tcPr>
                <w:p w14:paraId="624DA4E4">
                  <w:pPr>
                    <w:adjustRightInd w:val="0"/>
                    <w:snapToGrid w:val="0"/>
                    <w:jc w:val="center"/>
                    <w:rPr>
                      <w:rFonts w:hint="default" w:ascii="Times New Roman" w:hAnsi="Times New Roman" w:cs="Times New Roman"/>
                      <w:color w:val="auto"/>
                      <w:szCs w:val="21"/>
                      <w:highlight w:val="none"/>
                    </w:rPr>
                  </w:pPr>
                </w:p>
              </w:tc>
              <w:tc>
                <w:tcPr>
                  <w:tcW w:w="2565" w:type="dxa"/>
                  <w:shd w:val="clear" w:color="auto" w:fill="auto"/>
                  <w:vAlign w:val="center"/>
                </w:tcPr>
                <w:p w14:paraId="1CE56EEC">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环己酮</w:t>
                  </w:r>
                </w:p>
              </w:tc>
              <w:tc>
                <w:tcPr>
                  <w:tcW w:w="2010" w:type="dxa"/>
                  <w:shd w:val="clear" w:color="auto" w:fill="auto"/>
                  <w:vAlign w:val="center"/>
                </w:tcPr>
                <w:p w14:paraId="220B25F1">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0.15t*</w:t>
                  </w:r>
                </w:p>
              </w:tc>
              <w:tc>
                <w:tcPr>
                  <w:tcW w:w="1650" w:type="dxa"/>
                  <w:shd w:val="clear" w:color="auto" w:fill="auto"/>
                  <w:vAlign w:val="center"/>
                </w:tcPr>
                <w:p w14:paraId="30866F6E">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10</w:t>
                  </w:r>
                </w:p>
              </w:tc>
              <w:tc>
                <w:tcPr>
                  <w:tcW w:w="1328" w:type="dxa"/>
                  <w:shd w:val="clear" w:color="auto" w:fill="auto"/>
                  <w:vAlign w:val="center"/>
                </w:tcPr>
                <w:p w14:paraId="736D0D9D">
                  <w:pPr>
                    <w:keepNext w:val="0"/>
                    <w:keepLines w:val="0"/>
                    <w:widowControl/>
                    <w:suppressLineNumbers w:val="0"/>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eastAsia="宋体" w:cs="Times New Roman"/>
                      <w:i w:val="0"/>
                      <w:iCs w:val="0"/>
                      <w:color w:val="auto"/>
                      <w:kern w:val="0"/>
                      <w:sz w:val="21"/>
                      <w:szCs w:val="21"/>
                      <w:highlight w:val="none"/>
                      <w:u w:val="none"/>
                      <w:lang w:val="en-US" w:eastAsia="zh-CN" w:bidi="ar"/>
                    </w:rPr>
                    <w:t>0.015</w:t>
                  </w:r>
                </w:p>
              </w:tc>
            </w:tr>
            <w:tr w14:paraId="4B63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90" w:type="dxa"/>
                  <w:vMerge w:val="continue"/>
                  <w:shd w:val="clear" w:color="auto" w:fill="auto"/>
                  <w:vAlign w:val="center"/>
                </w:tcPr>
                <w:p w14:paraId="5EBAD30B">
                  <w:pPr>
                    <w:jc w:val="center"/>
                    <w:rPr>
                      <w:rFonts w:hint="default" w:ascii="Times New Roman" w:hAnsi="Times New Roman" w:cs="Times New Roman"/>
                      <w:color w:val="auto"/>
                      <w:szCs w:val="21"/>
                      <w:highlight w:val="none"/>
                    </w:rPr>
                  </w:pPr>
                </w:p>
              </w:tc>
              <w:tc>
                <w:tcPr>
                  <w:tcW w:w="795" w:type="dxa"/>
                  <w:vMerge w:val="continue"/>
                  <w:shd w:val="clear" w:color="auto" w:fill="auto"/>
                  <w:vAlign w:val="center"/>
                </w:tcPr>
                <w:p w14:paraId="00C5AD9A">
                  <w:pPr>
                    <w:adjustRightInd w:val="0"/>
                    <w:snapToGrid w:val="0"/>
                    <w:jc w:val="center"/>
                    <w:rPr>
                      <w:rFonts w:hint="default" w:ascii="Times New Roman" w:hAnsi="Times New Roman" w:cs="Times New Roman"/>
                      <w:color w:val="auto"/>
                      <w:szCs w:val="21"/>
                      <w:highlight w:val="none"/>
                    </w:rPr>
                  </w:pPr>
                </w:p>
              </w:tc>
              <w:tc>
                <w:tcPr>
                  <w:tcW w:w="2565" w:type="dxa"/>
                  <w:shd w:val="clear" w:color="auto" w:fill="auto"/>
                  <w:vAlign w:val="center"/>
                </w:tcPr>
                <w:p w14:paraId="22876712">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丁酯</w:t>
                  </w:r>
                </w:p>
              </w:tc>
              <w:tc>
                <w:tcPr>
                  <w:tcW w:w="2010" w:type="dxa"/>
                  <w:shd w:val="clear" w:color="auto" w:fill="auto"/>
                  <w:vAlign w:val="center"/>
                </w:tcPr>
                <w:p w14:paraId="3463BEB9">
                  <w:pPr>
                    <w:widowControl/>
                    <w:jc w:val="center"/>
                    <w:textAlignment w:val="center"/>
                    <w:rPr>
                      <w:rFonts w:hint="default" w:ascii="Times New Roman" w:hAnsi="Times New Roman" w:eastAsia="宋体" w:cs="Times New Roman"/>
                      <w:color w:val="auto"/>
                      <w:kern w:val="0"/>
                      <w:sz w:val="22"/>
                      <w:szCs w:val="22"/>
                      <w:highlight w:val="none"/>
                      <w:lang w:val="en-US" w:eastAsia="zh-CN" w:bidi="ar"/>
                    </w:rPr>
                  </w:pPr>
                  <w:r>
                    <w:rPr>
                      <w:rFonts w:hint="default" w:ascii="Times New Roman" w:hAnsi="Times New Roman" w:cs="Times New Roman"/>
                      <w:color w:val="auto"/>
                      <w:kern w:val="0"/>
                      <w:sz w:val="22"/>
                      <w:szCs w:val="22"/>
                      <w:highlight w:val="none"/>
                      <w:lang w:val="en-US" w:eastAsia="zh-CN" w:bidi="ar"/>
                    </w:rPr>
                    <w:t>0.15t*</w:t>
                  </w:r>
                </w:p>
              </w:tc>
              <w:tc>
                <w:tcPr>
                  <w:tcW w:w="1650" w:type="dxa"/>
                  <w:shd w:val="clear" w:color="auto" w:fill="auto"/>
                  <w:vAlign w:val="center"/>
                </w:tcPr>
                <w:p w14:paraId="38C3556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w:t>
                  </w:r>
                </w:p>
              </w:tc>
              <w:tc>
                <w:tcPr>
                  <w:tcW w:w="1328" w:type="dxa"/>
                  <w:shd w:val="clear" w:color="auto" w:fill="auto"/>
                  <w:vAlign w:val="center"/>
                </w:tcPr>
                <w:p w14:paraId="19C267FF">
                  <w:pPr>
                    <w:keepNext w:val="0"/>
                    <w:keepLines w:val="0"/>
                    <w:widowControl/>
                    <w:suppressLineNumbers w:val="0"/>
                    <w:jc w:val="center"/>
                    <w:textAlignment w:val="center"/>
                    <w:rPr>
                      <w:rFonts w:hint="default" w:ascii="Times New Roman" w:hAnsi="Times New Roman" w:cs="Times New Roman"/>
                      <w:color w:val="auto"/>
                      <w:kern w:val="0"/>
                      <w:szCs w:val="21"/>
                      <w:highlight w:val="none"/>
                      <w:lang w:bidi="ar"/>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r>
            <w:tr w14:paraId="3718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4050" w:type="dxa"/>
                  <w:gridSpan w:val="3"/>
                  <w:shd w:val="clear" w:color="auto" w:fill="auto"/>
                  <w:vAlign w:val="center"/>
                </w:tcPr>
                <w:p w14:paraId="72B623F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2010" w:type="dxa"/>
                  <w:shd w:val="clear" w:color="auto" w:fill="auto"/>
                  <w:vAlign w:val="center"/>
                </w:tcPr>
                <w:p w14:paraId="508DB5B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650" w:type="dxa"/>
                  <w:shd w:val="clear" w:color="auto" w:fill="auto"/>
                  <w:vAlign w:val="center"/>
                </w:tcPr>
                <w:p w14:paraId="6781B76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8" w:type="dxa"/>
                  <w:shd w:val="clear" w:color="auto" w:fill="auto"/>
                  <w:vAlign w:val="center"/>
                </w:tcPr>
                <w:p w14:paraId="7665B68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2"/>
                      <w:szCs w:val="22"/>
                      <w:highlight w:val="none"/>
                      <w:u w:val="none"/>
                      <w:lang w:val="en-US" w:eastAsia="zh-CN" w:bidi="ar"/>
                    </w:rPr>
                    <w:t>0.2398</w:t>
                  </w:r>
                </w:p>
              </w:tc>
            </w:tr>
            <w:tr w14:paraId="1EC1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9038" w:type="dxa"/>
                  <w:gridSpan w:val="6"/>
                  <w:shd w:val="clear" w:color="auto" w:fill="auto"/>
                  <w:vAlign w:val="center"/>
                </w:tcPr>
                <w:p w14:paraId="5088ACC7">
                  <w:pPr>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w:t>
                  </w:r>
                  <w:r>
                    <w:rPr>
                      <w:rFonts w:hint="default" w:ascii="Times New Roman" w:hAnsi="Times New Roman" w:cs="Times New Roman"/>
                      <w:bCs/>
                      <w:color w:val="auto"/>
                      <w:spacing w:val="-10"/>
                      <w:szCs w:val="21"/>
                      <w:highlight w:val="none"/>
                    </w:rPr>
                    <w:t>耐高温漆、废原料桶、废漆渣、粉末喷涂废滤芯、废喷粉、水帘柜废水、废活性炭及其吸附物</w:t>
                  </w:r>
                  <w:r>
                    <w:rPr>
                      <w:rFonts w:hint="default" w:ascii="Times New Roman" w:hAnsi="Times New Roman" w:cs="Times New Roman"/>
                      <w:bCs/>
                      <w:color w:val="auto"/>
                      <w:spacing w:val="-10"/>
                      <w:szCs w:val="21"/>
                      <w:highlight w:val="none"/>
                      <w:lang w:eastAsia="zh-CN"/>
                    </w:rPr>
                    <w:t>、</w:t>
                  </w:r>
                  <w:r>
                    <w:rPr>
                      <w:rFonts w:hint="default" w:ascii="Times New Roman" w:hAnsi="Times New Roman" w:cs="Times New Roman"/>
                      <w:bCs/>
                      <w:color w:val="auto"/>
                      <w:spacing w:val="-10"/>
                      <w:szCs w:val="21"/>
                      <w:highlight w:val="none"/>
                      <w:lang w:val="en-US" w:eastAsia="zh-CN"/>
                    </w:rPr>
                    <w:t>耐高温漆除二甲苯外的其他组分、稀释剂中的丁酯组分</w:t>
                  </w:r>
                  <w:r>
                    <w:rPr>
                      <w:rFonts w:hint="default" w:ascii="Times New Roman" w:hAnsi="Times New Roman" w:cs="Times New Roman"/>
                      <w:bCs/>
                      <w:color w:val="auto"/>
                      <w:spacing w:val="-10"/>
                      <w:szCs w:val="21"/>
                      <w:highlight w:val="none"/>
                    </w:rPr>
                    <w:t>的</w:t>
                  </w:r>
                  <w:r>
                    <w:rPr>
                      <w:rFonts w:hint="default" w:ascii="Times New Roman" w:hAnsi="Times New Roman" w:cs="Times New Roman"/>
                      <w:color w:val="auto"/>
                      <w:szCs w:val="21"/>
                      <w:highlight w:val="none"/>
                    </w:rPr>
                    <w:t>临界量参考《建设项目环境风险评价导则》(HJ169-2018)表B.2 中的其他危险物质临界量推荐值；</w:t>
                  </w:r>
                </w:p>
                <w:p w14:paraId="26592BA8">
                  <w:pPr>
                    <w:jc w:val="left"/>
                    <w:rPr>
                      <w:rFonts w:hint="default" w:ascii="Times New Roman" w:hAnsi="Times New Roman" w:cs="Times New Roman"/>
                      <w:bCs/>
                      <w:color w:val="auto"/>
                      <w:spacing w:val="-10"/>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val="en-US" w:eastAsia="zh-CN"/>
                    </w:rPr>
                    <w:t>耐高温漆中的二甲苯、除二甲苯外的其他组分的最大存在总量为耐高温漆的最大贮存量与组分所占质量分数计算得出；</w:t>
                  </w:r>
                  <w:r>
                    <w:rPr>
                      <w:rFonts w:hint="default" w:ascii="Times New Roman" w:hAnsi="Times New Roman" w:cs="Times New Roman"/>
                      <w:color w:val="auto"/>
                      <w:szCs w:val="21"/>
                      <w:highlight w:val="none"/>
                    </w:rPr>
                    <w:t>稀释剂中二甲苯、环己酮</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丁酯</w:t>
                  </w:r>
                  <w:r>
                    <w:rPr>
                      <w:rFonts w:hint="default" w:ascii="Times New Roman" w:hAnsi="Times New Roman" w:cs="Times New Roman"/>
                      <w:color w:val="auto"/>
                      <w:szCs w:val="21"/>
                      <w:highlight w:val="none"/>
                    </w:rPr>
                    <w:t>的</w:t>
                  </w:r>
                  <w:r>
                    <w:rPr>
                      <w:rFonts w:hint="default" w:ascii="Times New Roman" w:hAnsi="Times New Roman" w:cs="Times New Roman"/>
                      <w:color w:val="auto"/>
                      <w:szCs w:val="21"/>
                      <w:highlight w:val="none"/>
                      <w:lang w:val="en-US" w:eastAsia="zh-CN"/>
                    </w:rPr>
                    <w:t>最大存在总量为稀释剂最大贮存量与组分所占质量分数计算得出</w:t>
                  </w:r>
                  <w:r>
                    <w:rPr>
                      <w:rFonts w:hint="default" w:ascii="Times New Roman" w:hAnsi="Times New Roman" w:cs="Times New Roman"/>
                      <w:bCs/>
                      <w:color w:val="auto"/>
                      <w:spacing w:val="-10"/>
                      <w:szCs w:val="21"/>
                      <w:highlight w:val="none"/>
                    </w:rPr>
                    <w:t>；</w:t>
                  </w:r>
                </w:p>
                <w:p w14:paraId="45EC8BF2">
                  <w:pPr>
                    <w:jc w:val="left"/>
                    <w:rPr>
                      <w:rFonts w:hint="default" w:ascii="Times New Roman" w:hAnsi="Times New Roman" w:cs="Times New Roman"/>
                      <w:color w:val="auto"/>
                      <w:szCs w:val="21"/>
                      <w:highlight w:val="none"/>
                    </w:rPr>
                  </w:pPr>
                  <w:r>
                    <w:rPr>
                      <w:rFonts w:hint="default" w:ascii="Times New Roman" w:hAnsi="Times New Roman" w:cs="Times New Roman"/>
                      <w:bCs/>
                      <w:color w:val="auto"/>
                      <w:spacing w:val="-10"/>
                      <w:szCs w:val="21"/>
                      <w:highlight w:val="none"/>
                    </w:rPr>
                    <w:t>3、</w:t>
                  </w:r>
                  <w:r>
                    <w:rPr>
                      <w:rFonts w:hint="default" w:ascii="Times New Roman" w:hAnsi="Times New Roman" w:cs="Times New Roman"/>
                      <w:color w:val="auto"/>
                      <w:szCs w:val="21"/>
                      <w:highlight w:val="none"/>
                    </w:rPr>
                    <w:t>项目产生的危险废物</w:t>
                  </w:r>
                  <w:r>
                    <w:rPr>
                      <w:rFonts w:hint="default" w:ascii="Times New Roman" w:hAnsi="Times New Roman" w:cs="Times New Roman"/>
                      <w:bCs/>
                      <w:color w:val="auto"/>
                      <w:spacing w:val="-10"/>
                      <w:szCs w:val="21"/>
                      <w:highlight w:val="none"/>
                    </w:rPr>
                    <w:t>废原料桶、废漆渣、粉末喷涂废滤芯、废喷粉、水帘柜废水</w:t>
                  </w:r>
                  <w:r>
                    <w:rPr>
                      <w:rFonts w:hint="default" w:ascii="Times New Roman" w:hAnsi="Times New Roman" w:cs="Times New Roman"/>
                      <w:color w:val="auto"/>
                      <w:szCs w:val="21"/>
                      <w:highlight w:val="none"/>
                    </w:rPr>
                    <w:t>最大存在总量按最大贮存能力计算。</w:t>
                  </w:r>
                </w:p>
              </w:tc>
            </w:tr>
          </w:tbl>
          <w:p w14:paraId="044E4DCC">
            <w:pPr>
              <w:spacing w:before="240" w:beforeLines="10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如上表所示，本项目Q=</w:t>
            </w:r>
            <w:r>
              <w:rPr>
                <w:rFonts w:hint="default" w:ascii="Times New Roman" w:hAnsi="Times New Roman" w:cs="Times New Roman"/>
                <w:color w:val="auto"/>
                <w:kern w:val="0"/>
                <w:sz w:val="24"/>
                <w:highlight w:val="none"/>
                <w:lang w:eastAsia="zh-CN" w:bidi="ar"/>
              </w:rPr>
              <w:t>0.2398</w:t>
            </w:r>
            <w:r>
              <w:rPr>
                <w:rFonts w:hint="default" w:ascii="Times New Roman" w:hAnsi="Times New Roman" w:cs="Times New Roman"/>
                <w:bCs/>
                <w:color w:val="auto"/>
                <w:spacing w:val="-10"/>
                <w:sz w:val="24"/>
                <w:highlight w:val="none"/>
              </w:rPr>
              <w:t>＜1，项目环境风险潜势为Ⅰ。</w:t>
            </w:r>
          </w:p>
          <w:p w14:paraId="4B0B4ACC">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根据《建设项目环境影响报告表编制技术指南（污染影响类）（试行）》中“表 1 专项评价设置原则表”的要求，本项目Q＜1，无需设置环境风险专项评价，本项目仅进行简单分析。</w:t>
            </w:r>
          </w:p>
          <w:p w14:paraId="0B415D16">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（3）环境风险识别</w:t>
            </w:r>
          </w:p>
          <w:p w14:paraId="659CDAD3">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根据《危险化学品重大危险源识别》(GB18218-2018)，本项目各环境风险物质常储量未超出临界量，不识别为重大危险源。项目主要环境风险为危险物质泄漏及火灾次生事故。以下评价针对可能产生的环境风险提出相应环境风险防范措施。</w:t>
            </w:r>
          </w:p>
          <w:p w14:paraId="4D83B595">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（4）环境风险事故分析</w:t>
            </w:r>
          </w:p>
          <w:p w14:paraId="50D9E24E">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①危险物质泄漏</w:t>
            </w:r>
          </w:p>
          <w:p w14:paraId="51CBA79F">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本项目废原料桶、废漆渣、粉末喷涂废滤芯、废喷粉、水帘柜废水、废活性炭及其吸附物等危险物质若发生泄漏，未及时处理会导致环境污染事件，会造成水体及土壤环境污染。因本项目各危险物质贮存量少，泄漏少，在厂区内可以处理，不会泄漏到厂外，对外部环境基本无影响。</w:t>
            </w:r>
          </w:p>
          <w:p w14:paraId="0CEA5E13">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②火灾事故</w:t>
            </w:r>
          </w:p>
          <w:p w14:paraId="1627B42E">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危险物质泄漏导致火灾事故，未完全燃烧产生的有毒有害物质，以及完全燃烧后伴生/次生的有害物质进入环境空气，从而对大气环境造成影响，次生物质为CO。</w:t>
            </w:r>
          </w:p>
          <w:p w14:paraId="0C3801CF">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（5）环境风险防范措施</w:t>
            </w:r>
          </w:p>
          <w:p w14:paraId="5BAA2569">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①为保证人身安全和设备正常运转，应制定各工序生产操作规程和防火规程，且要求按规程进行操作；</w:t>
            </w:r>
          </w:p>
          <w:p w14:paraId="296A045D">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②危废经收集暂存在危废暂存间，项目危废暂存间应采用重点防渗、防雨、防风、防流失，储存液态、半固态危险物质的桶下均设置防渗托盘接漏；</w:t>
            </w:r>
          </w:p>
          <w:p w14:paraId="633627BE">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③本项目未使用有毒有害化学物质，生产过程无生产废水产生及外排，本项目危险物质均密闭存放，厂区内不大量储存，单个容器储存量少，如发生危险物质泄漏时，采用消防沙吸附，消防沙袋堵截，尽快回收，统一收集至指定区域的收集桶内。</w:t>
            </w:r>
          </w:p>
          <w:p w14:paraId="2F9F9A90">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④建设单位严格按照相关要求，应设置专人管理危废暂存间，完善和落实安全管理制度和岗位责任制；定期对储存区安全进行检查，并做好记录；在危险废物暂存间内要挂牌标识）。定期检查防渗、防漏性，确保不发生泄漏，应按照《危险废物贮存污染控制标准》（GB18597-2023）的相关要求，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 厚黏土层（渗透系数不大于10</w:t>
            </w:r>
            <w:r>
              <w:rPr>
                <w:rFonts w:hint="default" w:ascii="Times New Roman" w:hAnsi="Times New Roman" w:cs="Times New Roman"/>
                <w:bCs/>
                <w:color w:val="auto"/>
                <w:spacing w:val="-10"/>
                <w:sz w:val="24"/>
                <w:highlight w:val="none"/>
                <w:vertAlign w:val="superscript"/>
              </w:rPr>
              <w:t xml:space="preserve">-7 </w:t>
            </w:r>
            <w:r>
              <w:rPr>
                <w:rFonts w:hint="default" w:ascii="Times New Roman" w:hAnsi="Times New Roman" w:cs="Times New Roman"/>
                <w:bCs/>
                <w:color w:val="auto"/>
                <w:spacing w:val="-10"/>
                <w:sz w:val="24"/>
                <w:highlight w:val="none"/>
              </w:rPr>
              <w:t>cm/s），或至少2mm 厚高密度聚乙烯膜等人工防渗材料（渗透系数不大于 10</w:t>
            </w:r>
            <w:r>
              <w:rPr>
                <w:rFonts w:hint="default" w:ascii="Times New Roman" w:hAnsi="Times New Roman" w:cs="Times New Roman"/>
                <w:bCs/>
                <w:color w:val="auto"/>
                <w:spacing w:val="-10"/>
                <w:sz w:val="24"/>
                <w:highlight w:val="none"/>
                <w:vertAlign w:val="superscript"/>
              </w:rPr>
              <w:t>-10</w:t>
            </w:r>
            <w:r>
              <w:rPr>
                <w:rFonts w:hint="default" w:ascii="Times New Roman" w:hAnsi="Times New Roman" w:cs="Times New Roman"/>
                <w:bCs/>
                <w:color w:val="auto"/>
                <w:spacing w:val="-10"/>
                <w:sz w:val="24"/>
                <w:highlight w:val="none"/>
              </w:rPr>
              <w:t xml:space="preserve"> cm/s），或其他防渗性能等效的材料。危险废物定期交有资质单位处置，运输过程落实防渗、防漏措施。</w:t>
            </w:r>
          </w:p>
          <w:p w14:paraId="18F9476E">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（5）环境风险结论</w:t>
            </w:r>
          </w:p>
          <w:p w14:paraId="2E35F485">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本项目未使用有毒有害化学物质，生产过程无生产废水产生及外排，建设单位在按照设计要求严格施工，并在切实落实评价中所提出的各项综合风险防范、事故处置、应急措施的基础上，并强化运营中的环境保护管理，本项目发生环境风险事故的可能性较小，建设单位与园区管委会、韶关市生态环境局乐昌分局、韶关市人民政府应急办等政府部门之间建立应急联动机制，可将风险事故降至最低。</w:t>
            </w:r>
          </w:p>
          <w:p w14:paraId="66F25693">
            <w:pPr>
              <w:spacing w:before="120" w:beforeLines="50"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rPr>
              <w:t>本项目风险防范措施可行有效，风险事故的环境影响控制在可接受范围。</w:t>
            </w:r>
          </w:p>
          <w:p w14:paraId="79F03172">
            <w:pPr>
              <w:adjustRightInd w:val="0"/>
              <w:snapToGrid w:val="0"/>
              <w:spacing w:before="120" w:beforeLines="50"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8、电磁辐射</w:t>
            </w:r>
          </w:p>
          <w:p w14:paraId="0EA5DFC6">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bCs/>
                <w:color w:val="auto"/>
                <w:sz w:val="24"/>
                <w:highlight w:val="none"/>
              </w:rPr>
              <w:t>本项目不涉及电磁辐射设备。</w:t>
            </w:r>
            <w:r>
              <w:rPr>
                <w:rFonts w:hint="default" w:ascii="Times New Roman" w:hAnsi="Times New Roman" w:cs="Times New Roman"/>
                <w:color w:val="auto"/>
                <w:sz w:val="24"/>
                <w:highlight w:val="none"/>
              </w:rPr>
              <w:t>本次评价不进行分析。</w:t>
            </w:r>
          </w:p>
          <w:p w14:paraId="02E7F066">
            <w:pPr>
              <w:spacing w:line="360" w:lineRule="auto"/>
              <w:ind w:firstLine="482" w:firstLineChars="200"/>
              <w:jc w:val="left"/>
              <w:rPr>
                <w:rFonts w:hint="default" w:ascii="Times New Roman" w:hAnsi="Times New Roman" w:cs="Times New Roman"/>
                <w:b/>
                <w:iCs/>
                <w:color w:val="auto"/>
                <w:sz w:val="24"/>
                <w:szCs w:val="24"/>
              </w:rPr>
            </w:pPr>
            <w:r>
              <w:rPr>
                <w:rFonts w:hint="default" w:ascii="Times New Roman" w:hAnsi="Times New Roman" w:cs="Times New Roman"/>
                <w:b/>
                <w:bCs/>
                <w:color w:val="auto"/>
                <w:sz w:val="24"/>
                <w:szCs w:val="24"/>
                <w:highlight w:val="none"/>
              </w:rPr>
              <w:t>9、</w:t>
            </w:r>
            <w:r>
              <w:rPr>
                <w:rFonts w:hint="default" w:ascii="Times New Roman" w:hAnsi="Times New Roman" w:cs="Times New Roman"/>
                <w:b/>
                <w:iCs/>
                <w:color w:val="auto"/>
                <w:sz w:val="24"/>
                <w:szCs w:val="24"/>
              </w:rPr>
              <w:t>本</w:t>
            </w:r>
            <w:r>
              <w:rPr>
                <w:rFonts w:hint="default" w:ascii="Times New Roman" w:hAnsi="Times New Roman" w:cs="Times New Roman"/>
                <w:b/>
                <w:iCs/>
                <w:color w:val="auto"/>
                <w:sz w:val="24"/>
                <w:szCs w:val="24"/>
                <w:lang w:val="en-US" w:eastAsia="zh-CN"/>
              </w:rPr>
              <w:t>技改</w:t>
            </w:r>
            <w:r>
              <w:rPr>
                <w:rFonts w:hint="default" w:ascii="Times New Roman" w:hAnsi="Times New Roman" w:cs="Times New Roman"/>
                <w:b/>
                <w:iCs/>
                <w:color w:val="auto"/>
                <w:sz w:val="24"/>
                <w:szCs w:val="24"/>
              </w:rPr>
              <w:t>项目前后“三本账”</w:t>
            </w:r>
          </w:p>
          <w:p w14:paraId="37E59F5B">
            <w:pPr>
              <w:spacing w:line="360" w:lineRule="auto"/>
              <w:ind w:firstLine="480" w:firstLineChars="200"/>
              <w:jc w:val="left"/>
              <w:rPr>
                <w:rFonts w:hint="default" w:ascii="Times New Roman" w:hAnsi="Times New Roman" w:cs="Times New Roman"/>
                <w:iCs/>
                <w:color w:val="auto"/>
                <w:sz w:val="24"/>
                <w:szCs w:val="24"/>
              </w:rPr>
            </w:pPr>
            <w:r>
              <w:rPr>
                <w:rFonts w:hint="default" w:ascii="Times New Roman" w:hAnsi="Times New Roman" w:cs="Times New Roman"/>
                <w:iCs/>
                <w:color w:val="auto"/>
                <w:sz w:val="24"/>
                <w:szCs w:val="24"/>
              </w:rPr>
              <w:t>本</w:t>
            </w:r>
            <w:r>
              <w:rPr>
                <w:rFonts w:hint="default" w:ascii="Times New Roman" w:hAnsi="Times New Roman" w:cs="Times New Roman"/>
                <w:iCs/>
                <w:color w:val="auto"/>
                <w:sz w:val="24"/>
                <w:szCs w:val="24"/>
                <w:lang w:val="en-US" w:eastAsia="zh-CN"/>
              </w:rPr>
              <w:t>技改</w:t>
            </w:r>
            <w:r>
              <w:rPr>
                <w:rFonts w:hint="default" w:ascii="Times New Roman" w:hAnsi="Times New Roman" w:cs="Times New Roman"/>
                <w:iCs/>
                <w:color w:val="auto"/>
                <w:sz w:val="24"/>
                <w:szCs w:val="24"/>
              </w:rPr>
              <w:t>项目建成后，与原项目情况对比。主要污染物“三本账”具体情况详见下表。</w:t>
            </w:r>
          </w:p>
          <w:p w14:paraId="4D0D4152">
            <w:pPr>
              <w:ind w:firstLine="422" w:firstLineChars="200"/>
              <w:jc w:val="center"/>
              <w:rPr>
                <w:rFonts w:hint="default" w:ascii="Times New Roman" w:hAnsi="Times New Roman" w:cs="Times New Roman"/>
                <w:b/>
                <w:bCs/>
                <w:color w:val="auto"/>
                <w:szCs w:val="21"/>
              </w:rPr>
            </w:pPr>
            <w:r>
              <w:rPr>
                <w:rFonts w:hint="default" w:ascii="Times New Roman" w:hAnsi="Times New Roman" w:cs="Times New Roman"/>
                <w:b/>
                <w:bCs/>
                <w:color w:val="auto"/>
                <w:kern w:val="0"/>
                <w:szCs w:val="21"/>
              </w:rPr>
              <w:t>表</w:t>
            </w:r>
            <w:r>
              <w:rPr>
                <w:rFonts w:hint="default" w:ascii="Times New Roman" w:hAnsi="Times New Roman" w:cs="Times New Roman"/>
                <w:b/>
                <w:bCs/>
                <w:color w:val="auto"/>
                <w:kern w:val="0"/>
                <w:szCs w:val="21"/>
                <w:lang w:val="en-US" w:eastAsia="zh-CN"/>
              </w:rPr>
              <w:t>4-19</w:t>
            </w:r>
            <w:r>
              <w:rPr>
                <w:rFonts w:hint="default" w:ascii="Times New Roman" w:hAnsi="Times New Roman" w:cs="Times New Roman"/>
                <w:b/>
                <w:bCs/>
                <w:color w:val="auto"/>
                <w:szCs w:val="21"/>
              </w:rPr>
              <w:t>项目扩建前后主要污染物排放“三本帐”（单位：t/a）</w:t>
            </w:r>
          </w:p>
          <w:tbl>
            <w:tblPr>
              <w:tblStyle w:val="26"/>
              <w:tblW w:w="90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1"/>
              <w:gridCol w:w="1650"/>
              <w:gridCol w:w="1245"/>
              <w:gridCol w:w="1320"/>
              <w:gridCol w:w="1275"/>
              <w:gridCol w:w="1545"/>
              <w:gridCol w:w="1358"/>
            </w:tblGrid>
            <w:tr w14:paraId="6F628C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9" w:hRule="atLeast"/>
                <w:jc w:val="center"/>
              </w:trPr>
              <w:tc>
                <w:tcPr>
                  <w:tcW w:w="701" w:type="dxa"/>
                  <w:vMerge w:val="restart"/>
                  <w:tcBorders>
                    <w:tl2br w:val="nil"/>
                    <w:tr2bl w:val="nil"/>
                  </w:tcBorders>
                  <w:vAlign w:val="center"/>
                </w:tcPr>
                <w:p w14:paraId="57468D82">
                  <w:pPr>
                    <w:autoSpaceDE w:val="0"/>
                    <w:autoSpaceDN w:val="0"/>
                    <w:adjustRightInd w:val="0"/>
                    <w:jc w:val="center"/>
                    <w:textAlignment w:val="baseline"/>
                    <w:rPr>
                      <w:rFonts w:hint="default" w:ascii="Times New Roman" w:hAnsi="Times New Roman" w:cs="Times New Roman"/>
                      <w:b/>
                      <w:color w:val="auto"/>
                      <w:szCs w:val="21"/>
                    </w:rPr>
                  </w:pPr>
                  <w:r>
                    <w:rPr>
                      <w:rFonts w:hint="default" w:ascii="Times New Roman" w:hAnsi="Times New Roman" w:cs="Times New Roman"/>
                      <w:b/>
                      <w:color w:val="auto"/>
                      <w:szCs w:val="21"/>
                    </w:rPr>
                    <w:t>类别</w:t>
                  </w:r>
                </w:p>
              </w:tc>
              <w:tc>
                <w:tcPr>
                  <w:tcW w:w="1650" w:type="dxa"/>
                  <w:vMerge w:val="restart"/>
                  <w:tcBorders>
                    <w:tl2br w:val="nil"/>
                    <w:tr2bl w:val="nil"/>
                  </w:tcBorders>
                  <w:vAlign w:val="center"/>
                </w:tcPr>
                <w:p w14:paraId="2DC0B8DD">
                  <w:pPr>
                    <w:autoSpaceDE w:val="0"/>
                    <w:autoSpaceDN w:val="0"/>
                    <w:adjustRightInd w:val="0"/>
                    <w:jc w:val="center"/>
                    <w:textAlignment w:val="baseline"/>
                    <w:rPr>
                      <w:rFonts w:hint="default" w:ascii="Times New Roman" w:hAnsi="Times New Roman" w:cs="Times New Roman"/>
                      <w:b/>
                      <w:color w:val="auto"/>
                      <w:szCs w:val="21"/>
                    </w:rPr>
                  </w:pPr>
                  <w:r>
                    <w:rPr>
                      <w:rFonts w:hint="default" w:ascii="Times New Roman" w:hAnsi="Times New Roman" w:cs="Times New Roman"/>
                      <w:b/>
                      <w:color w:val="auto"/>
                      <w:szCs w:val="21"/>
                    </w:rPr>
                    <w:t>污染物</w:t>
                  </w:r>
                </w:p>
              </w:tc>
              <w:tc>
                <w:tcPr>
                  <w:tcW w:w="1245" w:type="dxa"/>
                  <w:tcBorders>
                    <w:tl2br w:val="nil"/>
                    <w:tr2bl w:val="nil"/>
                  </w:tcBorders>
                  <w:vAlign w:val="center"/>
                </w:tcPr>
                <w:p w14:paraId="12B0ABD0">
                  <w:pPr>
                    <w:autoSpaceDE w:val="0"/>
                    <w:autoSpaceDN w:val="0"/>
                    <w:adjustRightInd w:val="0"/>
                    <w:jc w:val="center"/>
                    <w:textAlignment w:val="baseline"/>
                    <w:rPr>
                      <w:rFonts w:hint="default" w:ascii="Times New Roman" w:hAnsi="Times New Roman" w:cs="Times New Roman"/>
                      <w:b/>
                      <w:color w:val="auto"/>
                      <w:szCs w:val="21"/>
                    </w:rPr>
                  </w:pPr>
                  <w:r>
                    <w:rPr>
                      <w:rFonts w:hint="default" w:ascii="Times New Roman" w:hAnsi="Times New Roman" w:cs="Times New Roman"/>
                      <w:b/>
                      <w:color w:val="auto"/>
                      <w:szCs w:val="21"/>
                    </w:rPr>
                    <w:t>原有项目</w:t>
                  </w:r>
                </w:p>
              </w:tc>
              <w:tc>
                <w:tcPr>
                  <w:tcW w:w="1320" w:type="dxa"/>
                  <w:tcBorders>
                    <w:tl2br w:val="nil"/>
                    <w:tr2bl w:val="nil"/>
                  </w:tcBorders>
                  <w:vAlign w:val="center"/>
                </w:tcPr>
                <w:p w14:paraId="46BF1229">
                  <w:pPr>
                    <w:autoSpaceDE w:val="0"/>
                    <w:autoSpaceDN w:val="0"/>
                    <w:adjustRightInd w:val="0"/>
                    <w:jc w:val="center"/>
                    <w:textAlignment w:val="baseline"/>
                    <w:rPr>
                      <w:rFonts w:hint="default" w:ascii="Times New Roman" w:hAnsi="Times New Roman" w:cs="Times New Roman"/>
                      <w:b/>
                      <w:color w:val="auto"/>
                      <w:szCs w:val="21"/>
                    </w:rPr>
                  </w:pPr>
                  <w:r>
                    <w:rPr>
                      <w:rFonts w:hint="default" w:ascii="Times New Roman" w:hAnsi="Times New Roman" w:cs="Times New Roman"/>
                      <w:b/>
                      <w:color w:val="auto"/>
                      <w:szCs w:val="21"/>
                    </w:rPr>
                    <w:t>本</w:t>
                  </w:r>
                  <w:r>
                    <w:rPr>
                      <w:rFonts w:hint="default" w:ascii="Times New Roman" w:hAnsi="Times New Roman" w:cs="Times New Roman"/>
                      <w:b/>
                      <w:color w:val="auto"/>
                      <w:szCs w:val="21"/>
                      <w:lang w:val="en-US" w:eastAsia="zh-CN"/>
                    </w:rPr>
                    <w:t>技改</w:t>
                  </w:r>
                  <w:r>
                    <w:rPr>
                      <w:rFonts w:hint="default" w:ascii="Times New Roman" w:hAnsi="Times New Roman" w:cs="Times New Roman"/>
                      <w:b/>
                      <w:color w:val="auto"/>
                      <w:szCs w:val="21"/>
                    </w:rPr>
                    <w:t>项目</w:t>
                  </w:r>
                </w:p>
              </w:tc>
              <w:tc>
                <w:tcPr>
                  <w:tcW w:w="4178" w:type="dxa"/>
                  <w:gridSpan w:val="3"/>
                  <w:tcBorders>
                    <w:tl2br w:val="nil"/>
                    <w:tr2bl w:val="nil"/>
                  </w:tcBorders>
                  <w:vAlign w:val="center"/>
                </w:tcPr>
                <w:p w14:paraId="7F36159F">
                  <w:pPr>
                    <w:autoSpaceDE w:val="0"/>
                    <w:autoSpaceDN w:val="0"/>
                    <w:adjustRightInd w:val="0"/>
                    <w:jc w:val="center"/>
                    <w:textAlignment w:val="baseline"/>
                    <w:rPr>
                      <w:rFonts w:hint="default" w:ascii="Times New Roman" w:hAnsi="Times New Roman" w:cs="Times New Roman"/>
                      <w:b/>
                      <w:color w:val="auto"/>
                      <w:szCs w:val="21"/>
                    </w:rPr>
                  </w:pPr>
                  <w:r>
                    <w:rPr>
                      <w:rFonts w:hint="default" w:ascii="Times New Roman" w:hAnsi="Times New Roman" w:cs="Times New Roman"/>
                      <w:b/>
                      <w:color w:val="auto"/>
                      <w:szCs w:val="21"/>
                    </w:rPr>
                    <w:t>总体工程</w:t>
                  </w:r>
                </w:p>
              </w:tc>
            </w:tr>
            <w:tr w14:paraId="24665B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01" w:type="dxa"/>
                  <w:vMerge w:val="continue"/>
                  <w:tcBorders>
                    <w:tl2br w:val="nil"/>
                    <w:tr2bl w:val="nil"/>
                  </w:tcBorders>
                  <w:vAlign w:val="center"/>
                </w:tcPr>
                <w:p w14:paraId="609A4FE1">
                  <w:pPr>
                    <w:autoSpaceDE w:val="0"/>
                    <w:autoSpaceDN w:val="0"/>
                    <w:adjustRightInd w:val="0"/>
                    <w:jc w:val="center"/>
                    <w:textAlignment w:val="baseline"/>
                    <w:rPr>
                      <w:rFonts w:hint="default" w:ascii="Times New Roman" w:hAnsi="Times New Roman" w:cs="Times New Roman"/>
                      <w:b/>
                      <w:color w:val="auto"/>
                      <w:szCs w:val="21"/>
                    </w:rPr>
                  </w:pPr>
                </w:p>
              </w:tc>
              <w:tc>
                <w:tcPr>
                  <w:tcW w:w="1650" w:type="dxa"/>
                  <w:vMerge w:val="continue"/>
                  <w:tcBorders>
                    <w:tl2br w:val="nil"/>
                    <w:tr2bl w:val="nil"/>
                  </w:tcBorders>
                  <w:vAlign w:val="center"/>
                </w:tcPr>
                <w:p w14:paraId="113ED320">
                  <w:pPr>
                    <w:autoSpaceDE w:val="0"/>
                    <w:autoSpaceDN w:val="0"/>
                    <w:adjustRightInd w:val="0"/>
                    <w:jc w:val="center"/>
                    <w:textAlignment w:val="baseline"/>
                    <w:rPr>
                      <w:b/>
                      <w:color w:val="auto"/>
                      <w:szCs w:val="21"/>
                      <w:highlight w:val="none"/>
                      <w:rPrChange w:id="0" w:author="酱小油" w:date="2024-03-05T17:17:00Z">
                        <w:rPr>
                          <w:b/>
                          <w:szCs w:val="21"/>
                          <w:highlight w:val="yellow"/>
                        </w:rPr>
                      </w:rPrChange>
                    </w:rPr>
                  </w:pPr>
                </w:p>
              </w:tc>
              <w:tc>
                <w:tcPr>
                  <w:tcW w:w="1245" w:type="dxa"/>
                  <w:tcBorders>
                    <w:tl2br w:val="nil"/>
                    <w:tr2bl w:val="nil"/>
                  </w:tcBorders>
                  <w:vAlign w:val="center"/>
                </w:tcPr>
                <w:p w14:paraId="39D098EA">
                  <w:pPr>
                    <w:autoSpaceDE w:val="0"/>
                    <w:autoSpaceDN w:val="0"/>
                    <w:adjustRightInd w:val="0"/>
                    <w:jc w:val="center"/>
                    <w:textAlignment w:val="baseline"/>
                    <w:rPr>
                      <w:b/>
                      <w:color w:val="auto"/>
                      <w:szCs w:val="21"/>
                      <w:highlight w:val="none"/>
                      <w:rPrChange w:id="1" w:author="酱小油" w:date="2024-03-05T17:17:00Z">
                        <w:rPr>
                          <w:b/>
                          <w:szCs w:val="21"/>
                          <w:highlight w:val="yellow"/>
                        </w:rPr>
                      </w:rPrChange>
                    </w:rPr>
                  </w:pPr>
                  <w:r>
                    <w:rPr>
                      <w:rFonts w:hint="default"/>
                      <w:b/>
                      <w:color w:val="auto"/>
                      <w:szCs w:val="21"/>
                      <w:highlight w:val="none"/>
                      <w:rPrChange w:id="2" w:author="酱小油" w:date="2024-03-05T17:17:00Z">
                        <w:rPr>
                          <w:rFonts w:hint="eastAsia"/>
                          <w:b/>
                          <w:szCs w:val="21"/>
                          <w:highlight w:val="yellow"/>
                        </w:rPr>
                      </w:rPrChange>
                    </w:rPr>
                    <w:t>排放量</w:t>
                  </w:r>
                </w:p>
              </w:tc>
              <w:tc>
                <w:tcPr>
                  <w:tcW w:w="1320" w:type="dxa"/>
                  <w:tcBorders>
                    <w:tl2br w:val="nil"/>
                    <w:tr2bl w:val="nil"/>
                  </w:tcBorders>
                  <w:vAlign w:val="center"/>
                </w:tcPr>
                <w:p w14:paraId="7E172DC2">
                  <w:pPr>
                    <w:autoSpaceDE w:val="0"/>
                    <w:autoSpaceDN w:val="0"/>
                    <w:adjustRightInd w:val="0"/>
                    <w:jc w:val="center"/>
                    <w:textAlignment w:val="baseline"/>
                    <w:rPr>
                      <w:b/>
                      <w:color w:val="auto"/>
                      <w:szCs w:val="21"/>
                      <w:highlight w:val="none"/>
                      <w:rPrChange w:id="3" w:author="酱小油" w:date="2024-03-05T17:17:00Z">
                        <w:rPr>
                          <w:b/>
                          <w:szCs w:val="21"/>
                          <w:highlight w:val="yellow"/>
                        </w:rPr>
                      </w:rPrChange>
                    </w:rPr>
                  </w:pPr>
                  <w:r>
                    <w:rPr>
                      <w:rFonts w:hint="default"/>
                      <w:b/>
                      <w:color w:val="auto"/>
                      <w:szCs w:val="21"/>
                      <w:highlight w:val="none"/>
                      <w:rPrChange w:id="4" w:author="酱小油" w:date="2024-03-05T17:17:00Z">
                        <w:rPr>
                          <w:rFonts w:hint="eastAsia"/>
                          <w:b/>
                          <w:szCs w:val="21"/>
                          <w:highlight w:val="yellow"/>
                        </w:rPr>
                      </w:rPrChange>
                    </w:rPr>
                    <w:t>排放量</w:t>
                  </w:r>
                </w:p>
              </w:tc>
              <w:tc>
                <w:tcPr>
                  <w:tcW w:w="1275" w:type="dxa"/>
                  <w:tcBorders>
                    <w:tl2br w:val="nil"/>
                    <w:tr2bl w:val="nil"/>
                  </w:tcBorders>
                  <w:vAlign w:val="center"/>
                </w:tcPr>
                <w:p w14:paraId="0847BA51">
                  <w:pPr>
                    <w:autoSpaceDE w:val="0"/>
                    <w:autoSpaceDN w:val="0"/>
                    <w:adjustRightInd w:val="0"/>
                    <w:jc w:val="center"/>
                    <w:textAlignment w:val="baseline"/>
                    <w:rPr>
                      <w:rFonts w:hint="default" w:ascii="Times New Roman" w:hAnsi="Times New Roman" w:cs="Times New Roman"/>
                      <w:b/>
                      <w:color w:val="auto"/>
                      <w:szCs w:val="21"/>
                      <w:highlight w:val="yellow"/>
                    </w:rPr>
                  </w:pPr>
                  <w:r>
                    <w:rPr>
                      <w:rFonts w:hint="default"/>
                      <w:b/>
                      <w:color w:val="auto"/>
                      <w:szCs w:val="21"/>
                      <w:highlight w:val="none"/>
                      <w:rPrChange w:id="5" w:author="酱小油" w:date="2024-03-05T17:17:00Z">
                        <w:rPr>
                          <w:rFonts w:hint="eastAsia"/>
                          <w:b/>
                          <w:szCs w:val="21"/>
                          <w:highlight w:val="yellow"/>
                        </w:rPr>
                      </w:rPrChange>
                    </w:rPr>
                    <w:t>以新带老削减量</w:t>
                  </w:r>
                  <w:r>
                    <w:rPr>
                      <w:rFonts w:hint="default" w:ascii="Times New Roman" w:hAnsi="Times New Roman" w:cs="Times New Roman"/>
                      <w:b/>
                      <w:color w:val="auto"/>
                      <w:szCs w:val="21"/>
                      <w:highlight w:val="none"/>
                      <w:lang w:val="en-US" w:eastAsia="zh-CN"/>
                    </w:rPr>
                    <w:t>*</w:t>
                  </w:r>
                </w:p>
              </w:tc>
              <w:tc>
                <w:tcPr>
                  <w:tcW w:w="1545" w:type="dxa"/>
                  <w:tcBorders>
                    <w:tl2br w:val="nil"/>
                    <w:tr2bl w:val="nil"/>
                  </w:tcBorders>
                  <w:shd w:val="clear" w:color="auto" w:fill="auto"/>
                  <w:vAlign w:val="center"/>
                </w:tcPr>
                <w:p w14:paraId="46401876">
                  <w:pPr>
                    <w:autoSpaceDE w:val="0"/>
                    <w:autoSpaceDN w:val="0"/>
                    <w:adjustRightInd w:val="0"/>
                    <w:jc w:val="center"/>
                    <w:textAlignment w:val="baseline"/>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预测排放总量</w:t>
                  </w:r>
                </w:p>
              </w:tc>
              <w:tc>
                <w:tcPr>
                  <w:tcW w:w="1358" w:type="dxa"/>
                  <w:tcBorders>
                    <w:tl2br w:val="nil"/>
                    <w:tr2bl w:val="nil"/>
                  </w:tcBorders>
                  <w:shd w:val="clear" w:color="auto" w:fill="auto"/>
                  <w:vAlign w:val="center"/>
                </w:tcPr>
                <w:p w14:paraId="57BE3079">
                  <w:pPr>
                    <w:autoSpaceDE w:val="0"/>
                    <w:autoSpaceDN w:val="0"/>
                    <w:adjustRightInd w:val="0"/>
                    <w:jc w:val="center"/>
                    <w:textAlignment w:val="baseline"/>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排放增减量</w:t>
                  </w:r>
                </w:p>
              </w:tc>
            </w:tr>
            <w:tr w14:paraId="647E14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1" w:type="dxa"/>
                  <w:vMerge w:val="restart"/>
                  <w:tcBorders>
                    <w:tl2br w:val="nil"/>
                    <w:tr2bl w:val="nil"/>
                  </w:tcBorders>
                  <w:vAlign w:val="center"/>
                </w:tcPr>
                <w:p w14:paraId="4AAC840C">
                  <w:pPr>
                    <w:autoSpaceDE w:val="0"/>
                    <w:autoSpaceDN w:val="0"/>
                    <w:adjustRightInd w:val="0"/>
                    <w:jc w:val="center"/>
                    <w:textAlignment w:val="baseline"/>
                    <w:rPr>
                      <w:rFonts w:hint="default" w:ascii="Times New Roman" w:hAnsi="Times New Roman" w:cs="Times New Roman"/>
                      <w:bCs/>
                      <w:color w:val="auto"/>
                      <w:szCs w:val="21"/>
                    </w:rPr>
                  </w:pPr>
                  <w:r>
                    <w:rPr>
                      <w:rFonts w:hint="default" w:ascii="Times New Roman" w:hAnsi="Times New Roman" w:cs="Times New Roman"/>
                      <w:bCs/>
                      <w:color w:val="auto"/>
                      <w:szCs w:val="21"/>
                    </w:rPr>
                    <w:t>废气</w:t>
                  </w:r>
                </w:p>
              </w:tc>
              <w:tc>
                <w:tcPr>
                  <w:tcW w:w="1650" w:type="dxa"/>
                  <w:tcBorders>
                    <w:tl2br w:val="nil"/>
                    <w:tr2bl w:val="nil"/>
                  </w:tcBorders>
                  <w:vAlign w:val="center"/>
                </w:tcPr>
                <w:p w14:paraId="3CE84BE5">
                  <w:pPr>
                    <w:pStyle w:val="126"/>
                    <w:spacing w:before="0" w:beforeLines="0" w:line="240" w:lineRule="auto"/>
                    <w:ind w:firstLine="0" w:firstLineChars="0"/>
                    <w:jc w:val="center"/>
                    <w:rPr>
                      <w:rFonts w:hint="default" w:ascii="Times New Roman" w:hAnsi="Times New Roman" w:cs="Times New Roman"/>
                      <w:bCs/>
                      <w:color w:val="auto"/>
                      <w:szCs w:val="21"/>
                    </w:rPr>
                  </w:pPr>
                  <w:r>
                    <w:rPr>
                      <w:rFonts w:hint="default" w:ascii="Times New Roman" w:hAnsi="Times New Roman" w:cs="Times New Roman"/>
                      <w:color w:val="auto"/>
                      <w:lang w:val="en-US" w:eastAsia="zh-CN"/>
                    </w:rPr>
                    <w:t>颗粒物</w:t>
                  </w:r>
                </w:p>
              </w:tc>
              <w:tc>
                <w:tcPr>
                  <w:tcW w:w="1245" w:type="dxa"/>
                  <w:tcBorders>
                    <w:tl2br w:val="nil"/>
                    <w:tr2bl w:val="nil"/>
                  </w:tcBorders>
                  <w:vAlign w:val="center"/>
                </w:tcPr>
                <w:p w14:paraId="0602F191">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2"/>
                      <w:szCs w:val="22"/>
                      <w:u w:val="none"/>
                      <w:lang w:val="en-US" w:eastAsia="zh-CN" w:bidi="ar"/>
                    </w:rPr>
                    <w:t>4.865</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353AA705">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0.243</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55EB5604">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宋体" w:cs="Times New Roman"/>
                      <w:i w:val="0"/>
                      <w:iCs w:val="0"/>
                      <w:color w:val="auto"/>
                      <w:kern w:val="0"/>
                      <w:sz w:val="21"/>
                      <w:szCs w:val="21"/>
                      <w:u w:val="none"/>
                      <w:lang w:val="en-US" w:eastAsia="zh-CN" w:bidi="ar"/>
                    </w:rPr>
                    <w:t>0.75</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12026F27">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4.358</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3F890A22">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-0.507</w:t>
                  </w:r>
                  <w:r>
                    <w:rPr>
                      <w:rFonts w:hint="default" w:ascii="Times New Roman" w:hAnsi="Times New Roman" w:cs="Times New Roman"/>
                      <w:bCs/>
                      <w:color w:val="auto"/>
                      <w:sz w:val="21"/>
                      <w:szCs w:val="21"/>
                      <w:highlight w:val="none"/>
                      <w:lang w:val="en-US" w:eastAsia="zh-CN"/>
                    </w:rPr>
                    <w:t>t/a</w:t>
                  </w:r>
                </w:p>
              </w:tc>
            </w:tr>
            <w:tr w14:paraId="53D160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1" w:type="dxa"/>
                  <w:vMerge w:val="continue"/>
                  <w:tcBorders>
                    <w:tl2br w:val="nil"/>
                    <w:tr2bl w:val="nil"/>
                  </w:tcBorders>
                  <w:vAlign w:val="center"/>
                </w:tcPr>
                <w:p w14:paraId="165E7488">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610530A6">
                  <w:pPr>
                    <w:pStyle w:val="126"/>
                    <w:spacing w:before="0" w:beforeLines="0" w:line="240" w:lineRule="auto"/>
                    <w:ind w:firstLine="0" w:firstLineChars="0"/>
                    <w:jc w:val="center"/>
                    <w:rPr>
                      <w:rFonts w:hint="default" w:ascii="Times New Roman" w:hAnsi="Times New Roman" w:cs="Times New Roman"/>
                      <w:bCs/>
                      <w:color w:val="auto"/>
                      <w:szCs w:val="21"/>
                      <w:lang w:val="en-US"/>
                    </w:rPr>
                  </w:pPr>
                  <w:r>
                    <w:rPr>
                      <w:rFonts w:hint="default" w:ascii="Times New Roman" w:hAnsi="Times New Roman" w:cs="Times New Roman"/>
                      <w:color w:val="auto"/>
                      <w:lang w:val="en-US" w:eastAsia="zh-CN"/>
                    </w:rPr>
                    <w:t>挥发性有机物*</w:t>
                  </w:r>
                </w:p>
              </w:tc>
              <w:tc>
                <w:tcPr>
                  <w:tcW w:w="1245" w:type="dxa"/>
                  <w:tcBorders>
                    <w:tl2br w:val="nil"/>
                    <w:tr2bl w:val="nil"/>
                  </w:tcBorders>
                  <w:vAlign w:val="center"/>
                </w:tcPr>
                <w:p w14:paraId="73B5FB00">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2"/>
                      <w:szCs w:val="22"/>
                      <w:u w:val="none"/>
                      <w:lang w:val="en-US" w:eastAsia="zh-CN" w:bidi="ar"/>
                    </w:rPr>
                    <w:t>1.768</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1D93A86B">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0.343</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082A349A">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宋体" w:cs="Times New Roman"/>
                      <w:i w:val="0"/>
                      <w:iCs w:val="0"/>
                      <w:color w:val="auto"/>
                      <w:kern w:val="0"/>
                      <w:sz w:val="21"/>
                      <w:szCs w:val="21"/>
                      <w:u w:val="none"/>
                      <w:lang w:val="en-US" w:eastAsia="zh-CN" w:bidi="ar"/>
                    </w:rPr>
                    <w:t>0.4665</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45C80FCC">
                  <w:pPr>
                    <w:keepNext w:val="0"/>
                    <w:keepLines w:val="0"/>
                    <w:widowControl/>
                    <w:suppressLineNumbers w:val="0"/>
                    <w:jc w:val="center"/>
                    <w:textAlignment w:val="center"/>
                    <w:rPr>
                      <w:rFonts w:hint="default" w:ascii="Times New Roman" w:hAnsi="Times New Roman" w:eastAsia="宋体" w:cs="Times New Roman"/>
                      <w:color w:val="auto"/>
                      <w:lang w:eastAsia="zh-CN"/>
                    </w:rPr>
                  </w:pPr>
                  <w:r>
                    <w:rPr>
                      <w:rFonts w:hint="default" w:ascii="Times New Roman" w:hAnsi="Times New Roman" w:eastAsia="宋体" w:cs="Times New Roman"/>
                      <w:i w:val="0"/>
                      <w:iCs w:val="0"/>
                      <w:color w:val="auto"/>
                      <w:kern w:val="0"/>
                      <w:sz w:val="21"/>
                      <w:szCs w:val="21"/>
                      <w:u w:val="none"/>
                      <w:lang w:val="en-US" w:eastAsia="zh-CN" w:bidi="ar"/>
                    </w:rPr>
                    <w:t>1.6445</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2D4EAF67">
                  <w:pPr>
                    <w:keepNext w:val="0"/>
                    <w:keepLines w:val="0"/>
                    <w:widowControl/>
                    <w:suppressLineNumbers w:val="0"/>
                    <w:jc w:val="center"/>
                    <w:textAlignment w:val="center"/>
                    <w:rPr>
                      <w:rFonts w:hint="default" w:ascii="Times New Roman" w:hAnsi="Times New Roman" w:eastAsia="宋体" w:cs="Times New Roman"/>
                      <w:color w:val="auto"/>
                      <w:lang w:eastAsia="zh-CN"/>
                    </w:rPr>
                  </w:pPr>
                  <w:r>
                    <w:rPr>
                      <w:rFonts w:hint="default" w:ascii="Times New Roman" w:hAnsi="Times New Roman" w:eastAsia="宋体" w:cs="Times New Roman"/>
                      <w:i w:val="0"/>
                      <w:iCs w:val="0"/>
                      <w:color w:val="auto"/>
                      <w:kern w:val="0"/>
                      <w:sz w:val="21"/>
                      <w:szCs w:val="21"/>
                      <w:u w:val="none"/>
                      <w:lang w:val="en-US" w:eastAsia="zh-CN" w:bidi="ar"/>
                    </w:rPr>
                    <w:t>-0.1235</w:t>
                  </w:r>
                  <w:r>
                    <w:rPr>
                      <w:rFonts w:hint="default" w:ascii="Times New Roman" w:hAnsi="Times New Roman" w:cs="Times New Roman"/>
                      <w:bCs/>
                      <w:color w:val="auto"/>
                      <w:sz w:val="21"/>
                      <w:szCs w:val="21"/>
                      <w:highlight w:val="none"/>
                      <w:lang w:val="en-US" w:eastAsia="zh-CN"/>
                    </w:rPr>
                    <w:t>t/a</w:t>
                  </w:r>
                </w:p>
              </w:tc>
            </w:tr>
            <w:tr w14:paraId="78A54A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2" w:hRule="atLeast"/>
                <w:jc w:val="center"/>
              </w:trPr>
              <w:tc>
                <w:tcPr>
                  <w:tcW w:w="701" w:type="dxa"/>
                  <w:vMerge w:val="continue"/>
                  <w:tcBorders>
                    <w:tl2br w:val="nil"/>
                    <w:tr2bl w:val="nil"/>
                  </w:tcBorders>
                  <w:vAlign w:val="center"/>
                </w:tcPr>
                <w:p w14:paraId="6F70260F">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7FE262A6">
                  <w:pPr>
                    <w:pStyle w:val="126"/>
                    <w:spacing w:before="0" w:beforeLines="0" w:line="240" w:lineRule="auto"/>
                    <w:ind w:firstLine="0" w:firstLineChars="0"/>
                    <w:jc w:val="center"/>
                    <w:rPr>
                      <w:rFonts w:hint="default" w:ascii="Times New Roman" w:hAnsi="Times New Roman" w:cs="Times New Roman"/>
                      <w:bCs/>
                      <w:color w:val="auto"/>
                      <w:szCs w:val="21"/>
                    </w:rPr>
                  </w:pPr>
                  <w:r>
                    <w:rPr>
                      <w:rFonts w:hint="default" w:ascii="Times New Roman" w:hAnsi="Times New Roman" w:cs="Times New Roman"/>
                      <w:color w:val="auto"/>
                      <w:lang w:val="en-US" w:eastAsia="zh-CN"/>
                    </w:rPr>
                    <w:t>SO</w:t>
                  </w:r>
                  <w:r>
                    <w:rPr>
                      <w:rFonts w:hint="default" w:ascii="Times New Roman" w:hAnsi="Times New Roman" w:cs="Times New Roman"/>
                      <w:color w:val="auto"/>
                      <w:vertAlign w:val="subscript"/>
                      <w:lang w:val="en-US" w:eastAsia="zh-CN"/>
                    </w:rPr>
                    <w:t>2</w:t>
                  </w:r>
                </w:p>
              </w:tc>
              <w:tc>
                <w:tcPr>
                  <w:tcW w:w="1245" w:type="dxa"/>
                  <w:tcBorders>
                    <w:tl2br w:val="nil"/>
                    <w:tr2bl w:val="nil"/>
                  </w:tcBorders>
                  <w:vAlign w:val="center"/>
                </w:tcPr>
                <w:p w14:paraId="24EFEF78">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2"/>
                      <w:szCs w:val="22"/>
                      <w:u w:val="none"/>
                      <w:lang w:val="en-US" w:eastAsia="zh-CN" w:bidi="ar"/>
                    </w:rPr>
                    <w:t>0.001</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61A0E721">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08CE179A">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1F12B4DB">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0.001</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42E53EEB">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22D5E8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01" w:type="dxa"/>
                  <w:vMerge w:val="continue"/>
                  <w:tcBorders>
                    <w:tl2br w:val="nil"/>
                    <w:tr2bl w:val="nil"/>
                  </w:tcBorders>
                  <w:vAlign w:val="center"/>
                </w:tcPr>
                <w:p w14:paraId="46E26883">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22C19994">
                  <w:pPr>
                    <w:pStyle w:val="126"/>
                    <w:spacing w:before="0" w:beforeLines="0" w:line="240" w:lineRule="auto"/>
                    <w:ind w:firstLine="0" w:firstLineChars="0"/>
                    <w:jc w:val="center"/>
                    <w:rPr>
                      <w:rFonts w:hint="default" w:ascii="Times New Roman" w:hAnsi="Times New Roman" w:cs="Times New Roman"/>
                      <w:bCs/>
                      <w:color w:val="auto"/>
                      <w:szCs w:val="21"/>
                    </w:rPr>
                  </w:pPr>
                  <w:r>
                    <w:rPr>
                      <w:rFonts w:hint="default" w:ascii="Times New Roman" w:hAnsi="Times New Roman" w:cs="Times New Roman"/>
                      <w:color w:val="auto"/>
                      <w:lang w:val="en-US" w:eastAsia="zh-CN"/>
                    </w:rPr>
                    <w:t>NO</w:t>
                  </w:r>
                  <w:r>
                    <w:rPr>
                      <w:rFonts w:hint="default" w:ascii="Times New Roman" w:hAnsi="Times New Roman" w:cs="Times New Roman"/>
                      <w:color w:val="auto"/>
                      <w:vertAlign w:val="subscript"/>
                      <w:lang w:val="en-US" w:eastAsia="zh-CN"/>
                    </w:rPr>
                    <w:t>X</w:t>
                  </w:r>
                </w:p>
              </w:tc>
              <w:tc>
                <w:tcPr>
                  <w:tcW w:w="1245" w:type="dxa"/>
                  <w:tcBorders>
                    <w:tl2br w:val="nil"/>
                    <w:tr2bl w:val="nil"/>
                  </w:tcBorders>
                  <w:vAlign w:val="center"/>
                </w:tcPr>
                <w:p w14:paraId="33E45BDD">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2"/>
                      <w:szCs w:val="22"/>
                      <w:u w:val="none"/>
                      <w:lang w:val="en-US" w:eastAsia="zh-CN" w:bidi="ar"/>
                    </w:rPr>
                    <w:t>0.063</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1F727638">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3955F25D">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674578C3">
                  <w:pPr>
                    <w:keepNext w:val="0"/>
                    <w:keepLines w:val="0"/>
                    <w:widowControl/>
                    <w:suppressLineNumbers w:val="0"/>
                    <w:jc w:val="center"/>
                    <w:textAlignment w:val="center"/>
                    <w:rPr>
                      <w:rFonts w:hint="default" w:ascii="Times New Roman" w:hAnsi="Times New Roman"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0.063</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17E750C3">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3CFE8A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1" w:type="dxa"/>
                  <w:vMerge w:val="restart"/>
                  <w:tcBorders>
                    <w:tl2br w:val="nil"/>
                    <w:tr2bl w:val="nil"/>
                  </w:tcBorders>
                  <w:vAlign w:val="center"/>
                </w:tcPr>
                <w:p w14:paraId="7404F202">
                  <w:pPr>
                    <w:autoSpaceDE w:val="0"/>
                    <w:autoSpaceDN w:val="0"/>
                    <w:adjustRightInd w:val="0"/>
                    <w:jc w:val="center"/>
                    <w:textAlignment w:val="baseline"/>
                    <w:rPr>
                      <w:rFonts w:hint="default" w:ascii="Times New Roman" w:hAnsi="Times New Roman" w:cs="Times New Roman"/>
                      <w:bCs/>
                      <w:color w:val="auto"/>
                      <w:szCs w:val="21"/>
                    </w:rPr>
                  </w:pPr>
                  <w:r>
                    <w:rPr>
                      <w:rFonts w:hint="default" w:ascii="Times New Roman" w:hAnsi="Times New Roman" w:cs="Times New Roman"/>
                      <w:bCs/>
                      <w:color w:val="auto"/>
                      <w:szCs w:val="21"/>
                    </w:rPr>
                    <w:t>废水</w:t>
                  </w:r>
                </w:p>
              </w:tc>
              <w:tc>
                <w:tcPr>
                  <w:tcW w:w="1650" w:type="dxa"/>
                  <w:tcBorders>
                    <w:tl2br w:val="nil"/>
                    <w:tr2bl w:val="nil"/>
                  </w:tcBorders>
                  <w:vAlign w:val="center"/>
                </w:tcPr>
                <w:p w14:paraId="1E1933F9">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color w:val="auto"/>
                      <w:szCs w:val="21"/>
                    </w:rPr>
                    <w:t>COD</w:t>
                  </w:r>
                  <w:r>
                    <w:rPr>
                      <w:rFonts w:hint="default" w:ascii="Times New Roman" w:hAnsi="Times New Roman" w:cs="Times New Roman"/>
                      <w:color w:val="auto"/>
                      <w:szCs w:val="21"/>
                      <w:vertAlign w:val="subscript"/>
                    </w:rPr>
                    <w:t>Cr</w:t>
                  </w:r>
                </w:p>
              </w:tc>
              <w:tc>
                <w:tcPr>
                  <w:tcW w:w="1245" w:type="dxa"/>
                  <w:tcBorders>
                    <w:tl2br w:val="nil"/>
                    <w:tr2bl w:val="nil"/>
                  </w:tcBorders>
                  <w:vAlign w:val="center"/>
                </w:tcPr>
                <w:p w14:paraId="020C780A">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0.167</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2FEC3973">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cs="Times New Roman"/>
                      <w:bCs/>
                      <w:color w:val="auto"/>
                      <w:sz w:val="21"/>
                      <w:szCs w:val="21"/>
                      <w:highlight w:val="none"/>
                      <w:lang w:val="en-US" w:eastAsia="zh-CN"/>
                    </w:rPr>
                    <w:t>0t/a</w:t>
                  </w:r>
                </w:p>
              </w:tc>
              <w:tc>
                <w:tcPr>
                  <w:tcW w:w="1275" w:type="dxa"/>
                  <w:tcBorders>
                    <w:tl2br w:val="nil"/>
                    <w:tr2bl w:val="nil"/>
                  </w:tcBorders>
                  <w:vAlign w:val="center"/>
                </w:tcPr>
                <w:p w14:paraId="13847626">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0.003</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1072B417">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宋体" w:cs="Times New Roman"/>
                      <w:i w:val="0"/>
                      <w:iCs w:val="0"/>
                      <w:color w:val="auto"/>
                      <w:kern w:val="0"/>
                      <w:sz w:val="21"/>
                      <w:szCs w:val="21"/>
                      <w:u w:val="none"/>
                      <w:lang w:val="en-US" w:eastAsia="zh-CN" w:bidi="ar"/>
                    </w:rPr>
                    <w:t>0.164</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1BF720D9">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-0.003</w:t>
                  </w:r>
                  <w:r>
                    <w:rPr>
                      <w:rFonts w:hint="default" w:ascii="Times New Roman" w:hAnsi="Times New Roman" w:cs="Times New Roman"/>
                      <w:bCs/>
                      <w:color w:val="auto"/>
                      <w:sz w:val="21"/>
                      <w:szCs w:val="21"/>
                      <w:highlight w:val="none"/>
                      <w:lang w:val="en-US" w:eastAsia="zh-CN"/>
                    </w:rPr>
                    <w:t>t/a</w:t>
                  </w:r>
                </w:p>
              </w:tc>
            </w:tr>
            <w:tr w14:paraId="13B732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1" w:hRule="atLeast"/>
                <w:jc w:val="center"/>
              </w:trPr>
              <w:tc>
                <w:tcPr>
                  <w:tcW w:w="701" w:type="dxa"/>
                  <w:vMerge w:val="continue"/>
                  <w:tcBorders>
                    <w:tl2br w:val="nil"/>
                    <w:tr2bl w:val="nil"/>
                  </w:tcBorders>
                  <w:vAlign w:val="center"/>
                </w:tcPr>
                <w:p w14:paraId="01FE839B">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28C73BA8">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color w:val="auto"/>
                      <w:szCs w:val="21"/>
                    </w:rPr>
                    <w:t>BOD</w:t>
                  </w:r>
                  <w:r>
                    <w:rPr>
                      <w:rFonts w:hint="default" w:ascii="Times New Roman" w:hAnsi="Times New Roman" w:cs="Times New Roman"/>
                      <w:color w:val="auto"/>
                      <w:szCs w:val="21"/>
                      <w:vertAlign w:val="subscript"/>
                    </w:rPr>
                    <w:t>5</w:t>
                  </w:r>
                </w:p>
              </w:tc>
              <w:tc>
                <w:tcPr>
                  <w:tcW w:w="1245" w:type="dxa"/>
                  <w:tcBorders>
                    <w:tl2br w:val="nil"/>
                    <w:tr2bl w:val="nil"/>
                  </w:tcBorders>
                  <w:vAlign w:val="center"/>
                </w:tcPr>
                <w:p w14:paraId="7513DB7A">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0.084</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25B6DACC">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27B776D5">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0.002</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51FFA309">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宋体" w:cs="Times New Roman"/>
                      <w:i w:val="0"/>
                      <w:iCs w:val="0"/>
                      <w:color w:val="auto"/>
                      <w:kern w:val="0"/>
                      <w:sz w:val="21"/>
                      <w:szCs w:val="21"/>
                      <w:u w:val="none"/>
                      <w:lang w:val="en-US" w:eastAsia="zh-CN" w:bidi="ar"/>
                    </w:rPr>
                    <w:t>0.082</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2F5AFEEE">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-0.002</w:t>
                  </w:r>
                  <w:r>
                    <w:rPr>
                      <w:rFonts w:hint="default" w:ascii="Times New Roman" w:hAnsi="Times New Roman" w:cs="Times New Roman"/>
                      <w:bCs/>
                      <w:color w:val="auto"/>
                      <w:sz w:val="21"/>
                      <w:szCs w:val="21"/>
                      <w:highlight w:val="none"/>
                      <w:lang w:val="en-US" w:eastAsia="zh-CN"/>
                    </w:rPr>
                    <w:t>t/a</w:t>
                  </w:r>
                </w:p>
              </w:tc>
            </w:tr>
            <w:tr w14:paraId="26B4C8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01" w:type="dxa"/>
                  <w:vMerge w:val="continue"/>
                  <w:tcBorders>
                    <w:tl2br w:val="nil"/>
                    <w:tr2bl w:val="nil"/>
                  </w:tcBorders>
                  <w:vAlign w:val="center"/>
                </w:tcPr>
                <w:p w14:paraId="35EB882D">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16330686">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color w:val="auto"/>
                      <w:szCs w:val="21"/>
                    </w:rPr>
                    <w:t>SS</w:t>
                  </w:r>
                </w:p>
              </w:tc>
              <w:tc>
                <w:tcPr>
                  <w:tcW w:w="1245" w:type="dxa"/>
                  <w:tcBorders>
                    <w:tl2br w:val="nil"/>
                    <w:tr2bl w:val="nil"/>
                  </w:tcBorders>
                  <w:vAlign w:val="center"/>
                </w:tcPr>
                <w:p w14:paraId="6D81824B">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0.291</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4A692F04">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5CE43643">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0.006</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226838C0">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宋体" w:cs="Times New Roman"/>
                      <w:i w:val="0"/>
                      <w:iCs w:val="0"/>
                      <w:color w:val="auto"/>
                      <w:kern w:val="0"/>
                      <w:sz w:val="21"/>
                      <w:szCs w:val="21"/>
                      <w:u w:val="none"/>
                      <w:lang w:val="en-US" w:eastAsia="zh-CN" w:bidi="ar"/>
                    </w:rPr>
                    <w:t>0.285</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0B82BFDE">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-0.006</w:t>
                  </w:r>
                  <w:r>
                    <w:rPr>
                      <w:rFonts w:hint="default" w:ascii="Times New Roman" w:hAnsi="Times New Roman" w:cs="Times New Roman"/>
                      <w:bCs/>
                      <w:color w:val="auto"/>
                      <w:sz w:val="21"/>
                      <w:szCs w:val="21"/>
                      <w:highlight w:val="none"/>
                      <w:lang w:val="en-US" w:eastAsia="zh-CN"/>
                    </w:rPr>
                    <w:t>t/a</w:t>
                  </w:r>
                </w:p>
              </w:tc>
            </w:tr>
            <w:tr w14:paraId="7E29F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7" w:hRule="atLeast"/>
                <w:jc w:val="center"/>
              </w:trPr>
              <w:tc>
                <w:tcPr>
                  <w:tcW w:w="701" w:type="dxa"/>
                  <w:vMerge w:val="continue"/>
                  <w:tcBorders>
                    <w:tl2br w:val="nil"/>
                    <w:tr2bl w:val="nil"/>
                  </w:tcBorders>
                  <w:vAlign w:val="center"/>
                </w:tcPr>
                <w:p w14:paraId="7ED52B67">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0A59C746">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color w:val="auto"/>
                      <w:szCs w:val="21"/>
                    </w:rPr>
                    <w:t>NH</w:t>
                  </w:r>
                  <w:r>
                    <w:rPr>
                      <w:rFonts w:hint="default" w:ascii="Times New Roman" w:hAnsi="Times New Roman" w:cs="Times New Roman"/>
                      <w:color w:val="auto"/>
                      <w:szCs w:val="21"/>
                      <w:vertAlign w:val="subscript"/>
                    </w:rPr>
                    <w:t>3</w:t>
                  </w:r>
                  <w:r>
                    <w:rPr>
                      <w:rFonts w:hint="default" w:ascii="Times New Roman" w:hAnsi="Times New Roman" w:cs="Times New Roman"/>
                      <w:color w:val="auto"/>
                      <w:szCs w:val="21"/>
                    </w:rPr>
                    <w:t>-N</w:t>
                  </w:r>
                </w:p>
              </w:tc>
              <w:tc>
                <w:tcPr>
                  <w:tcW w:w="1245" w:type="dxa"/>
                  <w:tcBorders>
                    <w:tl2br w:val="nil"/>
                    <w:tr2bl w:val="nil"/>
                  </w:tcBorders>
                  <w:vAlign w:val="center"/>
                </w:tcPr>
                <w:p w14:paraId="294D4E32">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0.008</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13BF62B0">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4DE1DADB">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0.0002</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2BCD8388">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宋体" w:cs="Times New Roman"/>
                      <w:i w:val="0"/>
                      <w:iCs w:val="0"/>
                      <w:color w:val="auto"/>
                      <w:kern w:val="0"/>
                      <w:sz w:val="21"/>
                      <w:szCs w:val="21"/>
                      <w:u w:val="none"/>
                      <w:lang w:val="en-US" w:eastAsia="zh-CN" w:bidi="ar"/>
                    </w:rPr>
                    <w:t>0.0078</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27475C81">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-0.0002</w:t>
                  </w:r>
                  <w:r>
                    <w:rPr>
                      <w:rFonts w:hint="default" w:ascii="Times New Roman" w:hAnsi="Times New Roman" w:cs="Times New Roman"/>
                      <w:bCs/>
                      <w:color w:val="auto"/>
                      <w:sz w:val="21"/>
                      <w:szCs w:val="21"/>
                      <w:highlight w:val="none"/>
                      <w:lang w:val="en-US" w:eastAsia="zh-CN"/>
                    </w:rPr>
                    <w:t>t/a</w:t>
                  </w:r>
                </w:p>
              </w:tc>
            </w:tr>
            <w:tr w14:paraId="44399D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7" w:hRule="atLeast"/>
                <w:jc w:val="center"/>
              </w:trPr>
              <w:tc>
                <w:tcPr>
                  <w:tcW w:w="701" w:type="dxa"/>
                  <w:vMerge w:val="continue"/>
                  <w:tcBorders>
                    <w:tl2br w:val="nil"/>
                    <w:tr2bl w:val="nil"/>
                  </w:tcBorders>
                  <w:vAlign w:val="center"/>
                </w:tcPr>
                <w:p w14:paraId="374FD1D7">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2163EE7A">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szCs w:val="21"/>
                    </w:rPr>
                    <w:t>动植物油</w:t>
                  </w:r>
                </w:p>
              </w:tc>
              <w:tc>
                <w:tcPr>
                  <w:tcW w:w="1245" w:type="dxa"/>
                  <w:tcBorders>
                    <w:tl2br w:val="nil"/>
                    <w:tr2bl w:val="nil"/>
                  </w:tcBorders>
                  <w:vAlign w:val="center"/>
                </w:tcPr>
                <w:p w14:paraId="419F0936">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0.001</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6E761380">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3E854BD9">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0.00002</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2B8602A0">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0.00098</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7DEE8260">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-0.00002</w:t>
                  </w:r>
                  <w:r>
                    <w:rPr>
                      <w:rFonts w:hint="default" w:ascii="Times New Roman" w:hAnsi="Times New Roman" w:cs="Times New Roman"/>
                      <w:bCs/>
                      <w:color w:val="auto"/>
                      <w:sz w:val="21"/>
                      <w:szCs w:val="21"/>
                      <w:highlight w:val="none"/>
                      <w:lang w:val="en-US" w:eastAsia="zh-CN"/>
                    </w:rPr>
                    <w:t>t/a</w:t>
                  </w:r>
                </w:p>
              </w:tc>
            </w:tr>
            <w:tr w14:paraId="14BAC0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01" w:type="dxa"/>
                  <w:vMerge w:val="restart"/>
                  <w:tcBorders>
                    <w:tl2br w:val="nil"/>
                    <w:tr2bl w:val="nil"/>
                  </w:tcBorders>
                  <w:vAlign w:val="center"/>
                </w:tcPr>
                <w:p w14:paraId="4F01428D">
                  <w:pPr>
                    <w:autoSpaceDE w:val="0"/>
                    <w:autoSpaceDN w:val="0"/>
                    <w:adjustRightInd w:val="0"/>
                    <w:jc w:val="center"/>
                    <w:textAlignment w:val="baseline"/>
                    <w:rPr>
                      <w:rFonts w:hint="default" w:ascii="Times New Roman" w:hAnsi="Times New Roman" w:cs="Times New Roman"/>
                      <w:bCs/>
                      <w:color w:val="auto"/>
                      <w:szCs w:val="21"/>
                    </w:rPr>
                  </w:pPr>
                  <w:r>
                    <w:rPr>
                      <w:rFonts w:hint="default" w:ascii="Times New Roman" w:hAnsi="Times New Roman" w:cs="Times New Roman"/>
                      <w:bCs/>
                      <w:color w:val="auto"/>
                      <w:szCs w:val="21"/>
                    </w:rPr>
                    <w:t>一般固废</w:t>
                  </w:r>
                </w:p>
              </w:tc>
              <w:tc>
                <w:tcPr>
                  <w:tcW w:w="1650" w:type="dxa"/>
                  <w:tcBorders>
                    <w:tl2br w:val="nil"/>
                    <w:tr2bl w:val="nil"/>
                  </w:tcBorders>
                  <w:vAlign w:val="center"/>
                </w:tcPr>
                <w:p w14:paraId="43056C41">
                  <w:pPr>
                    <w:jc w:val="center"/>
                    <w:rPr>
                      <w:rFonts w:hint="default" w:ascii="Times New Roman" w:hAnsi="Times New Roman" w:cs="Times New Roman"/>
                      <w:bCs/>
                      <w:color w:val="auto"/>
                      <w:szCs w:val="21"/>
                    </w:rPr>
                  </w:pPr>
                  <w:r>
                    <w:rPr>
                      <w:rFonts w:hint="default" w:ascii="Times New Roman" w:hAnsi="Times New Roman" w:cs="Times New Roman"/>
                      <w:color w:val="auto"/>
                      <w:sz w:val="21"/>
                      <w:szCs w:val="21"/>
                    </w:rPr>
                    <w:t>生活垃圾</w:t>
                  </w:r>
                </w:p>
              </w:tc>
              <w:tc>
                <w:tcPr>
                  <w:tcW w:w="1245" w:type="dxa"/>
                  <w:tcBorders>
                    <w:tl2br w:val="nil"/>
                    <w:tr2bl w:val="nil"/>
                  </w:tcBorders>
                  <w:vAlign w:val="center"/>
                </w:tcPr>
                <w:p w14:paraId="71258BDA">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48.5</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2986CB30">
                  <w:pPr>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1685C3F3">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.75</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2B68C8B7">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47.75</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02CDEB0C">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-0.75</w:t>
                  </w:r>
                  <w:r>
                    <w:rPr>
                      <w:rFonts w:hint="default" w:ascii="Times New Roman" w:hAnsi="Times New Roman" w:cs="Times New Roman"/>
                      <w:bCs/>
                      <w:color w:val="auto"/>
                      <w:sz w:val="21"/>
                      <w:szCs w:val="21"/>
                      <w:highlight w:val="none"/>
                      <w:lang w:val="en-US" w:eastAsia="zh-CN"/>
                    </w:rPr>
                    <w:t>t/a</w:t>
                  </w:r>
                </w:p>
              </w:tc>
            </w:tr>
            <w:tr w14:paraId="674C4B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0C757E9F">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63B014B1">
                  <w:pPr>
                    <w:jc w:val="center"/>
                    <w:rPr>
                      <w:rFonts w:hint="default" w:ascii="Times New Roman" w:hAnsi="Times New Roman" w:cs="Times New Roman"/>
                      <w:bCs/>
                      <w:color w:val="auto"/>
                      <w:szCs w:val="21"/>
                    </w:rPr>
                  </w:pPr>
                  <w:r>
                    <w:rPr>
                      <w:rFonts w:hint="default" w:ascii="Times New Roman" w:hAnsi="Times New Roman" w:cs="Times New Roman"/>
                      <w:color w:val="auto"/>
                      <w:sz w:val="21"/>
                      <w:szCs w:val="21"/>
                      <w:highlight w:val="none"/>
                      <w:lang w:val="en-US" w:eastAsia="zh-CN"/>
                    </w:rPr>
                    <w:t>中频炉渣</w:t>
                  </w:r>
                </w:p>
              </w:tc>
              <w:tc>
                <w:tcPr>
                  <w:tcW w:w="1245" w:type="dxa"/>
                  <w:tcBorders>
                    <w:tl2br w:val="nil"/>
                    <w:tr2bl w:val="nil"/>
                  </w:tcBorders>
                  <w:vAlign w:val="center"/>
                </w:tcPr>
                <w:p w14:paraId="66EA025C">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180.36</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429F562B">
                  <w:pPr>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537A9972">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20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2C34CE88">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160.36</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556CF546">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-20</w:t>
                  </w:r>
                  <w:r>
                    <w:rPr>
                      <w:rFonts w:hint="default" w:ascii="Times New Roman" w:hAnsi="Times New Roman" w:cs="Times New Roman"/>
                      <w:bCs/>
                      <w:color w:val="auto"/>
                      <w:sz w:val="21"/>
                      <w:szCs w:val="21"/>
                      <w:highlight w:val="none"/>
                      <w:lang w:val="en-US" w:eastAsia="zh-CN"/>
                    </w:rPr>
                    <w:t>t/a</w:t>
                  </w:r>
                </w:p>
              </w:tc>
            </w:tr>
            <w:tr w14:paraId="08BC64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24F15111">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61048AFC">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除尘收集的粉尘</w:t>
                  </w:r>
                </w:p>
              </w:tc>
              <w:tc>
                <w:tcPr>
                  <w:tcW w:w="1245" w:type="dxa"/>
                  <w:tcBorders>
                    <w:tl2br w:val="nil"/>
                    <w:tr2bl w:val="nil"/>
                  </w:tcBorders>
                  <w:vAlign w:val="center"/>
                </w:tcPr>
                <w:p w14:paraId="628E58DA">
                  <w:pPr>
                    <w:jc w:val="center"/>
                    <w:rPr>
                      <w:rFonts w:hint="default" w:ascii="Times New Roman" w:hAnsi="Times New Roman" w:cs="Times New Roman"/>
                      <w:color w:val="auto"/>
                    </w:rPr>
                  </w:pPr>
                  <w:r>
                    <w:rPr>
                      <w:rFonts w:hint="default" w:ascii="Times New Roman" w:hAnsi="Times New Roman" w:cs="Times New Roman"/>
                      <w:color w:val="auto"/>
                      <w:sz w:val="21"/>
                      <w:szCs w:val="21"/>
                      <w:highlight w:val="none"/>
                      <w:lang w:val="en-US" w:eastAsia="zh-CN"/>
                    </w:rPr>
                    <w:t>744.32</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13650068">
                  <w:pPr>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0.37</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281EC0E6">
                  <w:pPr>
                    <w:jc w:val="center"/>
                    <w:rPr>
                      <w:rFonts w:hint="default" w:ascii="Times New Roman" w:hAnsi="Times New Roman" w:cs="Times New Roman"/>
                      <w:color w:val="auto"/>
                    </w:rPr>
                  </w:pPr>
                  <w:r>
                    <w:rPr>
                      <w:rFonts w:hint="default" w:ascii="Times New Roman" w:hAnsi="Times New Roman" w:cs="Times New Roman"/>
                      <w:color w:val="auto"/>
                      <w:sz w:val="21"/>
                      <w:szCs w:val="21"/>
                      <w:highlight w:val="none"/>
                      <w:lang w:val="en-US" w:eastAsia="zh-CN"/>
                    </w:rPr>
                    <w:t>129.65</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41975CFC">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615.04</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121F0739">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-129.28</w:t>
                  </w:r>
                  <w:r>
                    <w:rPr>
                      <w:rFonts w:hint="default" w:ascii="Times New Roman" w:hAnsi="Times New Roman" w:cs="Times New Roman"/>
                      <w:bCs/>
                      <w:color w:val="auto"/>
                      <w:sz w:val="21"/>
                      <w:szCs w:val="21"/>
                      <w:highlight w:val="none"/>
                      <w:lang w:val="en-US" w:eastAsia="zh-CN"/>
                    </w:rPr>
                    <w:t>t/a</w:t>
                  </w:r>
                </w:p>
              </w:tc>
            </w:tr>
            <w:tr w14:paraId="7E903C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07AB5B01">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12C49FD3">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废砂</w:t>
                  </w:r>
                </w:p>
              </w:tc>
              <w:tc>
                <w:tcPr>
                  <w:tcW w:w="1245" w:type="dxa"/>
                  <w:tcBorders>
                    <w:tl2br w:val="nil"/>
                    <w:tr2bl w:val="nil"/>
                  </w:tcBorders>
                  <w:vAlign w:val="center"/>
                </w:tcPr>
                <w:p w14:paraId="75B7374B">
                  <w:pPr>
                    <w:jc w:val="center"/>
                    <w:rPr>
                      <w:rFonts w:hint="default" w:ascii="Times New Roman" w:hAnsi="Times New Roman" w:cs="Times New Roman"/>
                      <w:color w:val="auto"/>
                      <w:szCs w:val="21"/>
                    </w:rPr>
                  </w:pPr>
                  <w:r>
                    <w:rPr>
                      <w:rFonts w:hint="default" w:ascii="Times New Roman" w:hAnsi="Times New Roman" w:cs="Times New Roman"/>
                      <w:color w:val="auto"/>
                      <w:sz w:val="21"/>
                      <w:szCs w:val="21"/>
                      <w:lang w:val="en-US" w:eastAsia="zh-CN"/>
                    </w:rPr>
                    <w:t>14.8</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0692B227">
                  <w:pPr>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7C6F5407">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1</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72F984A8">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13.8</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389C7F63">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w:t>
                  </w:r>
                  <w:r>
                    <w:rPr>
                      <w:rFonts w:hint="default" w:ascii="Times New Roman" w:hAnsi="Times New Roman" w:cs="Times New Roman"/>
                      <w:bCs/>
                      <w:color w:val="auto"/>
                      <w:sz w:val="21"/>
                      <w:szCs w:val="21"/>
                      <w:highlight w:val="none"/>
                      <w:lang w:val="en-US" w:eastAsia="zh-CN"/>
                    </w:rPr>
                    <w:t>t/a</w:t>
                  </w:r>
                </w:p>
              </w:tc>
            </w:tr>
            <w:tr w14:paraId="6E8A1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68AE2E02">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76C1282E">
                  <w:pPr>
                    <w:jc w:val="center"/>
                    <w:rPr>
                      <w:rFonts w:hint="default" w:ascii="Times New Roman" w:hAnsi="Times New Roman" w:cs="Times New Roman"/>
                      <w:color w:val="auto"/>
                    </w:rPr>
                  </w:pPr>
                  <w:r>
                    <w:rPr>
                      <w:rFonts w:hint="default" w:ascii="Times New Roman" w:hAnsi="Times New Roman" w:cs="Times New Roman"/>
                      <w:color w:val="auto"/>
                      <w:sz w:val="21"/>
                      <w:szCs w:val="21"/>
                      <w:highlight w:val="none"/>
                      <w:lang w:val="en-US" w:eastAsia="zh-CN"/>
                    </w:rPr>
                    <w:t>残次品和废</w:t>
                  </w:r>
                  <w:r>
                    <w:rPr>
                      <w:rFonts w:hint="default" w:ascii="Times New Roman" w:hAnsi="Times New Roman" w:cs="Times New Roman"/>
                      <w:color w:val="auto"/>
                      <w:sz w:val="21"/>
                      <w:szCs w:val="21"/>
                      <w:highlight w:val="none"/>
                    </w:rPr>
                    <w:t>边角料</w:t>
                  </w:r>
                </w:p>
              </w:tc>
              <w:tc>
                <w:tcPr>
                  <w:tcW w:w="1245" w:type="dxa"/>
                  <w:tcBorders>
                    <w:tl2br w:val="nil"/>
                    <w:tr2bl w:val="nil"/>
                  </w:tcBorders>
                  <w:vAlign w:val="center"/>
                </w:tcPr>
                <w:p w14:paraId="6A1D94B4">
                  <w:pPr>
                    <w:jc w:val="center"/>
                    <w:rPr>
                      <w:rFonts w:hint="default" w:ascii="Times New Roman" w:hAnsi="Times New Roman" w:cs="Times New Roman"/>
                      <w:color w:val="auto"/>
                      <w:szCs w:val="21"/>
                    </w:rPr>
                  </w:pPr>
                  <w:r>
                    <w:rPr>
                      <w:rFonts w:hint="default" w:ascii="Times New Roman" w:hAnsi="Times New Roman" w:cs="Times New Roman"/>
                      <w:color w:val="auto"/>
                      <w:sz w:val="21"/>
                      <w:szCs w:val="21"/>
                      <w:lang w:val="en-US" w:eastAsia="zh-CN"/>
                    </w:rPr>
                    <w:t>360</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479F15D9">
                  <w:pPr>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5F6B59B8">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40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1B809C93">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320</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09ED21A0">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-40</w:t>
                  </w:r>
                  <w:r>
                    <w:rPr>
                      <w:rFonts w:hint="default" w:ascii="Times New Roman" w:hAnsi="Times New Roman" w:cs="Times New Roman"/>
                      <w:bCs/>
                      <w:color w:val="auto"/>
                      <w:sz w:val="21"/>
                      <w:szCs w:val="21"/>
                      <w:highlight w:val="none"/>
                      <w:lang w:val="en-US" w:eastAsia="zh-CN"/>
                    </w:rPr>
                    <w:t>t/a</w:t>
                  </w:r>
                </w:p>
              </w:tc>
            </w:tr>
            <w:tr w14:paraId="0B5F58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7149F437">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710E8450">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废泡沫</w:t>
                  </w:r>
                </w:p>
              </w:tc>
              <w:tc>
                <w:tcPr>
                  <w:tcW w:w="1245" w:type="dxa"/>
                  <w:tcBorders>
                    <w:tl2br w:val="nil"/>
                    <w:tr2bl w:val="nil"/>
                  </w:tcBorders>
                  <w:vAlign w:val="center"/>
                </w:tcPr>
                <w:p w14:paraId="6A329822">
                  <w:pPr>
                    <w:jc w:val="center"/>
                    <w:rPr>
                      <w:rFonts w:hint="default" w:ascii="Times New Roman" w:hAnsi="Times New Roman" w:eastAsia="宋体" w:cs="Times New Roman"/>
                      <w:color w:val="auto"/>
                      <w:lang w:eastAsia="zh-CN"/>
                    </w:rPr>
                  </w:pPr>
                  <w:r>
                    <w:rPr>
                      <w:rFonts w:hint="default" w:ascii="Times New Roman" w:hAnsi="Times New Roman" w:cs="Times New Roman"/>
                      <w:color w:val="auto"/>
                      <w:sz w:val="21"/>
                      <w:szCs w:val="21"/>
                      <w:lang w:val="en-US" w:eastAsia="zh-CN"/>
                    </w:rPr>
                    <w:t>0.25</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3AC3D1C5">
                  <w:pPr>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4E952E78">
                  <w:pPr>
                    <w:jc w:val="center"/>
                    <w:rPr>
                      <w:rFonts w:hint="default" w:ascii="Times New Roman" w:hAnsi="Times New Roman" w:eastAsia="宋体" w:cs="Times New Roman"/>
                      <w:color w:val="auto"/>
                      <w:lang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2C6BE311">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0.25</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4313FDC5">
                  <w:pPr>
                    <w:keepNext w:val="0"/>
                    <w:keepLines w:val="0"/>
                    <w:widowControl/>
                    <w:suppressLineNumbers w:val="0"/>
                    <w:jc w:val="center"/>
                    <w:textAlignment w:val="center"/>
                    <w:rPr>
                      <w:rFonts w:hint="default" w:ascii="Times New Roman" w:hAnsi="Times New Roman" w:eastAsia="宋体" w:cs="Times New Roman"/>
                      <w:color w:val="auto"/>
                      <w:lang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75F24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0E981672">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0277ADA9">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废石蜡</w:t>
                  </w:r>
                </w:p>
              </w:tc>
              <w:tc>
                <w:tcPr>
                  <w:tcW w:w="1245" w:type="dxa"/>
                  <w:tcBorders>
                    <w:tl2br w:val="nil"/>
                    <w:tr2bl w:val="nil"/>
                  </w:tcBorders>
                  <w:vAlign w:val="center"/>
                </w:tcPr>
                <w:p w14:paraId="5A1F9970">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0.5</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5546644C">
                  <w:pPr>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6B72C417">
                  <w:pPr>
                    <w:jc w:val="both"/>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4A43FB96">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0.5</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0083FBE2">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4B97C4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restart"/>
                  <w:tcBorders>
                    <w:tl2br w:val="nil"/>
                    <w:tr2bl w:val="nil"/>
                  </w:tcBorders>
                  <w:vAlign w:val="center"/>
                </w:tcPr>
                <w:p w14:paraId="5C5B6040">
                  <w:pPr>
                    <w:autoSpaceDE w:val="0"/>
                    <w:autoSpaceDN w:val="0"/>
                    <w:adjustRightInd w:val="0"/>
                    <w:jc w:val="center"/>
                    <w:textAlignment w:val="baseline"/>
                    <w:rPr>
                      <w:rFonts w:hint="default" w:ascii="Times New Roman" w:hAnsi="Times New Roman" w:cs="Times New Roman"/>
                      <w:bCs/>
                      <w:color w:val="auto"/>
                      <w:szCs w:val="21"/>
                    </w:rPr>
                  </w:pPr>
                  <w:r>
                    <w:rPr>
                      <w:rFonts w:hint="default" w:ascii="Times New Roman" w:hAnsi="Times New Roman" w:cs="Times New Roman"/>
                      <w:bCs/>
                      <w:color w:val="auto"/>
                      <w:szCs w:val="21"/>
                    </w:rPr>
                    <w:t>危险废物</w:t>
                  </w:r>
                </w:p>
              </w:tc>
              <w:tc>
                <w:tcPr>
                  <w:tcW w:w="1650" w:type="dxa"/>
                  <w:tcBorders>
                    <w:tl2br w:val="nil"/>
                    <w:tr2bl w:val="nil"/>
                  </w:tcBorders>
                  <w:vAlign w:val="center"/>
                </w:tcPr>
                <w:p w14:paraId="3D58D24C">
                  <w:pPr>
                    <w:jc w:val="center"/>
                    <w:rPr>
                      <w:rFonts w:hint="default" w:ascii="Times New Roman" w:hAnsi="Times New Roman" w:cs="Times New Roman"/>
                      <w:color w:val="auto"/>
                    </w:rPr>
                  </w:pPr>
                  <w:r>
                    <w:rPr>
                      <w:rFonts w:hint="default" w:ascii="Times New Roman" w:hAnsi="Times New Roman" w:cs="Times New Roman"/>
                      <w:color w:val="auto"/>
                      <w:sz w:val="21"/>
                      <w:szCs w:val="21"/>
                    </w:rPr>
                    <w:t>废活性炭</w:t>
                  </w:r>
                  <w:r>
                    <w:rPr>
                      <w:rFonts w:hint="default" w:ascii="Times New Roman" w:hAnsi="Times New Roman" w:cs="Times New Roman"/>
                      <w:color w:val="auto"/>
                      <w:sz w:val="21"/>
                      <w:szCs w:val="21"/>
                      <w:lang w:val="en-US" w:eastAsia="zh-CN"/>
                    </w:rPr>
                    <w:t>及其吸附物</w:t>
                  </w:r>
                </w:p>
              </w:tc>
              <w:tc>
                <w:tcPr>
                  <w:tcW w:w="1245" w:type="dxa"/>
                  <w:tcBorders>
                    <w:tl2br w:val="nil"/>
                    <w:tr2bl w:val="nil"/>
                  </w:tcBorders>
                  <w:vAlign w:val="center"/>
                </w:tcPr>
                <w:p w14:paraId="569E4975">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4.3</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707ADA8F">
                  <w:pPr>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5.582</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2E4E03DE">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624DCD82">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9.882</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4E21EC39">
                  <w:pPr>
                    <w:keepNext w:val="0"/>
                    <w:keepLines w:val="0"/>
                    <w:widowControl/>
                    <w:suppressLineNumbers w:val="0"/>
                    <w:jc w:val="center"/>
                    <w:textAlignment w:val="center"/>
                    <w:rPr>
                      <w:rFonts w:hint="default" w:ascii="Times New Roman" w:hAnsi="Times New Roman" w:cs="Times New Roman"/>
                      <w:color w:val="auto"/>
                      <w:kern w:val="0"/>
                      <w:szCs w:val="21"/>
                      <w:lang w:val="en-US" w:eastAsia="zh-CN" w:bidi="ar"/>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5.582</w:t>
                  </w:r>
                  <w:r>
                    <w:rPr>
                      <w:rFonts w:hint="default" w:ascii="Times New Roman" w:hAnsi="Times New Roman" w:cs="Times New Roman"/>
                      <w:bCs/>
                      <w:color w:val="auto"/>
                      <w:sz w:val="21"/>
                      <w:szCs w:val="21"/>
                      <w:highlight w:val="none"/>
                      <w:lang w:val="en-US" w:eastAsia="zh-CN"/>
                    </w:rPr>
                    <w:t>t/a</w:t>
                  </w:r>
                </w:p>
              </w:tc>
            </w:tr>
            <w:tr w14:paraId="727047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3797019B">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0DF1E811">
                  <w:pPr>
                    <w:jc w:val="center"/>
                    <w:rPr>
                      <w:rFonts w:hint="default" w:ascii="Times New Roman" w:hAnsi="Times New Roman" w:cs="Times New Roman"/>
                      <w:color w:val="auto"/>
                      <w:sz w:val="21"/>
                      <w:szCs w:val="21"/>
                    </w:rPr>
                  </w:pPr>
                  <w:r>
                    <w:rPr>
                      <w:rFonts w:hint="default" w:ascii="Times New Roman" w:hAnsi="Times New Roman" w:cs="Times New Roman"/>
                      <w:color w:val="auto"/>
                      <w:kern w:val="0"/>
                      <w:szCs w:val="21"/>
                      <w:highlight w:val="none"/>
                    </w:rPr>
                    <w:t>废漆渣</w:t>
                  </w:r>
                </w:p>
              </w:tc>
              <w:tc>
                <w:tcPr>
                  <w:tcW w:w="1245" w:type="dxa"/>
                  <w:tcBorders>
                    <w:tl2br w:val="nil"/>
                    <w:tr2bl w:val="nil"/>
                  </w:tcBorders>
                  <w:vAlign w:val="center"/>
                </w:tcPr>
                <w:p w14:paraId="4943B9DC">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0665B48C">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1.129</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49E70DF5">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4FFF8342">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1.129</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3FEE9ECF">
                  <w:pPr>
                    <w:keepNext w:val="0"/>
                    <w:keepLines w:val="0"/>
                    <w:widowControl/>
                    <w:suppressLineNumbers w:val="0"/>
                    <w:jc w:val="center"/>
                    <w:textAlignment w:val="center"/>
                    <w:rPr>
                      <w:rFonts w:hint="default" w:ascii="Times New Roman" w:hAnsi="Times New Roman" w:cs="Times New Roman"/>
                      <w:color w:val="auto"/>
                      <w:kern w:val="0"/>
                      <w:szCs w:val="21"/>
                      <w:lang w:val="en-US" w:eastAsia="zh-CN" w:bidi="ar"/>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1.129</w:t>
                  </w:r>
                  <w:r>
                    <w:rPr>
                      <w:rFonts w:hint="default" w:ascii="Times New Roman" w:hAnsi="Times New Roman" w:cs="Times New Roman"/>
                      <w:bCs/>
                      <w:color w:val="auto"/>
                      <w:sz w:val="21"/>
                      <w:szCs w:val="21"/>
                      <w:highlight w:val="none"/>
                      <w:lang w:val="en-US" w:eastAsia="zh-CN"/>
                    </w:rPr>
                    <w:t>t/a</w:t>
                  </w:r>
                </w:p>
              </w:tc>
            </w:tr>
            <w:tr w14:paraId="2C1F94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389CEE6D">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0004E40B">
                  <w:pPr>
                    <w:pStyle w:val="62"/>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粉末喷涂废滤芯</w:t>
                  </w:r>
                </w:p>
              </w:tc>
              <w:tc>
                <w:tcPr>
                  <w:tcW w:w="1245" w:type="dxa"/>
                  <w:tcBorders>
                    <w:tl2br w:val="nil"/>
                    <w:tr2bl w:val="nil"/>
                  </w:tcBorders>
                  <w:vAlign w:val="center"/>
                </w:tcPr>
                <w:p w14:paraId="3C86F58D">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7E05A20A">
                  <w:pPr>
                    <w:pStyle w:val="62"/>
                    <w:jc w:val="center"/>
                    <w:rPr>
                      <w:rFonts w:hint="default" w:ascii="Times New Roman" w:hAnsi="Times New Roman" w:cs="Times New Roman"/>
                      <w:color w:val="auto"/>
                      <w:lang w:val="en-US" w:eastAsia="zh-CN"/>
                    </w:rPr>
                  </w:pPr>
                  <w:r>
                    <w:rPr>
                      <w:rFonts w:hint="default" w:ascii="Times New Roman" w:hAnsi="Times New Roman" w:cs="Times New Roman"/>
                      <w:bCs/>
                      <w:color w:val="auto"/>
                      <w:sz w:val="21"/>
                      <w:szCs w:val="21"/>
                      <w:highlight w:val="none"/>
                    </w:rPr>
                    <w:t>0.023</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4E30C352">
                  <w:pPr>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525A9F4C">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0.023</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2A7BAC80">
                  <w:pPr>
                    <w:keepNext w:val="0"/>
                    <w:keepLines w:val="0"/>
                    <w:widowControl/>
                    <w:suppressLineNumbers w:val="0"/>
                    <w:jc w:val="center"/>
                    <w:textAlignment w:val="center"/>
                    <w:rPr>
                      <w:rFonts w:hint="default" w:ascii="Times New Roman" w:hAnsi="Times New Roman" w:cs="Times New Roman"/>
                      <w:color w:val="auto"/>
                      <w:kern w:val="0"/>
                      <w:szCs w:val="21"/>
                      <w:lang w:val="en-US" w:eastAsia="zh-CN" w:bidi="ar"/>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0.023</w:t>
                  </w:r>
                  <w:r>
                    <w:rPr>
                      <w:rFonts w:hint="default" w:ascii="Times New Roman" w:hAnsi="Times New Roman" w:cs="Times New Roman"/>
                      <w:bCs/>
                      <w:color w:val="auto"/>
                      <w:sz w:val="21"/>
                      <w:szCs w:val="21"/>
                      <w:highlight w:val="none"/>
                      <w:lang w:val="en-US" w:eastAsia="zh-CN"/>
                    </w:rPr>
                    <w:t>t/a</w:t>
                  </w:r>
                </w:p>
              </w:tc>
            </w:tr>
            <w:tr w14:paraId="73740A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3FB3F7B7">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32EA8846">
                  <w:pPr>
                    <w:pStyle w:val="62"/>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废喷粉</w:t>
                  </w:r>
                </w:p>
              </w:tc>
              <w:tc>
                <w:tcPr>
                  <w:tcW w:w="1245" w:type="dxa"/>
                  <w:tcBorders>
                    <w:tl2br w:val="nil"/>
                    <w:tr2bl w:val="nil"/>
                  </w:tcBorders>
                  <w:vAlign w:val="center"/>
                </w:tcPr>
                <w:p w14:paraId="5D74DAC1">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2D214015">
                  <w:pPr>
                    <w:pStyle w:val="62"/>
                    <w:jc w:val="center"/>
                    <w:rPr>
                      <w:rFonts w:hint="default" w:ascii="Times New Roman" w:hAnsi="Times New Roman" w:cs="Times New Roman"/>
                      <w:color w:val="auto"/>
                      <w:lang w:val="en-US" w:eastAsia="zh-CN"/>
                    </w:rPr>
                  </w:pPr>
                  <w:r>
                    <w:rPr>
                      <w:rFonts w:hint="default" w:ascii="Times New Roman" w:hAnsi="Times New Roman" w:cs="Times New Roman"/>
                      <w:color w:val="auto"/>
                      <w:sz w:val="21"/>
                      <w:szCs w:val="21"/>
                      <w:highlight w:val="none"/>
                    </w:rPr>
                    <w:t>0.179</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535FF160">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3CF76DB6">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0.179</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1FB70D04">
                  <w:pPr>
                    <w:keepNext w:val="0"/>
                    <w:keepLines w:val="0"/>
                    <w:widowControl/>
                    <w:suppressLineNumbers w:val="0"/>
                    <w:jc w:val="center"/>
                    <w:textAlignment w:val="center"/>
                    <w:rPr>
                      <w:rFonts w:hint="default" w:ascii="Times New Roman" w:hAnsi="Times New Roman" w:cs="Times New Roman"/>
                      <w:color w:val="auto"/>
                      <w:kern w:val="0"/>
                      <w:szCs w:val="21"/>
                      <w:lang w:val="en-US" w:eastAsia="zh-CN" w:bidi="ar"/>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0.179</w:t>
                  </w:r>
                  <w:r>
                    <w:rPr>
                      <w:rFonts w:hint="default" w:ascii="Times New Roman" w:hAnsi="Times New Roman" w:cs="Times New Roman"/>
                      <w:bCs/>
                      <w:color w:val="auto"/>
                      <w:sz w:val="21"/>
                      <w:szCs w:val="21"/>
                      <w:highlight w:val="none"/>
                      <w:lang w:val="en-US" w:eastAsia="zh-CN"/>
                    </w:rPr>
                    <w:t>t/a</w:t>
                  </w:r>
                </w:p>
              </w:tc>
            </w:tr>
            <w:tr w14:paraId="0B8CCB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59541D04">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1958A14E">
                  <w:pPr>
                    <w:pStyle w:val="62"/>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废原料桶</w:t>
                  </w:r>
                </w:p>
              </w:tc>
              <w:tc>
                <w:tcPr>
                  <w:tcW w:w="1245" w:type="dxa"/>
                  <w:tcBorders>
                    <w:tl2br w:val="nil"/>
                    <w:tr2bl w:val="nil"/>
                  </w:tcBorders>
                  <w:vAlign w:val="center"/>
                </w:tcPr>
                <w:p w14:paraId="078DBB99">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0F6E2EF4">
                  <w:pPr>
                    <w:pStyle w:val="62"/>
                    <w:jc w:val="center"/>
                    <w:rPr>
                      <w:rFonts w:hint="default" w:ascii="Times New Roman" w:hAnsi="Times New Roman" w:cs="Times New Roman"/>
                      <w:color w:val="auto"/>
                      <w:lang w:val="en-US" w:eastAsia="zh-CN"/>
                    </w:rPr>
                  </w:pPr>
                  <w:r>
                    <w:rPr>
                      <w:rFonts w:hint="default" w:ascii="Times New Roman" w:hAnsi="Times New Roman" w:cs="Times New Roman"/>
                      <w:color w:val="auto"/>
                      <w:sz w:val="21"/>
                      <w:szCs w:val="21"/>
                      <w:highlight w:val="none"/>
                      <w:lang w:eastAsia="zh-CN"/>
                    </w:rPr>
                    <w:t>0.257</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0F6A2DF5">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0AC746FE">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0.257</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274F737D">
                  <w:pPr>
                    <w:keepNext w:val="0"/>
                    <w:keepLines w:val="0"/>
                    <w:widowControl/>
                    <w:suppressLineNumbers w:val="0"/>
                    <w:jc w:val="center"/>
                    <w:textAlignment w:val="center"/>
                    <w:rPr>
                      <w:rFonts w:hint="default" w:ascii="Times New Roman" w:hAnsi="Times New Roman" w:cs="Times New Roman"/>
                      <w:color w:val="auto"/>
                      <w:kern w:val="0"/>
                      <w:szCs w:val="21"/>
                      <w:lang w:val="en-US" w:eastAsia="zh-CN" w:bidi="ar"/>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0.257</w:t>
                  </w:r>
                  <w:r>
                    <w:rPr>
                      <w:rFonts w:hint="default" w:ascii="Times New Roman" w:hAnsi="Times New Roman" w:cs="Times New Roman"/>
                      <w:bCs/>
                      <w:color w:val="auto"/>
                      <w:sz w:val="21"/>
                      <w:szCs w:val="21"/>
                      <w:highlight w:val="none"/>
                      <w:lang w:val="en-US" w:eastAsia="zh-CN"/>
                    </w:rPr>
                    <w:t>t/a</w:t>
                  </w:r>
                </w:p>
              </w:tc>
            </w:tr>
            <w:tr w14:paraId="58D3FA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5A43B214">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19095C2F">
                  <w:pPr>
                    <w:pStyle w:val="62"/>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水帘柜废水</w:t>
                  </w:r>
                </w:p>
              </w:tc>
              <w:tc>
                <w:tcPr>
                  <w:tcW w:w="1245" w:type="dxa"/>
                  <w:tcBorders>
                    <w:tl2br w:val="nil"/>
                    <w:tr2bl w:val="nil"/>
                  </w:tcBorders>
                  <w:vAlign w:val="center"/>
                </w:tcPr>
                <w:p w14:paraId="404BD704">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167316FB">
                  <w:pPr>
                    <w:pStyle w:val="62"/>
                    <w:jc w:val="center"/>
                    <w:rPr>
                      <w:rFonts w:hint="default" w:ascii="Times New Roman" w:hAnsi="Times New Roman" w:cs="Times New Roman"/>
                      <w:color w:val="auto"/>
                      <w:lang w:val="en-US" w:eastAsia="zh-CN"/>
                    </w:rPr>
                  </w:pPr>
                  <w:r>
                    <w:rPr>
                      <w:rFonts w:hint="default" w:ascii="Times New Roman" w:hAnsi="Times New Roman" w:cs="Times New Roman"/>
                      <w:color w:val="auto"/>
                      <w:sz w:val="21"/>
                      <w:szCs w:val="21"/>
                      <w:highlight w:val="none"/>
                    </w:rPr>
                    <w:t>7.5</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011A402B">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6CD1F9FF">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7.5</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3467EBD6">
                  <w:pPr>
                    <w:keepNext w:val="0"/>
                    <w:keepLines w:val="0"/>
                    <w:widowControl/>
                    <w:suppressLineNumbers w:val="0"/>
                    <w:jc w:val="center"/>
                    <w:textAlignment w:val="center"/>
                    <w:rPr>
                      <w:rFonts w:hint="default" w:ascii="Times New Roman" w:hAnsi="Times New Roman" w:cs="Times New Roman"/>
                      <w:color w:val="auto"/>
                      <w:kern w:val="0"/>
                      <w:szCs w:val="21"/>
                      <w:lang w:val="en-US" w:eastAsia="zh-CN" w:bidi="ar"/>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7.5</w:t>
                  </w:r>
                  <w:r>
                    <w:rPr>
                      <w:rFonts w:hint="default" w:ascii="Times New Roman" w:hAnsi="Times New Roman" w:cs="Times New Roman"/>
                      <w:bCs/>
                      <w:color w:val="auto"/>
                      <w:sz w:val="21"/>
                      <w:szCs w:val="21"/>
                      <w:highlight w:val="none"/>
                      <w:lang w:val="en-US" w:eastAsia="zh-CN"/>
                    </w:rPr>
                    <w:t>t/a</w:t>
                  </w:r>
                </w:p>
              </w:tc>
            </w:tr>
            <w:tr w14:paraId="0B5FBA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701" w:type="dxa"/>
                  <w:vMerge w:val="continue"/>
                  <w:tcBorders>
                    <w:tl2br w:val="nil"/>
                    <w:tr2bl w:val="nil"/>
                  </w:tcBorders>
                  <w:vAlign w:val="center"/>
                </w:tcPr>
                <w:p w14:paraId="2844B6D0">
                  <w:pPr>
                    <w:autoSpaceDE w:val="0"/>
                    <w:autoSpaceDN w:val="0"/>
                    <w:adjustRightInd w:val="0"/>
                    <w:jc w:val="center"/>
                    <w:textAlignment w:val="baseline"/>
                    <w:rPr>
                      <w:rFonts w:hint="default" w:ascii="Times New Roman" w:hAnsi="Times New Roman" w:cs="Times New Roman"/>
                      <w:bCs/>
                      <w:color w:val="auto"/>
                      <w:szCs w:val="21"/>
                    </w:rPr>
                  </w:pPr>
                </w:p>
              </w:tc>
              <w:tc>
                <w:tcPr>
                  <w:tcW w:w="1650" w:type="dxa"/>
                  <w:tcBorders>
                    <w:tl2br w:val="nil"/>
                    <w:tr2bl w:val="nil"/>
                  </w:tcBorders>
                  <w:vAlign w:val="center"/>
                </w:tcPr>
                <w:p w14:paraId="196554A2">
                  <w:pPr>
                    <w:jc w:val="center"/>
                    <w:rPr>
                      <w:rFonts w:hint="default" w:ascii="Times New Roman" w:hAnsi="Times New Roman" w:cs="Times New Roman"/>
                      <w:color w:val="auto"/>
                    </w:rPr>
                  </w:pPr>
                  <w:r>
                    <w:rPr>
                      <w:rFonts w:hint="default" w:ascii="Times New Roman" w:hAnsi="Times New Roman" w:cs="Times New Roman"/>
                      <w:color w:val="auto"/>
                      <w:sz w:val="21"/>
                      <w:szCs w:val="21"/>
                      <w:highlight w:val="none"/>
                      <w:lang w:val="en-US" w:eastAsia="zh-CN"/>
                    </w:rPr>
                    <w:t>废苯乙烯液体有机溶剂</w:t>
                  </w:r>
                </w:p>
              </w:tc>
              <w:tc>
                <w:tcPr>
                  <w:tcW w:w="1245" w:type="dxa"/>
                  <w:tcBorders>
                    <w:tl2br w:val="nil"/>
                    <w:tr2bl w:val="nil"/>
                  </w:tcBorders>
                  <w:vAlign w:val="center"/>
                </w:tcPr>
                <w:p w14:paraId="460F4C14">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0.563</w:t>
                  </w:r>
                  <w:r>
                    <w:rPr>
                      <w:rFonts w:hint="default" w:ascii="Times New Roman" w:hAnsi="Times New Roman" w:cs="Times New Roman"/>
                      <w:bCs/>
                      <w:color w:val="auto"/>
                      <w:sz w:val="21"/>
                      <w:szCs w:val="21"/>
                      <w:highlight w:val="none"/>
                      <w:lang w:val="en-US" w:eastAsia="zh-CN"/>
                    </w:rPr>
                    <w:t>t/a</w:t>
                  </w:r>
                </w:p>
              </w:tc>
              <w:tc>
                <w:tcPr>
                  <w:tcW w:w="1320" w:type="dxa"/>
                  <w:tcBorders>
                    <w:tl2br w:val="nil"/>
                    <w:tr2bl w:val="nil"/>
                  </w:tcBorders>
                  <w:vAlign w:val="center"/>
                </w:tcPr>
                <w:p w14:paraId="69847BBF">
                  <w:pPr>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275" w:type="dxa"/>
                  <w:tcBorders>
                    <w:tl2br w:val="nil"/>
                    <w:tr2bl w:val="nil"/>
                  </w:tcBorders>
                  <w:vAlign w:val="center"/>
                </w:tcPr>
                <w:p w14:paraId="00674F25">
                  <w:pPr>
                    <w:jc w:val="center"/>
                    <w:rPr>
                      <w:rFonts w:hint="default" w:ascii="Times New Roman" w:hAnsi="Times New Roman" w:cs="Times New Roman"/>
                      <w:color w:val="auto"/>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545" w:type="dxa"/>
                  <w:tcBorders>
                    <w:tl2br w:val="nil"/>
                    <w:tr2bl w:val="nil"/>
                  </w:tcBorders>
                  <w:vAlign w:val="center"/>
                </w:tcPr>
                <w:p w14:paraId="2B4D6607">
                  <w:pPr>
                    <w:keepNext w:val="0"/>
                    <w:keepLines w:val="0"/>
                    <w:widowControl/>
                    <w:suppressLineNumbers w:val="0"/>
                    <w:jc w:val="center"/>
                    <w:textAlignment w:val="center"/>
                    <w:rPr>
                      <w:rFonts w:hint="default" w:ascii="Times New Roman" w:hAnsi="Times New Roman" w:cs="Times New Roman"/>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0.563</w:t>
                  </w:r>
                  <w:r>
                    <w:rPr>
                      <w:rFonts w:hint="default" w:ascii="Times New Roman" w:hAnsi="Times New Roman" w:cs="Times New Roman"/>
                      <w:bCs/>
                      <w:color w:val="auto"/>
                      <w:sz w:val="21"/>
                      <w:szCs w:val="21"/>
                      <w:highlight w:val="none"/>
                      <w:lang w:val="en-US" w:eastAsia="zh-CN"/>
                    </w:rPr>
                    <w:t>t/a</w:t>
                  </w:r>
                </w:p>
              </w:tc>
              <w:tc>
                <w:tcPr>
                  <w:tcW w:w="1358" w:type="dxa"/>
                  <w:tcBorders>
                    <w:tl2br w:val="nil"/>
                    <w:tr2bl w:val="nil"/>
                  </w:tcBorders>
                  <w:vAlign w:val="center"/>
                </w:tcPr>
                <w:p w14:paraId="49E10153">
                  <w:pPr>
                    <w:keepNext w:val="0"/>
                    <w:keepLines w:val="0"/>
                    <w:widowControl/>
                    <w:suppressLineNumbers w:val="0"/>
                    <w:jc w:val="center"/>
                    <w:textAlignment w:val="center"/>
                    <w:rPr>
                      <w:rFonts w:hint="default" w:ascii="Times New Roman" w:hAnsi="Times New Roman"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2368CF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8" w:hRule="atLeast"/>
                <w:jc w:val="center"/>
              </w:trPr>
              <w:tc>
                <w:tcPr>
                  <w:tcW w:w="9094" w:type="dxa"/>
                  <w:gridSpan w:val="7"/>
                  <w:tcBorders>
                    <w:tl2br w:val="nil"/>
                    <w:tr2bl w:val="nil"/>
                  </w:tcBorders>
                  <w:vAlign w:val="center"/>
                </w:tcPr>
                <w:p w14:paraId="46E38519">
                  <w:pPr>
                    <w:widowControl/>
                    <w:jc w:val="center"/>
                    <w:textAlignment w:val="center"/>
                    <w:rPr>
                      <w:rFonts w:hint="default" w:ascii="Times New Roman" w:hAnsi="Times New Roman"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备注：表中“以新带老”量为原项目“以新带老”和“取消原计划工程”的减少量合计。</w:t>
                  </w:r>
                </w:p>
                <w:p w14:paraId="379C8925">
                  <w:pPr>
                    <w:pStyle w:val="2"/>
                    <w:rPr>
                      <w:rFonts w:hint="default" w:ascii="Times New Roman" w:hAnsi="Times New Roman" w:cs="Times New Roman"/>
                      <w:color w:val="auto"/>
                      <w:lang w:val="en-US" w:eastAsia="zh-CN"/>
                    </w:rPr>
                  </w:pPr>
                  <w:r>
                    <w:rPr>
                      <w:rFonts w:hint="default" w:ascii="Times New Roman" w:hAnsi="Times New Roman" w:cs="Times New Roman"/>
                      <w:color w:val="auto"/>
                      <w:kern w:val="0"/>
                      <w:sz w:val="21"/>
                      <w:szCs w:val="21"/>
                      <w:lang w:val="en-US" w:eastAsia="zh-CN" w:bidi="ar"/>
                    </w:rPr>
                    <w:t>表中“挥发性有机物”包含TVOC、二甲苯、非甲烷总烃。</w:t>
                  </w:r>
                </w:p>
              </w:tc>
            </w:tr>
          </w:tbl>
          <w:p w14:paraId="0C865E10">
            <w:pPr>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10、</w:t>
            </w:r>
            <w:r>
              <w:rPr>
                <w:rFonts w:hint="default" w:ascii="Times New Roman" w:hAnsi="Times New Roman" w:cs="Times New Roman"/>
                <w:b/>
                <w:bCs/>
                <w:color w:val="auto"/>
                <w:sz w:val="24"/>
                <w:highlight w:val="none"/>
              </w:rPr>
              <w:t>环境管理及环境监测计划</w:t>
            </w:r>
          </w:p>
          <w:p w14:paraId="19D348F5">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（1）环境管理</w:t>
            </w:r>
          </w:p>
          <w:p w14:paraId="59A29AD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企业需设置专人负责企业日常的环保管理工作。其具体职责为：贯彻执行国家和上级有关部门及地方生态环境主管部门的方针政策和法规，负责对职工进行经常性的环保教育，按时向有关部门上报有关技术数据，负责组织、落实和监督公司的环境保护工作。</w:t>
            </w:r>
          </w:p>
          <w:p w14:paraId="4E1C3BD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②做好环保设施的运行、检查、维护等工作，制定环保设施运转与监督制度。</w:t>
            </w:r>
          </w:p>
          <w:p w14:paraId="2C31B23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③定期对污染源进行监测，通过设置监测制度，及时反映企业排污状况，根据监测结果及时调整环保管理计划，为改善环保措施提供依据。</w:t>
            </w:r>
          </w:p>
          <w:p w14:paraId="098E46B7">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④制定和实施环境保护奖惩制度。</w:t>
            </w:r>
          </w:p>
          <w:p w14:paraId="323B9B72">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（2）排污口规范化</w:t>
            </w:r>
          </w:p>
          <w:p w14:paraId="33C72A66">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根据国家标准《环境保护图形标志——排放口（源）》（GB15562.1-1995）</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《环境保护图形标志 固体废物贮存（处置）场》（GB15562.2-1995）</w:t>
            </w:r>
            <w:r>
              <w:rPr>
                <w:rFonts w:hint="default" w:ascii="Times New Roman" w:hAnsi="Times New Roman" w:cs="Times New Roman"/>
                <w:color w:val="auto"/>
                <w:sz w:val="24"/>
                <w:highlight w:val="none"/>
                <w:lang w:val="en-US" w:eastAsia="zh-CN"/>
              </w:rPr>
              <w:t>及修改单</w:t>
            </w:r>
            <w:r>
              <w:rPr>
                <w:rFonts w:hint="default" w:ascii="Times New Roman" w:hAnsi="Times New Roman" w:cs="Times New Roman"/>
                <w:color w:val="auto"/>
                <w:sz w:val="24"/>
                <w:highlight w:val="none"/>
              </w:rPr>
              <w:t>的技术要求，企业所有排放口（包括水、气等）必须按照“便于采样、便于计量监测、便于日常现场监督检查”的原则和规范化要求，设置与之相适应的环境保护图形标志牌，绘制企业排污口分布图，排污口的规范化要符合环境管理部门的相关要求。</w:t>
            </w:r>
          </w:p>
          <w:p w14:paraId="7AB2578E">
            <w:pPr>
              <w:spacing w:line="360" w:lineRule="auto"/>
              <w:ind w:firstLine="480" w:firstLineChars="200"/>
              <w:rPr>
                <w:rFonts w:hint="default" w:ascii="Times New Roman" w:hAnsi="Times New Roman" w:cs="Times New Roman"/>
                <w:b/>
                <w:bCs/>
                <w:color w:val="auto"/>
                <w:szCs w:val="21"/>
                <w:highlight w:val="none"/>
              </w:rPr>
            </w:pPr>
            <w:r>
              <w:rPr>
                <w:rFonts w:hint="default" w:ascii="Times New Roman" w:hAnsi="Times New Roman" w:cs="Times New Roman"/>
                <w:color w:val="auto"/>
                <w:sz w:val="24"/>
                <w:highlight w:val="none"/>
              </w:rPr>
              <w:t>因此，本项目应按照《环境保护图形</w:t>
            </w:r>
            <w:r>
              <w:rPr>
                <w:rFonts w:hint="default" w:ascii="Times New Roman" w:hAnsi="Times New Roman" w:cs="Times New Roman"/>
                <w:color w:val="auto"/>
                <w:sz w:val="24"/>
                <w:highlight w:val="none"/>
                <w:lang w:val="en-US" w:eastAsia="zh-CN"/>
              </w:rPr>
              <w:t>标志</w:t>
            </w:r>
            <w:r>
              <w:rPr>
                <w:rFonts w:hint="default" w:ascii="Times New Roman" w:hAnsi="Times New Roman" w:cs="Times New Roman"/>
                <w:color w:val="auto"/>
                <w:sz w:val="24"/>
                <w:highlight w:val="none"/>
              </w:rPr>
              <w:t>——排放口（源）》（GB15562.1-1995）</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《环境保护图形标志 固体废物贮存（处置）场》（GB15562.2-1995）</w:t>
            </w:r>
            <w:r>
              <w:rPr>
                <w:rFonts w:hint="default" w:ascii="Times New Roman" w:hAnsi="Times New Roman" w:cs="Times New Roman"/>
                <w:color w:val="auto"/>
                <w:sz w:val="24"/>
                <w:highlight w:val="none"/>
                <w:lang w:val="en-US" w:eastAsia="zh-CN"/>
              </w:rPr>
              <w:t>及修改单</w:t>
            </w:r>
            <w:r>
              <w:rPr>
                <w:rFonts w:hint="default" w:ascii="Times New Roman" w:hAnsi="Times New Roman" w:cs="Times New Roman"/>
                <w:color w:val="auto"/>
                <w:sz w:val="24"/>
                <w:highlight w:val="none"/>
              </w:rPr>
              <w:t>等的技术要求，设置相应的环境保护图形标志，环境保护图形符号见表4-</w:t>
            </w:r>
            <w:r>
              <w:rPr>
                <w:rFonts w:hint="default" w:ascii="Times New Roman" w:hAnsi="Times New Roman" w:cs="Times New Roman"/>
                <w:color w:val="auto"/>
                <w:sz w:val="24"/>
                <w:highlight w:val="none"/>
                <w:lang w:val="en-US" w:eastAsia="zh-CN"/>
              </w:rPr>
              <w:t>20</w:t>
            </w:r>
            <w:r>
              <w:rPr>
                <w:rFonts w:hint="default" w:ascii="Times New Roman" w:hAnsi="Times New Roman" w:cs="Times New Roman"/>
                <w:color w:val="auto"/>
                <w:sz w:val="24"/>
                <w:highlight w:val="none"/>
              </w:rPr>
              <w:t>。</w:t>
            </w:r>
          </w:p>
          <w:p w14:paraId="26D5CDE3">
            <w:pPr>
              <w:spacing w:line="360" w:lineRule="auto"/>
              <w:ind w:firstLine="2891" w:firstLineChars="1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w:t>
            </w:r>
            <w:r>
              <w:rPr>
                <w:rFonts w:hint="default" w:ascii="Times New Roman" w:hAnsi="Times New Roman" w:cs="Times New Roman"/>
                <w:b/>
                <w:bCs/>
                <w:color w:val="auto"/>
                <w:sz w:val="24"/>
                <w:highlight w:val="none"/>
                <w:lang w:val="en-US" w:eastAsia="zh-CN"/>
              </w:rPr>
              <w:t>20</w:t>
            </w:r>
            <w:r>
              <w:rPr>
                <w:rFonts w:hint="default" w:ascii="Times New Roman" w:hAnsi="Times New Roman" w:cs="Times New Roman"/>
                <w:b/>
                <w:bCs/>
                <w:color w:val="auto"/>
                <w:sz w:val="24"/>
                <w:highlight w:val="none"/>
              </w:rPr>
              <w:t xml:space="preserve"> 环境保护图形符号表</w:t>
            </w:r>
          </w:p>
          <w:p w14:paraId="73483522">
            <w:pPr>
              <w:rPr>
                <w:rFonts w:hint="default" w:ascii="Times New Roman" w:hAnsi="Times New Roman" w:cs="Times New Roman"/>
                <w:b/>
                <w:bCs/>
                <w:color w:val="auto"/>
                <w:sz w:val="24"/>
                <w:highlight w:val="none"/>
              </w:rPr>
            </w:pP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rPr>
              <w:drawing>
                <wp:inline distT="0" distB="0" distL="114300" distR="114300">
                  <wp:extent cx="5218430" cy="1897380"/>
                  <wp:effectExtent l="0" t="0" r="1270" b="762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30"/>
                          <a:stretch>
                            <a:fillRect/>
                          </a:stretch>
                        </pic:blipFill>
                        <pic:spPr>
                          <a:xfrm>
                            <a:off x="0" y="0"/>
                            <a:ext cx="5218430" cy="1897380"/>
                          </a:xfrm>
                          <a:prstGeom prst="rect">
                            <a:avLst/>
                          </a:prstGeom>
                          <a:noFill/>
                          <a:ln>
                            <a:noFill/>
                          </a:ln>
                        </pic:spPr>
                      </pic:pic>
                    </a:graphicData>
                  </a:graphic>
                </wp:inline>
              </w:drawing>
            </w:r>
          </w:p>
          <w:p w14:paraId="342B57FB">
            <w:pPr>
              <w:rPr>
                <w:rFonts w:hint="default" w:ascii="Times New Roman" w:hAnsi="Times New Roman" w:cs="Times New Roman"/>
                <w:b/>
                <w:bCs/>
                <w:color w:val="auto"/>
                <w:sz w:val="24"/>
                <w:highlight w:val="none"/>
              </w:rPr>
            </w:pPr>
            <w:r>
              <w:rPr>
                <w:rFonts w:hint="default" w:ascii="Times New Roman" w:hAnsi="Times New Roman" w:eastAsia="宋体" w:cs="Times New Roman"/>
                <w:color w:val="auto"/>
                <w:highlight w:val="none"/>
                <w:lang w:eastAsia="zh-CN"/>
              </w:rPr>
              <w:drawing>
                <wp:anchor distT="0" distB="0" distL="114300" distR="114300" simplePos="0" relativeHeight="251726848" behindDoc="0" locked="0" layoutInCell="1" allowOverlap="1">
                  <wp:simplePos x="0" y="0"/>
                  <wp:positionH relativeFrom="column">
                    <wp:posOffset>2170430</wp:posOffset>
                  </wp:positionH>
                  <wp:positionV relativeFrom="paragraph">
                    <wp:posOffset>1529080</wp:posOffset>
                  </wp:positionV>
                  <wp:extent cx="810895" cy="709295"/>
                  <wp:effectExtent l="0" t="0" r="8255" b="14605"/>
                  <wp:wrapNone/>
                  <wp:docPr id="111" name="图片 111" descr="a5b787b5-2119-4ecb-b010-48f986dcd4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a5b787b5-2119-4ecb-b010-48f986dcd4f9"/>
                          <pic:cNvPicPr>
                            <a:picLocks noChangeAspect="1"/>
                          </pic:cNvPicPr>
                        </pic:nvPicPr>
                        <pic:blipFill>
                          <a:blip r:embed="rId31"/>
                          <a:stretch>
                            <a:fillRect/>
                          </a:stretch>
                        </pic:blipFill>
                        <pic:spPr>
                          <a:xfrm>
                            <a:off x="0" y="0"/>
                            <a:ext cx="810895" cy="709295"/>
                          </a:xfrm>
                          <a:prstGeom prst="rect">
                            <a:avLst/>
                          </a:prstGeom>
                        </pic:spPr>
                      </pic:pic>
                    </a:graphicData>
                  </a:graphic>
                </wp:anchor>
              </w:drawing>
            </w: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rPr>
              <w:drawing>
                <wp:inline distT="0" distB="0" distL="114300" distR="114300">
                  <wp:extent cx="5223510" cy="2286635"/>
                  <wp:effectExtent l="0" t="0" r="15240" b="1841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32"/>
                          <a:stretch>
                            <a:fillRect/>
                          </a:stretch>
                        </pic:blipFill>
                        <pic:spPr>
                          <a:xfrm>
                            <a:off x="0" y="0"/>
                            <a:ext cx="5223510" cy="2286635"/>
                          </a:xfrm>
                          <a:prstGeom prst="rect">
                            <a:avLst/>
                          </a:prstGeom>
                          <a:noFill/>
                          <a:ln>
                            <a:noFill/>
                          </a:ln>
                        </pic:spPr>
                      </pic:pic>
                    </a:graphicData>
                  </a:graphic>
                </wp:inline>
              </w:drawing>
            </w:r>
          </w:p>
          <w:p w14:paraId="7DDB111F">
            <w:pPr>
              <w:widowControl/>
              <w:ind w:firstLine="482" w:firstLineChars="200"/>
              <w:jc w:val="left"/>
              <w:rPr>
                <w:rFonts w:hint="default" w:ascii="Times New Roman" w:hAnsi="Times New Roman" w:cs="Times New Roman"/>
                <w:b/>
                <w:bCs/>
                <w:color w:val="auto"/>
                <w:kern w:val="0"/>
                <w:sz w:val="24"/>
                <w:highlight w:val="none"/>
                <w:lang w:bidi="ar"/>
              </w:rPr>
            </w:pPr>
          </w:p>
          <w:p w14:paraId="582CC367">
            <w:pPr>
              <w:widowControl/>
              <w:spacing w:line="360" w:lineRule="auto"/>
              <w:ind w:firstLine="480" w:firstLineChars="200"/>
              <w:jc w:val="left"/>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kern w:val="0"/>
                <w:sz w:val="24"/>
                <w:highlight w:val="none"/>
                <w:lang w:bidi="ar"/>
              </w:rPr>
              <w:t xml:space="preserve">（3）环境监测计划 </w:t>
            </w:r>
          </w:p>
          <w:p w14:paraId="48512B0C">
            <w:pPr>
              <w:widowControl/>
              <w:spacing w:line="360" w:lineRule="auto"/>
              <w:ind w:firstLine="480" w:firstLineChars="20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lang w:bidi="ar"/>
              </w:rPr>
              <w:t>根据《排污单位自行监测技术指南 总则（HJ 819-2017）》、</w:t>
            </w:r>
            <w:r>
              <w:rPr>
                <w:rFonts w:hint="default" w:ascii="Times New Roman" w:hAnsi="Times New Roman" w:cs="Times New Roman"/>
                <w:color w:val="auto"/>
                <w:sz w:val="24"/>
                <w:highlight w:val="none"/>
              </w:rPr>
              <w:t>《排污单位自行监测技术指南 涂装》（HJ1086-2020）</w:t>
            </w:r>
            <w:r>
              <w:rPr>
                <w:rFonts w:hint="default" w:ascii="Times New Roman" w:hAnsi="Times New Roman" w:cs="Times New Roman"/>
                <w:color w:val="auto"/>
                <w:kern w:val="0"/>
                <w:sz w:val="24"/>
                <w:highlight w:val="none"/>
                <w:lang w:bidi="ar"/>
              </w:rPr>
              <w:t>，本项目提出运营期污染源监测计划如表4-2</w:t>
            </w:r>
            <w:r>
              <w:rPr>
                <w:rFonts w:hint="default" w:ascii="Times New Roman" w:hAnsi="Times New Roman" w:cs="Times New Roman"/>
                <w:color w:val="auto"/>
                <w:kern w:val="0"/>
                <w:sz w:val="24"/>
                <w:highlight w:val="none"/>
                <w:lang w:val="en-US" w:eastAsia="zh-CN" w:bidi="ar"/>
              </w:rPr>
              <w:t>1</w:t>
            </w:r>
            <w:r>
              <w:rPr>
                <w:rFonts w:hint="default" w:ascii="Times New Roman" w:hAnsi="Times New Roman" w:cs="Times New Roman"/>
                <w:color w:val="auto"/>
                <w:kern w:val="0"/>
                <w:sz w:val="24"/>
                <w:highlight w:val="none"/>
                <w:lang w:bidi="ar"/>
              </w:rPr>
              <w:t>所示。</w:t>
            </w:r>
          </w:p>
          <w:p w14:paraId="6CED4306">
            <w:pPr>
              <w:ind w:firstLine="3132" w:firstLineChars="13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表4-2</w:t>
            </w:r>
            <w:r>
              <w:rPr>
                <w:rFonts w:hint="default" w:ascii="Times New Roman" w:hAnsi="Times New Roman" w:cs="Times New Roman"/>
                <w:b/>
                <w:bCs/>
                <w:color w:val="auto"/>
                <w:sz w:val="24"/>
                <w:highlight w:val="none"/>
                <w:lang w:val="en-US" w:eastAsia="zh-CN"/>
              </w:rPr>
              <w:t>1</w:t>
            </w:r>
            <w:r>
              <w:rPr>
                <w:rFonts w:hint="default" w:ascii="Times New Roman" w:hAnsi="Times New Roman" w:cs="Times New Roman"/>
                <w:b/>
                <w:bCs/>
                <w:color w:val="auto"/>
                <w:sz w:val="24"/>
                <w:highlight w:val="none"/>
              </w:rPr>
              <w:t xml:space="preserve"> 项目监测计划一览表</w:t>
            </w:r>
          </w:p>
          <w:tbl>
            <w:tblPr>
              <w:tblStyle w:val="26"/>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341"/>
              <w:gridCol w:w="1815"/>
              <w:gridCol w:w="1050"/>
              <w:gridCol w:w="4076"/>
            </w:tblGrid>
            <w:tr w14:paraId="43FE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761" w:type="dxa"/>
                  <w:vAlign w:val="center"/>
                </w:tcPr>
                <w:p w14:paraId="65312AF3">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项目</w:t>
                  </w:r>
                </w:p>
              </w:tc>
              <w:tc>
                <w:tcPr>
                  <w:tcW w:w="1341" w:type="dxa"/>
                  <w:vAlign w:val="center"/>
                </w:tcPr>
                <w:p w14:paraId="2A498A2A">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监测点位</w:t>
                  </w:r>
                </w:p>
              </w:tc>
              <w:tc>
                <w:tcPr>
                  <w:tcW w:w="1815" w:type="dxa"/>
                  <w:vAlign w:val="center"/>
                </w:tcPr>
                <w:p w14:paraId="62463796">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监测因子</w:t>
                  </w:r>
                </w:p>
              </w:tc>
              <w:tc>
                <w:tcPr>
                  <w:tcW w:w="1050" w:type="dxa"/>
                  <w:vAlign w:val="center"/>
                </w:tcPr>
                <w:p w14:paraId="3ACF5686">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频次</w:t>
                  </w:r>
                </w:p>
              </w:tc>
              <w:tc>
                <w:tcPr>
                  <w:tcW w:w="4076" w:type="dxa"/>
                  <w:vAlign w:val="center"/>
                </w:tcPr>
                <w:p w14:paraId="3F373523">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执行标准</w:t>
                  </w:r>
                </w:p>
              </w:tc>
            </w:tr>
            <w:tr w14:paraId="4446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61" w:type="dxa"/>
                  <w:vMerge w:val="restart"/>
                  <w:vAlign w:val="center"/>
                </w:tcPr>
                <w:p w14:paraId="0DE143B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废气</w:t>
                  </w:r>
                </w:p>
              </w:tc>
              <w:tc>
                <w:tcPr>
                  <w:tcW w:w="1341" w:type="dxa"/>
                  <w:vMerge w:val="restart"/>
                  <w:vAlign w:val="center"/>
                </w:tcPr>
                <w:p w14:paraId="15F00985">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喷漆、烘干和喷粉废气排放口</w:t>
                  </w:r>
                </w:p>
                <w:p w14:paraId="34A9E9B7">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DA005</w:t>
                  </w:r>
                </w:p>
              </w:tc>
              <w:tc>
                <w:tcPr>
                  <w:tcW w:w="1815" w:type="dxa"/>
                  <w:vAlign w:val="center"/>
                </w:tcPr>
                <w:p w14:paraId="7577E65F">
                  <w:pPr>
                    <w:jc w:val="center"/>
                    <w:rPr>
                      <w:rFonts w:hint="default" w:ascii="Times New Roman" w:hAnsi="Times New Roman" w:cs="Times New Roman"/>
                      <w:b/>
                      <w:bCs/>
                      <w:color w:val="auto"/>
                      <w:szCs w:val="21"/>
                      <w:highlight w:val="none"/>
                    </w:rPr>
                  </w:pPr>
                  <w:r>
                    <w:rPr>
                      <w:rFonts w:hint="default" w:ascii="Times New Roman" w:hAnsi="Times New Roman" w:cs="Times New Roman"/>
                      <w:color w:val="auto"/>
                      <w:szCs w:val="21"/>
                      <w:highlight w:val="none"/>
                    </w:rPr>
                    <w:t>TVOC、二甲苯</w:t>
                  </w:r>
                </w:p>
              </w:tc>
              <w:tc>
                <w:tcPr>
                  <w:tcW w:w="1050" w:type="dxa"/>
                  <w:vAlign w:val="center"/>
                </w:tcPr>
                <w:p w14:paraId="13CDC30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1次/年</w:t>
                  </w:r>
                </w:p>
              </w:tc>
              <w:tc>
                <w:tcPr>
                  <w:tcW w:w="4076" w:type="dxa"/>
                  <w:vMerge w:val="restart"/>
                  <w:vAlign w:val="center"/>
                </w:tcPr>
                <w:p w14:paraId="57BE8D79">
                  <w:pPr>
                    <w:jc w:val="center"/>
                    <w:rPr>
                      <w:rFonts w:hint="default" w:ascii="Times New Roman" w:hAnsi="Times New Roman" w:cs="Times New Roman"/>
                      <w:b/>
                      <w:bCs/>
                      <w:color w:val="auto"/>
                      <w:szCs w:val="21"/>
                      <w:highlight w:val="none"/>
                    </w:rPr>
                  </w:pPr>
                  <w:r>
                    <w:rPr>
                      <w:rFonts w:hint="default" w:ascii="Times New Roman" w:hAnsi="Times New Roman" w:cs="Times New Roman"/>
                      <w:color w:val="auto"/>
                      <w:sz w:val="21"/>
                      <w:szCs w:val="21"/>
                      <w:highlight w:val="none"/>
                    </w:rPr>
                    <w:t>《铸造工业大气污染物排放标准》（GB 39726—2020）</w:t>
                  </w:r>
                  <w:r>
                    <w:rPr>
                      <w:rFonts w:hint="default" w:ascii="Times New Roman" w:hAnsi="Times New Roman" w:cs="Times New Roman"/>
                      <w:color w:val="auto"/>
                      <w:sz w:val="21"/>
                      <w:szCs w:val="21"/>
                      <w:highlight w:val="none"/>
                      <w:lang w:val="en-US" w:eastAsia="zh-CN"/>
                    </w:rPr>
                    <w:t>表1大气污染物排放限值</w:t>
                  </w:r>
                </w:p>
              </w:tc>
            </w:tr>
            <w:tr w14:paraId="5AC5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61" w:type="dxa"/>
                  <w:vMerge w:val="continue"/>
                  <w:vAlign w:val="center"/>
                </w:tcPr>
                <w:p w14:paraId="54B1E44A">
                  <w:pPr>
                    <w:jc w:val="center"/>
                    <w:rPr>
                      <w:rFonts w:hint="default" w:ascii="Times New Roman" w:hAnsi="Times New Roman" w:cs="Times New Roman"/>
                      <w:color w:val="auto"/>
                      <w:szCs w:val="21"/>
                      <w:highlight w:val="none"/>
                    </w:rPr>
                  </w:pPr>
                </w:p>
              </w:tc>
              <w:tc>
                <w:tcPr>
                  <w:tcW w:w="1341" w:type="dxa"/>
                  <w:vMerge w:val="continue"/>
                  <w:vAlign w:val="center"/>
                </w:tcPr>
                <w:p w14:paraId="478FC818">
                  <w:pPr>
                    <w:pStyle w:val="23"/>
                    <w:widowControl w:val="0"/>
                    <w:spacing w:before="0" w:beforeAutospacing="0" w:after="0" w:afterAutospacing="0" w:line="360" w:lineRule="auto"/>
                    <w:jc w:val="center"/>
                    <w:rPr>
                      <w:rFonts w:hint="default" w:ascii="Times New Roman" w:hAnsi="Times New Roman" w:cs="Times New Roman"/>
                      <w:color w:val="auto"/>
                      <w:sz w:val="21"/>
                      <w:szCs w:val="21"/>
                      <w:highlight w:val="none"/>
                    </w:rPr>
                  </w:pPr>
                </w:p>
              </w:tc>
              <w:tc>
                <w:tcPr>
                  <w:tcW w:w="1815" w:type="dxa"/>
                  <w:vAlign w:val="center"/>
                </w:tcPr>
                <w:p w14:paraId="71FC190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颗粒物</w:t>
                  </w:r>
                </w:p>
              </w:tc>
              <w:tc>
                <w:tcPr>
                  <w:tcW w:w="1050" w:type="dxa"/>
                  <w:vAlign w:val="center"/>
                </w:tcPr>
                <w:p w14:paraId="6F5A343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1次/年</w:t>
                  </w:r>
                </w:p>
              </w:tc>
              <w:tc>
                <w:tcPr>
                  <w:tcW w:w="4076" w:type="dxa"/>
                  <w:vMerge w:val="continue"/>
                  <w:vAlign w:val="center"/>
                </w:tcPr>
                <w:p w14:paraId="7291B47C">
                  <w:pPr>
                    <w:jc w:val="center"/>
                    <w:rPr>
                      <w:rFonts w:hint="default" w:ascii="Times New Roman" w:hAnsi="Times New Roman" w:cs="Times New Roman"/>
                      <w:color w:val="auto"/>
                      <w:szCs w:val="21"/>
                      <w:highlight w:val="none"/>
                    </w:rPr>
                  </w:pPr>
                </w:p>
              </w:tc>
            </w:tr>
            <w:tr w14:paraId="5C47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61" w:type="dxa"/>
                  <w:vMerge w:val="continue"/>
                  <w:vAlign w:val="center"/>
                </w:tcPr>
                <w:p w14:paraId="773466CA">
                  <w:pPr>
                    <w:jc w:val="center"/>
                    <w:rPr>
                      <w:rFonts w:hint="default" w:ascii="Times New Roman" w:hAnsi="Times New Roman" w:cs="Times New Roman"/>
                      <w:color w:val="auto"/>
                      <w:szCs w:val="21"/>
                      <w:highlight w:val="none"/>
                    </w:rPr>
                  </w:pPr>
                </w:p>
              </w:tc>
              <w:tc>
                <w:tcPr>
                  <w:tcW w:w="1341" w:type="dxa"/>
                  <w:vMerge w:val="restart"/>
                  <w:vAlign w:val="center"/>
                </w:tcPr>
                <w:p w14:paraId="30583F6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厂界</w:t>
                  </w:r>
                </w:p>
              </w:tc>
              <w:tc>
                <w:tcPr>
                  <w:tcW w:w="1815" w:type="dxa"/>
                  <w:vAlign w:val="center"/>
                </w:tcPr>
                <w:p w14:paraId="4486361A">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1050" w:type="dxa"/>
                  <w:vAlign w:val="center"/>
                </w:tcPr>
                <w:p w14:paraId="6BD666CC">
                  <w:pPr>
                    <w:jc w:val="center"/>
                    <w:rPr>
                      <w:rFonts w:hint="default" w:ascii="Times New Roman" w:hAnsi="Times New Roman" w:cs="Times New Roman"/>
                      <w:b/>
                      <w:bCs/>
                      <w:color w:val="auto"/>
                      <w:szCs w:val="21"/>
                      <w:highlight w:val="none"/>
                    </w:rPr>
                  </w:pPr>
                  <w:r>
                    <w:rPr>
                      <w:rFonts w:hint="default" w:ascii="Times New Roman" w:hAnsi="Times New Roman" w:cs="Times New Roman"/>
                      <w:color w:val="auto"/>
                      <w:szCs w:val="21"/>
                      <w:highlight w:val="none"/>
                    </w:rPr>
                    <w:t>1次/半年</w:t>
                  </w:r>
                </w:p>
              </w:tc>
              <w:tc>
                <w:tcPr>
                  <w:tcW w:w="4076" w:type="dxa"/>
                  <w:vMerge w:val="restart"/>
                  <w:vAlign w:val="center"/>
                </w:tcPr>
                <w:p w14:paraId="1B329AC5">
                  <w:pPr>
                    <w:widowControl/>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kern w:val="0"/>
                      <w:szCs w:val="21"/>
                      <w:highlight w:val="none"/>
                      <w:lang w:val="ru-RU"/>
                    </w:rPr>
                    <w:t>广东省地方标准《大气污染</w:t>
                  </w:r>
                </w:p>
                <w:p w14:paraId="7F683860">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ru-RU"/>
                    </w:rPr>
                    <w:t>物排放限值》（DB44/27-2001）第二时段无组织排放监控浓度限值</w:t>
                  </w:r>
                </w:p>
              </w:tc>
            </w:tr>
            <w:tr w14:paraId="5A70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61" w:type="dxa"/>
                  <w:vMerge w:val="continue"/>
                  <w:vAlign w:val="center"/>
                </w:tcPr>
                <w:p w14:paraId="4790180C">
                  <w:pPr>
                    <w:jc w:val="center"/>
                    <w:rPr>
                      <w:rFonts w:hint="default" w:ascii="Times New Roman" w:hAnsi="Times New Roman" w:cs="Times New Roman"/>
                      <w:color w:val="auto"/>
                      <w:szCs w:val="21"/>
                      <w:highlight w:val="none"/>
                    </w:rPr>
                  </w:pPr>
                </w:p>
              </w:tc>
              <w:tc>
                <w:tcPr>
                  <w:tcW w:w="1341" w:type="dxa"/>
                  <w:vMerge w:val="continue"/>
                  <w:vAlign w:val="center"/>
                </w:tcPr>
                <w:p w14:paraId="7DF76EE7">
                  <w:pPr>
                    <w:jc w:val="center"/>
                    <w:rPr>
                      <w:rFonts w:hint="default" w:ascii="Times New Roman" w:hAnsi="Times New Roman" w:cs="Times New Roman"/>
                      <w:color w:val="auto"/>
                      <w:szCs w:val="21"/>
                      <w:highlight w:val="none"/>
                    </w:rPr>
                  </w:pPr>
                </w:p>
              </w:tc>
              <w:tc>
                <w:tcPr>
                  <w:tcW w:w="1815" w:type="dxa"/>
                  <w:vAlign w:val="center"/>
                </w:tcPr>
                <w:p w14:paraId="18669F5D">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非甲烷总烃</w:t>
                  </w:r>
                </w:p>
              </w:tc>
              <w:tc>
                <w:tcPr>
                  <w:tcW w:w="1050" w:type="dxa"/>
                  <w:vAlign w:val="center"/>
                </w:tcPr>
                <w:p w14:paraId="33FC679C">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1次/半年</w:t>
                  </w:r>
                </w:p>
              </w:tc>
              <w:tc>
                <w:tcPr>
                  <w:tcW w:w="4076" w:type="dxa"/>
                  <w:vMerge w:val="continue"/>
                  <w:vAlign w:val="center"/>
                </w:tcPr>
                <w:p w14:paraId="751FA7AE">
                  <w:pPr>
                    <w:pStyle w:val="23"/>
                    <w:widowControl w:val="0"/>
                    <w:spacing w:before="0" w:beforeAutospacing="0" w:after="0" w:afterAutospacing="0"/>
                    <w:jc w:val="center"/>
                    <w:rPr>
                      <w:rFonts w:hint="default" w:ascii="Times New Roman" w:hAnsi="Times New Roman" w:cs="Times New Roman"/>
                      <w:color w:val="auto"/>
                      <w:sz w:val="21"/>
                      <w:szCs w:val="21"/>
                      <w:highlight w:val="none"/>
                      <w:lang w:val="ru-RU"/>
                    </w:rPr>
                  </w:pPr>
                </w:p>
              </w:tc>
            </w:tr>
            <w:tr w14:paraId="3F49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61" w:type="dxa"/>
                  <w:vMerge w:val="continue"/>
                  <w:vAlign w:val="center"/>
                </w:tcPr>
                <w:p w14:paraId="329636A2">
                  <w:pPr>
                    <w:jc w:val="center"/>
                    <w:rPr>
                      <w:rFonts w:hint="default" w:ascii="Times New Roman" w:hAnsi="Times New Roman" w:cs="Times New Roman"/>
                      <w:color w:val="auto"/>
                      <w:szCs w:val="21"/>
                      <w:highlight w:val="none"/>
                    </w:rPr>
                  </w:pPr>
                </w:p>
              </w:tc>
              <w:tc>
                <w:tcPr>
                  <w:tcW w:w="1341" w:type="dxa"/>
                  <w:vMerge w:val="restart"/>
                  <w:vAlign w:val="center"/>
                </w:tcPr>
                <w:p w14:paraId="47BAC4E9">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厂区内</w:t>
                  </w:r>
                </w:p>
              </w:tc>
              <w:tc>
                <w:tcPr>
                  <w:tcW w:w="1815" w:type="dxa"/>
                  <w:vAlign w:val="center"/>
                </w:tcPr>
                <w:p w14:paraId="6320F33D">
                  <w:pPr>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val="ru-RU"/>
                    </w:rPr>
                    <w:t>NMHC</w:t>
                  </w:r>
                </w:p>
              </w:tc>
              <w:tc>
                <w:tcPr>
                  <w:tcW w:w="1050" w:type="dxa"/>
                  <w:vAlign w:val="center"/>
                </w:tcPr>
                <w:p w14:paraId="022047C7">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1次/</w:t>
                  </w:r>
                  <w:r>
                    <w:rPr>
                      <w:rFonts w:hint="default" w:ascii="Times New Roman" w:hAnsi="Times New Roman" w:cs="Times New Roman"/>
                      <w:color w:val="auto"/>
                      <w:szCs w:val="21"/>
                      <w:highlight w:val="none"/>
                      <w:lang w:val="en-US" w:eastAsia="zh-CN"/>
                    </w:rPr>
                    <w:t>半年</w:t>
                  </w:r>
                </w:p>
              </w:tc>
              <w:tc>
                <w:tcPr>
                  <w:tcW w:w="4076" w:type="dxa"/>
                  <w:vMerge w:val="restart"/>
                  <w:vAlign w:val="center"/>
                </w:tcPr>
                <w:p w14:paraId="2B6E3DE3">
                  <w:pPr>
                    <w:pStyle w:val="23"/>
                    <w:widowControl w:val="0"/>
                    <w:spacing w:before="0" w:beforeAutospacing="0" w:after="0" w:afterAutospacing="0"/>
                    <w:jc w:val="center"/>
                    <w:rPr>
                      <w:rFonts w:hint="default" w:ascii="Times New Roman" w:hAnsi="Times New Roman" w:cs="Times New Roman"/>
                      <w:color w:val="auto"/>
                      <w:sz w:val="21"/>
                      <w:szCs w:val="21"/>
                      <w:highlight w:val="none"/>
                      <w:lang w:val="ru-RU"/>
                    </w:rPr>
                  </w:pPr>
                  <w:r>
                    <w:rPr>
                      <w:rStyle w:val="130"/>
                      <w:rFonts w:hint="default" w:ascii="Times New Roman" w:hAnsi="Times New Roman" w:cs="Times New Roman"/>
                      <w:color w:val="auto"/>
                      <w:sz w:val="21"/>
                      <w:szCs w:val="21"/>
                      <w:highlight w:val="none"/>
                      <w:lang w:val="en-US" w:eastAsia="zh-CN"/>
                    </w:rPr>
                    <w:t>《铸造工业大气污染物排放标准》（GB 39726—2020）表A.1厂区内颗粒物、VOCs无组织排放限值</w:t>
                  </w:r>
                </w:p>
              </w:tc>
            </w:tr>
            <w:tr w14:paraId="10D4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61" w:type="dxa"/>
                  <w:vMerge w:val="continue"/>
                  <w:vAlign w:val="center"/>
                </w:tcPr>
                <w:p w14:paraId="21024FEB">
                  <w:pPr>
                    <w:jc w:val="center"/>
                    <w:rPr>
                      <w:rFonts w:hint="default" w:ascii="Times New Roman" w:hAnsi="Times New Roman" w:cs="Times New Roman"/>
                      <w:color w:val="auto"/>
                      <w:szCs w:val="21"/>
                      <w:highlight w:val="none"/>
                    </w:rPr>
                  </w:pPr>
                </w:p>
              </w:tc>
              <w:tc>
                <w:tcPr>
                  <w:tcW w:w="1341" w:type="dxa"/>
                  <w:vMerge w:val="continue"/>
                  <w:vAlign w:val="center"/>
                </w:tcPr>
                <w:p w14:paraId="60959F91">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p>
              </w:tc>
              <w:tc>
                <w:tcPr>
                  <w:tcW w:w="1815" w:type="dxa"/>
                  <w:vAlign w:val="center"/>
                </w:tcPr>
                <w:p w14:paraId="28187407">
                  <w:pPr>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kern w:val="0"/>
                      <w:szCs w:val="21"/>
                      <w:highlight w:val="none"/>
                      <w:lang w:val="en-US" w:eastAsia="zh-CN"/>
                    </w:rPr>
                    <w:t>颗粒物</w:t>
                  </w:r>
                </w:p>
              </w:tc>
              <w:tc>
                <w:tcPr>
                  <w:tcW w:w="1050" w:type="dxa"/>
                  <w:vAlign w:val="center"/>
                </w:tcPr>
                <w:p w14:paraId="212673E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w:t>
                  </w:r>
                  <w:r>
                    <w:rPr>
                      <w:rFonts w:hint="default" w:ascii="Times New Roman" w:hAnsi="Times New Roman" w:cs="Times New Roman"/>
                      <w:color w:val="auto"/>
                      <w:szCs w:val="21"/>
                      <w:highlight w:val="none"/>
                      <w:lang w:val="en-US" w:eastAsia="zh-CN"/>
                    </w:rPr>
                    <w:t>半年</w:t>
                  </w:r>
                </w:p>
              </w:tc>
              <w:tc>
                <w:tcPr>
                  <w:tcW w:w="4076" w:type="dxa"/>
                  <w:vMerge w:val="continue"/>
                  <w:vAlign w:val="center"/>
                </w:tcPr>
                <w:p w14:paraId="1C2B03E3">
                  <w:pPr>
                    <w:pStyle w:val="23"/>
                    <w:widowControl w:val="0"/>
                    <w:spacing w:before="0" w:beforeAutospacing="0" w:after="0" w:afterAutospacing="0"/>
                    <w:jc w:val="center"/>
                    <w:rPr>
                      <w:rFonts w:hint="default" w:ascii="Times New Roman" w:hAnsi="Times New Roman" w:cs="Times New Roman"/>
                      <w:bCs/>
                      <w:color w:val="auto"/>
                      <w:sz w:val="21"/>
                      <w:szCs w:val="21"/>
                      <w:highlight w:val="none"/>
                    </w:rPr>
                  </w:pPr>
                </w:p>
              </w:tc>
            </w:tr>
            <w:tr w14:paraId="4530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61" w:type="dxa"/>
                  <w:vAlign w:val="center"/>
                </w:tcPr>
                <w:p w14:paraId="6FBE431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1341" w:type="dxa"/>
                  <w:vAlign w:val="center"/>
                </w:tcPr>
                <w:p w14:paraId="71213CA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厂界</w:t>
                  </w:r>
                </w:p>
              </w:tc>
              <w:tc>
                <w:tcPr>
                  <w:tcW w:w="1815" w:type="dxa"/>
                  <w:vAlign w:val="center"/>
                </w:tcPr>
                <w:p w14:paraId="23207E0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昼、夜间等效连续A声级Leq（A）</w:t>
                  </w:r>
                </w:p>
              </w:tc>
              <w:tc>
                <w:tcPr>
                  <w:tcW w:w="1050" w:type="dxa"/>
                  <w:vAlign w:val="center"/>
                </w:tcPr>
                <w:p w14:paraId="3090992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1次/季</w:t>
                  </w:r>
                </w:p>
              </w:tc>
              <w:tc>
                <w:tcPr>
                  <w:tcW w:w="4076" w:type="dxa"/>
                  <w:vAlign w:val="center"/>
                </w:tcPr>
                <w:p w14:paraId="3650649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《工业企业厂界环境噪声排放标准》（GB12348-2008）3类标准</w:t>
                  </w:r>
                </w:p>
              </w:tc>
            </w:tr>
          </w:tbl>
          <w:p w14:paraId="3A4A6718">
            <w:pPr>
              <w:pStyle w:val="8"/>
              <w:rPr>
                <w:rFonts w:hint="default" w:ascii="Times New Roman" w:hAnsi="Times New Roman" w:cs="Times New Roman"/>
                <w:color w:val="auto"/>
                <w:highlight w:val="none"/>
              </w:rPr>
            </w:pPr>
          </w:p>
        </w:tc>
      </w:tr>
    </w:tbl>
    <w:p w14:paraId="0FDC6416">
      <w:pPr>
        <w:pStyle w:val="23"/>
        <w:jc w:val="both"/>
        <w:outlineLvl w:val="0"/>
        <w:rPr>
          <w:rFonts w:hint="default" w:ascii="Times New Roman" w:hAnsi="Times New Roman" w:eastAsia="黑体" w:cs="Times New Roman"/>
          <w:snapToGrid w:val="0"/>
          <w:color w:val="auto"/>
          <w:sz w:val="30"/>
          <w:szCs w:val="30"/>
          <w:highlight w:val="none"/>
        </w:rPr>
        <w:sectPr>
          <w:pgSz w:w="11906" w:h="16838"/>
          <w:pgMar w:top="1134" w:right="1134" w:bottom="1134" w:left="1134" w:header="851" w:footer="851" w:gutter="0"/>
          <w:cols w:space="720" w:num="1"/>
          <w:docGrid w:linePitch="312" w:charSpace="0"/>
        </w:sectPr>
      </w:pPr>
    </w:p>
    <w:p w14:paraId="14F865E7">
      <w:pPr>
        <w:pStyle w:val="23"/>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五、</w:t>
      </w:r>
      <w:bookmarkStart w:id="4" w:name="_Hlk54167917"/>
      <w:r>
        <w:rPr>
          <w:rFonts w:hint="default" w:ascii="Times New Roman" w:hAnsi="Times New Roman" w:eastAsia="黑体" w:cs="Times New Roman"/>
          <w:snapToGrid w:val="0"/>
          <w:color w:val="auto"/>
          <w:sz w:val="30"/>
          <w:szCs w:val="30"/>
          <w:highlight w:val="none"/>
        </w:rPr>
        <w:t>环境保护措施监督检查清单</w:t>
      </w:r>
      <w:bookmarkEnd w:id="4"/>
    </w:p>
    <w:tbl>
      <w:tblPr>
        <w:tblStyle w:val="26"/>
        <w:tblW w:w="95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1507"/>
        <w:gridCol w:w="1410"/>
        <w:gridCol w:w="2506"/>
        <w:gridCol w:w="2665"/>
      </w:tblGrid>
      <w:tr w14:paraId="1AA155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483" w:type="dxa"/>
            <w:tcBorders>
              <w:tl2br w:val="single" w:color="auto" w:sz="4" w:space="0"/>
            </w:tcBorders>
          </w:tcPr>
          <w:p w14:paraId="186A1474">
            <w:pPr>
              <w:adjustRightInd w:val="0"/>
              <w:snapToGrid w:val="0"/>
              <w:ind w:firstLine="84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内容</w:t>
            </w:r>
          </w:p>
          <w:p w14:paraId="389F6F32">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要素</w:t>
            </w:r>
          </w:p>
        </w:tc>
        <w:tc>
          <w:tcPr>
            <w:tcW w:w="1507" w:type="dxa"/>
            <w:vAlign w:val="center"/>
          </w:tcPr>
          <w:p w14:paraId="5779AED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排放口(编号、</w:t>
            </w:r>
          </w:p>
          <w:p w14:paraId="7234B07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名称)/污染源</w:t>
            </w:r>
          </w:p>
        </w:tc>
        <w:tc>
          <w:tcPr>
            <w:tcW w:w="1410" w:type="dxa"/>
            <w:vAlign w:val="center"/>
          </w:tcPr>
          <w:p w14:paraId="6A61A61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污染物项目</w:t>
            </w:r>
          </w:p>
        </w:tc>
        <w:tc>
          <w:tcPr>
            <w:tcW w:w="2506" w:type="dxa"/>
            <w:vAlign w:val="center"/>
          </w:tcPr>
          <w:p w14:paraId="3F2D54F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环境保护措施</w:t>
            </w:r>
          </w:p>
        </w:tc>
        <w:tc>
          <w:tcPr>
            <w:tcW w:w="2665" w:type="dxa"/>
            <w:vAlign w:val="center"/>
          </w:tcPr>
          <w:p w14:paraId="4921395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执行标准</w:t>
            </w:r>
          </w:p>
        </w:tc>
      </w:tr>
      <w:tr w14:paraId="154047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83" w:type="dxa"/>
            <w:vMerge w:val="restart"/>
            <w:vAlign w:val="center"/>
          </w:tcPr>
          <w:p w14:paraId="3A4CD33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废气</w:t>
            </w:r>
          </w:p>
        </w:tc>
        <w:tc>
          <w:tcPr>
            <w:tcW w:w="1507" w:type="dxa"/>
            <w:vMerge w:val="restart"/>
            <w:vAlign w:val="center"/>
          </w:tcPr>
          <w:p w14:paraId="304FF691">
            <w:pPr>
              <w:pStyle w:val="23"/>
              <w:widowControl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喷漆、烘干和喷粉废气排放口</w:t>
            </w:r>
          </w:p>
          <w:p w14:paraId="06B2EFBF">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DA005</w:t>
            </w:r>
          </w:p>
        </w:tc>
        <w:tc>
          <w:tcPr>
            <w:tcW w:w="1410" w:type="dxa"/>
            <w:vAlign w:val="center"/>
          </w:tcPr>
          <w:p w14:paraId="19A4286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TVOC、二甲苯</w:t>
            </w:r>
          </w:p>
        </w:tc>
        <w:tc>
          <w:tcPr>
            <w:tcW w:w="2506" w:type="dxa"/>
            <w:vMerge w:val="restart"/>
            <w:vAlign w:val="center"/>
          </w:tcPr>
          <w:p w14:paraId="49AF1C8F">
            <w:pPr>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rPr>
              <w:t>设置1套“水帘柜+除雾+二级活性炭”处理喷漆产生的颗粒物、喷漆</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烘</w:t>
            </w:r>
            <w:r>
              <w:rPr>
                <w:rFonts w:hint="default" w:ascii="Times New Roman" w:hAnsi="Times New Roman" w:cs="Times New Roman"/>
                <w:color w:val="auto"/>
                <w:szCs w:val="21"/>
                <w:highlight w:val="none"/>
                <w:lang w:val="en-US" w:eastAsia="zh-CN"/>
              </w:rPr>
              <w:t>烤</w:t>
            </w:r>
            <w:r>
              <w:rPr>
                <w:rFonts w:hint="default" w:ascii="Times New Roman" w:hAnsi="Times New Roman" w:cs="Times New Roman"/>
                <w:color w:val="auto"/>
                <w:szCs w:val="21"/>
                <w:highlight w:val="none"/>
              </w:rPr>
              <w:t>产生的TVOC、二甲苯；设置1套滤筒除尘装置处理喷粉产生的颗粒物，喷漆、烘</w:t>
            </w:r>
            <w:r>
              <w:rPr>
                <w:rFonts w:hint="default" w:ascii="Times New Roman" w:hAnsi="Times New Roman" w:cs="Times New Roman"/>
                <w:color w:val="auto"/>
                <w:szCs w:val="21"/>
                <w:highlight w:val="none"/>
                <w:lang w:val="en-US" w:eastAsia="zh-CN"/>
              </w:rPr>
              <w:t>烤</w:t>
            </w:r>
            <w:r>
              <w:rPr>
                <w:rFonts w:hint="default" w:ascii="Times New Roman" w:hAnsi="Times New Roman" w:cs="Times New Roman"/>
                <w:color w:val="auto"/>
                <w:szCs w:val="21"/>
                <w:highlight w:val="none"/>
              </w:rPr>
              <w:t>和喷粉废气经处理后由1根15m排气筒DA005排放</w:t>
            </w:r>
          </w:p>
        </w:tc>
        <w:tc>
          <w:tcPr>
            <w:tcW w:w="2665" w:type="dxa"/>
            <w:vMerge w:val="restart"/>
            <w:vAlign w:val="center"/>
          </w:tcPr>
          <w:p w14:paraId="5DE780AD">
            <w:pPr>
              <w:jc w:val="center"/>
              <w:rPr>
                <w:rFonts w:hint="default" w:ascii="Times New Roman" w:hAnsi="Times New Roman" w:cs="Times New Roman"/>
                <w:color w:val="auto"/>
                <w:kern w:val="0"/>
                <w:szCs w:val="21"/>
                <w:highlight w:val="none"/>
                <w:lang w:val="ru-RU"/>
              </w:rPr>
            </w:pPr>
            <w:r>
              <w:rPr>
                <w:rFonts w:hint="default" w:ascii="Times New Roman" w:hAnsi="Times New Roman" w:cs="Times New Roman"/>
                <w:color w:val="auto"/>
                <w:sz w:val="21"/>
                <w:szCs w:val="21"/>
                <w:highlight w:val="none"/>
              </w:rPr>
              <w:t>《铸造工业大气污染物排放标准》（GB 39726—2020）</w:t>
            </w:r>
            <w:r>
              <w:rPr>
                <w:rFonts w:hint="default" w:ascii="Times New Roman" w:hAnsi="Times New Roman" w:cs="Times New Roman"/>
                <w:color w:val="auto"/>
                <w:sz w:val="21"/>
                <w:szCs w:val="21"/>
                <w:highlight w:val="none"/>
                <w:lang w:val="en-US" w:eastAsia="zh-CN"/>
              </w:rPr>
              <w:t>表1大气污染物排放限值</w:t>
            </w:r>
          </w:p>
        </w:tc>
      </w:tr>
      <w:tr w14:paraId="283031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83" w:type="dxa"/>
            <w:vMerge w:val="continue"/>
            <w:vAlign w:val="center"/>
          </w:tcPr>
          <w:p w14:paraId="5E0FBDAB">
            <w:pPr>
              <w:adjustRightInd w:val="0"/>
              <w:snapToGrid w:val="0"/>
              <w:jc w:val="center"/>
              <w:rPr>
                <w:rFonts w:hint="default" w:ascii="Times New Roman" w:hAnsi="Times New Roman" w:cs="Times New Roman"/>
                <w:color w:val="auto"/>
                <w:szCs w:val="21"/>
                <w:highlight w:val="none"/>
              </w:rPr>
            </w:pPr>
          </w:p>
        </w:tc>
        <w:tc>
          <w:tcPr>
            <w:tcW w:w="1507" w:type="dxa"/>
            <w:vMerge w:val="continue"/>
            <w:vAlign w:val="center"/>
          </w:tcPr>
          <w:p w14:paraId="1CEC316C">
            <w:pPr>
              <w:adjustRightInd w:val="0"/>
              <w:snapToGrid w:val="0"/>
              <w:jc w:val="center"/>
              <w:rPr>
                <w:rFonts w:hint="default" w:ascii="Times New Roman" w:hAnsi="Times New Roman" w:cs="Times New Roman"/>
                <w:color w:val="auto"/>
                <w:szCs w:val="21"/>
                <w:highlight w:val="none"/>
              </w:rPr>
            </w:pPr>
          </w:p>
        </w:tc>
        <w:tc>
          <w:tcPr>
            <w:tcW w:w="1410" w:type="dxa"/>
            <w:vAlign w:val="center"/>
          </w:tcPr>
          <w:p w14:paraId="2C30D01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颗粒物</w:t>
            </w:r>
          </w:p>
        </w:tc>
        <w:tc>
          <w:tcPr>
            <w:tcW w:w="2506" w:type="dxa"/>
            <w:vMerge w:val="continue"/>
            <w:vAlign w:val="center"/>
          </w:tcPr>
          <w:p w14:paraId="67AB72EB">
            <w:pPr>
              <w:jc w:val="center"/>
              <w:rPr>
                <w:rFonts w:hint="default" w:ascii="Times New Roman" w:hAnsi="Times New Roman" w:cs="Times New Roman"/>
                <w:color w:val="auto"/>
                <w:szCs w:val="21"/>
                <w:highlight w:val="none"/>
                <w:lang w:bidi="ar"/>
              </w:rPr>
            </w:pPr>
          </w:p>
        </w:tc>
        <w:tc>
          <w:tcPr>
            <w:tcW w:w="2665" w:type="dxa"/>
            <w:vMerge w:val="continue"/>
            <w:vAlign w:val="center"/>
          </w:tcPr>
          <w:p w14:paraId="3764918A">
            <w:pPr>
              <w:jc w:val="center"/>
              <w:rPr>
                <w:rFonts w:hint="default" w:ascii="Times New Roman" w:hAnsi="Times New Roman" w:cs="Times New Roman"/>
                <w:color w:val="auto"/>
                <w:kern w:val="0"/>
                <w:szCs w:val="21"/>
                <w:highlight w:val="none"/>
                <w:lang w:val="ru-RU"/>
              </w:rPr>
            </w:pPr>
          </w:p>
        </w:tc>
      </w:tr>
      <w:tr w14:paraId="08733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83" w:type="dxa"/>
            <w:vMerge w:val="continue"/>
            <w:vAlign w:val="center"/>
          </w:tcPr>
          <w:p w14:paraId="5BF16BB0">
            <w:pPr>
              <w:adjustRightInd w:val="0"/>
              <w:snapToGrid w:val="0"/>
              <w:jc w:val="center"/>
              <w:rPr>
                <w:rFonts w:hint="default" w:ascii="Times New Roman" w:hAnsi="Times New Roman" w:cs="Times New Roman"/>
                <w:color w:val="auto"/>
                <w:szCs w:val="21"/>
                <w:highlight w:val="none"/>
              </w:rPr>
            </w:pPr>
          </w:p>
        </w:tc>
        <w:tc>
          <w:tcPr>
            <w:tcW w:w="1507" w:type="dxa"/>
            <w:vAlign w:val="center"/>
          </w:tcPr>
          <w:p w14:paraId="57BD301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厂界</w:t>
            </w:r>
          </w:p>
        </w:tc>
        <w:tc>
          <w:tcPr>
            <w:tcW w:w="1410" w:type="dxa"/>
            <w:vAlign w:val="center"/>
          </w:tcPr>
          <w:p w14:paraId="0FEA53BF">
            <w:pPr>
              <w:pStyle w:val="23"/>
              <w:widowControl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rPr>
              <w:t>颗粒物、非甲烷总烃</w:t>
            </w:r>
          </w:p>
        </w:tc>
        <w:tc>
          <w:tcPr>
            <w:tcW w:w="2506" w:type="dxa"/>
            <w:vAlign w:val="center"/>
          </w:tcPr>
          <w:p w14:paraId="2B9B901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bidi="ar"/>
              </w:rPr>
              <w:t>加强废气收集</w:t>
            </w:r>
          </w:p>
        </w:tc>
        <w:tc>
          <w:tcPr>
            <w:tcW w:w="2665" w:type="dxa"/>
            <w:vAlign w:val="center"/>
          </w:tcPr>
          <w:p w14:paraId="09F49E8D">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val="ru-RU"/>
              </w:rPr>
              <w:t>广东省地方标准《大气污染物排放限值》（DB44/27-2001）第二时段无组织排放监控浓度限值</w:t>
            </w:r>
          </w:p>
        </w:tc>
      </w:tr>
      <w:tr w14:paraId="6E407A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83" w:type="dxa"/>
            <w:vMerge w:val="continue"/>
            <w:vAlign w:val="center"/>
          </w:tcPr>
          <w:p w14:paraId="481B5123">
            <w:pPr>
              <w:adjustRightInd w:val="0"/>
              <w:snapToGrid w:val="0"/>
              <w:jc w:val="center"/>
              <w:rPr>
                <w:rFonts w:hint="default" w:ascii="Times New Roman" w:hAnsi="Times New Roman" w:cs="Times New Roman"/>
                <w:color w:val="auto"/>
                <w:szCs w:val="21"/>
                <w:highlight w:val="none"/>
              </w:rPr>
            </w:pPr>
          </w:p>
        </w:tc>
        <w:tc>
          <w:tcPr>
            <w:tcW w:w="1507" w:type="dxa"/>
            <w:vAlign w:val="center"/>
          </w:tcPr>
          <w:p w14:paraId="5B0493B7">
            <w:pPr>
              <w:pStyle w:val="23"/>
              <w:widowControl w:val="0"/>
              <w:spacing w:before="0" w:beforeAutospacing="0" w:after="0" w:afterAutospacing="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rPr>
              <w:t>厂区内</w:t>
            </w:r>
          </w:p>
        </w:tc>
        <w:tc>
          <w:tcPr>
            <w:tcW w:w="1410" w:type="dxa"/>
            <w:vAlign w:val="center"/>
          </w:tcPr>
          <w:p w14:paraId="59A3B1D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rPr>
              <w:t>颗粒物、</w:t>
            </w:r>
            <w:r>
              <w:rPr>
                <w:rFonts w:hint="default" w:ascii="Times New Roman" w:hAnsi="Times New Roman" w:cs="Times New Roman"/>
                <w:color w:val="auto"/>
                <w:kern w:val="0"/>
                <w:szCs w:val="21"/>
                <w:highlight w:val="none"/>
                <w:lang w:val="ru-RU"/>
              </w:rPr>
              <w:t>NMHC</w:t>
            </w:r>
          </w:p>
        </w:tc>
        <w:tc>
          <w:tcPr>
            <w:tcW w:w="2506" w:type="dxa"/>
            <w:vAlign w:val="center"/>
          </w:tcPr>
          <w:p w14:paraId="77E96CB3">
            <w:pPr>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加强废气收集</w:t>
            </w:r>
          </w:p>
        </w:tc>
        <w:tc>
          <w:tcPr>
            <w:tcW w:w="2665" w:type="dxa"/>
            <w:vAlign w:val="center"/>
          </w:tcPr>
          <w:p w14:paraId="50FBFDB2">
            <w:pPr>
              <w:widowControl/>
              <w:jc w:val="center"/>
              <w:rPr>
                <w:rFonts w:hint="default" w:ascii="Times New Roman" w:hAnsi="Times New Roman" w:cs="Times New Roman"/>
                <w:color w:val="auto"/>
                <w:kern w:val="0"/>
                <w:szCs w:val="21"/>
                <w:highlight w:val="none"/>
                <w:lang w:val="ru-RU"/>
              </w:rPr>
            </w:pPr>
            <w:r>
              <w:rPr>
                <w:rStyle w:val="130"/>
                <w:rFonts w:hint="default" w:ascii="Times New Roman" w:hAnsi="Times New Roman" w:cs="Times New Roman"/>
                <w:color w:val="auto"/>
                <w:sz w:val="21"/>
                <w:szCs w:val="21"/>
                <w:highlight w:val="none"/>
                <w:lang w:val="en-US" w:eastAsia="zh-CN"/>
              </w:rPr>
              <w:t>《铸造工业大气污染物排放标准》（GB 39726—2020）表A.1厂区内颗粒物、VOCs无组织排放限值</w:t>
            </w:r>
          </w:p>
        </w:tc>
      </w:tr>
      <w:tr w14:paraId="369152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483" w:type="dxa"/>
            <w:vAlign w:val="center"/>
          </w:tcPr>
          <w:p w14:paraId="3AA626A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1507" w:type="dxa"/>
            <w:vAlign w:val="center"/>
          </w:tcPr>
          <w:p w14:paraId="1325BA3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生产设备</w:t>
            </w:r>
          </w:p>
        </w:tc>
        <w:tc>
          <w:tcPr>
            <w:tcW w:w="1410" w:type="dxa"/>
            <w:vAlign w:val="center"/>
          </w:tcPr>
          <w:p w14:paraId="2964EEB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2506" w:type="dxa"/>
            <w:vAlign w:val="center"/>
          </w:tcPr>
          <w:p w14:paraId="202711E4">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基础减振、车间隔声、</w:t>
            </w:r>
            <w:r>
              <w:rPr>
                <w:rFonts w:hint="default" w:ascii="Times New Roman" w:hAnsi="Times New Roman" w:cs="Times New Roman"/>
                <w:color w:val="auto"/>
                <w:kern w:val="0"/>
                <w:szCs w:val="21"/>
                <w:highlight w:val="none"/>
              </w:rPr>
              <w:t>合理布局</w:t>
            </w:r>
          </w:p>
        </w:tc>
        <w:tc>
          <w:tcPr>
            <w:tcW w:w="2665" w:type="dxa"/>
            <w:vAlign w:val="center"/>
          </w:tcPr>
          <w:p w14:paraId="15E613C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《工业企业厂界环境噪声排放标准》( GB12348—2008)中的3类标准限值</w:t>
            </w:r>
          </w:p>
        </w:tc>
      </w:tr>
      <w:tr w14:paraId="5046C9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483" w:type="dxa"/>
            <w:vAlign w:val="center"/>
          </w:tcPr>
          <w:p w14:paraId="0012C0C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电磁辐射</w:t>
            </w:r>
          </w:p>
        </w:tc>
        <w:tc>
          <w:tcPr>
            <w:tcW w:w="1507" w:type="dxa"/>
            <w:vAlign w:val="center"/>
          </w:tcPr>
          <w:p w14:paraId="6A79CB0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410" w:type="dxa"/>
            <w:vAlign w:val="center"/>
          </w:tcPr>
          <w:p w14:paraId="5D6EFC1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2506" w:type="dxa"/>
            <w:vAlign w:val="center"/>
          </w:tcPr>
          <w:p w14:paraId="05C94A4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2665" w:type="dxa"/>
            <w:vAlign w:val="center"/>
          </w:tcPr>
          <w:p w14:paraId="16337CC8">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r>
      <w:tr w14:paraId="7366D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483" w:type="dxa"/>
            <w:vAlign w:val="center"/>
          </w:tcPr>
          <w:p w14:paraId="46A2248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固体废物</w:t>
            </w:r>
          </w:p>
        </w:tc>
        <w:tc>
          <w:tcPr>
            <w:tcW w:w="8088" w:type="dxa"/>
            <w:gridSpan w:val="4"/>
            <w:vAlign w:val="center"/>
          </w:tcPr>
          <w:p w14:paraId="556088A4">
            <w:pPr>
              <w:widowControl/>
              <w:spacing w:before="120" w:beforeLines="50"/>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滤筒收集粉尘</w:t>
            </w:r>
            <w:r>
              <w:rPr>
                <w:rFonts w:hint="default" w:ascii="Times New Roman" w:hAnsi="Times New Roman" w:cs="Times New Roman"/>
                <w:color w:val="auto"/>
                <w:kern w:val="0"/>
                <w:sz w:val="21"/>
                <w:szCs w:val="21"/>
                <w:highlight w:val="none"/>
              </w:rPr>
              <w:t>经收集后作原料回用生产，不外排；</w:t>
            </w:r>
            <w:r>
              <w:rPr>
                <w:rFonts w:hint="default" w:ascii="Times New Roman" w:hAnsi="Times New Roman" w:cs="Times New Roman"/>
                <w:bCs/>
                <w:color w:val="auto"/>
                <w:spacing w:val="-10"/>
                <w:sz w:val="21"/>
                <w:szCs w:val="21"/>
                <w:highlight w:val="none"/>
              </w:rPr>
              <w:t>原料桶、废漆渣、粉末喷涂废滤芯、废喷粉、水帘柜废水、废活性炭及其吸附物收集后在危废间暂存，定期交由有资质单位处置</w:t>
            </w:r>
            <w:r>
              <w:rPr>
                <w:rFonts w:hint="default" w:ascii="Times New Roman" w:hAnsi="Times New Roman" w:cs="Times New Roman"/>
                <w:color w:val="auto"/>
                <w:sz w:val="21"/>
                <w:szCs w:val="21"/>
                <w:highlight w:val="none"/>
              </w:rPr>
              <w:t>。</w:t>
            </w:r>
          </w:p>
        </w:tc>
      </w:tr>
      <w:tr w14:paraId="0DCC3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1483" w:type="dxa"/>
            <w:vAlign w:val="center"/>
          </w:tcPr>
          <w:p w14:paraId="4AA6209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土壤及地下水</w:t>
            </w:r>
          </w:p>
          <w:p w14:paraId="623CFB3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污染防治措施</w:t>
            </w:r>
          </w:p>
        </w:tc>
        <w:tc>
          <w:tcPr>
            <w:tcW w:w="8088" w:type="dxa"/>
            <w:gridSpan w:val="4"/>
            <w:vAlign w:val="center"/>
          </w:tcPr>
          <w:p w14:paraId="587EA6A7">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本项目车间地面硬体化。</w:t>
            </w:r>
          </w:p>
        </w:tc>
      </w:tr>
      <w:tr w14:paraId="3EBE9F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483" w:type="dxa"/>
            <w:vAlign w:val="center"/>
          </w:tcPr>
          <w:p w14:paraId="6DBC3BE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生态保护措施</w:t>
            </w:r>
          </w:p>
        </w:tc>
        <w:tc>
          <w:tcPr>
            <w:tcW w:w="8088" w:type="dxa"/>
            <w:gridSpan w:val="4"/>
            <w:vAlign w:val="center"/>
          </w:tcPr>
          <w:p w14:paraId="6953610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无</w:t>
            </w:r>
          </w:p>
        </w:tc>
      </w:tr>
      <w:tr w14:paraId="6CF96D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483" w:type="dxa"/>
            <w:vAlign w:val="center"/>
          </w:tcPr>
          <w:p w14:paraId="31ECE2A1">
            <w:pPr>
              <w:adjustRightInd w:val="0"/>
              <w:snapToGrid w:val="0"/>
              <w:jc w:val="center"/>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环境风险</w:t>
            </w:r>
          </w:p>
          <w:p w14:paraId="67BF0231">
            <w:pPr>
              <w:adjustRightInd w:val="0"/>
              <w:snapToGrid w:val="0"/>
              <w:jc w:val="center"/>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防范措施</w:t>
            </w:r>
          </w:p>
        </w:tc>
        <w:tc>
          <w:tcPr>
            <w:tcW w:w="8088" w:type="dxa"/>
            <w:gridSpan w:val="4"/>
            <w:vAlign w:val="center"/>
          </w:tcPr>
          <w:p w14:paraId="25C40B7C">
            <w:pPr>
              <w:spacing w:before="120" w:beforeLines="50"/>
              <w:rPr>
                <w:rFonts w:hint="default" w:ascii="Times New Roman" w:hAnsi="Times New Roman" w:cs="Times New Roman"/>
                <w:color w:val="auto"/>
                <w:szCs w:val="21"/>
                <w:highlight w:val="none"/>
              </w:rPr>
            </w:pPr>
            <w:r>
              <w:rPr>
                <w:rFonts w:hint="default" w:ascii="Times New Roman" w:hAnsi="Times New Roman" w:cs="Times New Roman"/>
                <w:bCs/>
                <w:color w:val="auto"/>
                <w:spacing w:val="-10"/>
                <w:szCs w:val="21"/>
                <w:highlight w:val="none"/>
              </w:rPr>
              <w:t>①按要求设置危废暂存间，安排专人管理危险废物；②制定各工序生产操作规程和防火规程，且要求按规程进行操作；③设置必要的应急物资。</w:t>
            </w:r>
          </w:p>
        </w:tc>
      </w:tr>
      <w:tr w14:paraId="109372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83" w:type="dxa"/>
            <w:vAlign w:val="center"/>
          </w:tcPr>
          <w:p w14:paraId="37E2702C">
            <w:pPr>
              <w:adjustRightInd w:val="0"/>
              <w:snapToGrid w:val="0"/>
              <w:jc w:val="center"/>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其他环境</w:t>
            </w:r>
          </w:p>
          <w:p w14:paraId="04F61C22">
            <w:pPr>
              <w:adjustRightInd w:val="0"/>
              <w:snapToGrid w:val="0"/>
              <w:jc w:val="center"/>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管理要求</w:t>
            </w:r>
          </w:p>
        </w:tc>
        <w:tc>
          <w:tcPr>
            <w:tcW w:w="8088" w:type="dxa"/>
            <w:gridSpan w:val="4"/>
            <w:vAlign w:val="center"/>
          </w:tcPr>
          <w:p w14:paraId="70A1F72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r>
    </w:tbl>
    <w:p w14:paraId="03A9ED64">
      <w:pPr>
        <w:pStyle w:val="23"/>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cs="Times New Roman"/>
          <w:snapToGrid w:val="0"/>
          <w:color w:val="auto"/>
          <w:highlight w:val="none"/>
        </w:rPr>
        <w:br w:type="page"/>
      </w:r>
      <w:r>
        <w:rPr>
          <w:rFonts w:hint="default" w:ascii="Times New Roman" w:hAnsi="Times New Roman" w:eastAsia="黑体" w:cs="Times New Roman"/>
          <w:snapToGrid w:val="0"/>
          <w:color w:val="auto"/>
          <w:sz w:val="30"/>
          <w:szCs w:val="30"/>
          <w:highlight w:val="none"/>
        </w:rPr>
        <w:t>六、结论</w:t>
      </w:r>
    </w:p>
    <w:tbl>
      <w:tblPr>
        <w:tblStyle w:val="26"/>
        <w:tblW w:w="94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460"/>
      </w:tblGrid>
      <w:tr w14:paraId="290A91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9460" w:type="dxa"/>
          </w:tcPr>
          <w:p w14:paraId="2904C0CA">
            <w:pPr>
              <w:widowControl/>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rPr>
              <w:t xml:space="preserve">本项目建设符合“三线一单”管理及相关环保规划要求，项目按建设项目“三同时”制度要求，逐一落实本报告提出的污染治理项目，并在运营过程中加强环保设施管理，保证各项污染物达标排放，则项目对周围环境影响不明显。 </w:t>
            </w:r>
          </w:p>
          <w:p w14:paraId="3664C659">
            <w:pPr>
              <w:widowControl/>
              <w:spacing w:line="360" w:lineRule="auto"/>
              <w:ind w:firstLine="600" w:firstLineChars="250"/>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rPr>
              <w:t>因此，从环境保护角度考虑，本项目的建设是合理、可行的。</w:t>
            </w:r>
          </w:p>
          <w:p w14:paraId="531A0A50">
            <w:pPr>
              <w:spacing w:line="360" w:lineRule="auto"/>
              <w:rPr>
                <w:rFonts w:hint="default" w:ascii="Times New Roman" w:hAnsi="Times New Roman" w:cs="Times New Roman"/>
                <w:color w:val="auto"/>
                <w:sz w:val="24"/>
                <w:highlight w:val="none"/>
              </w:rPr>
            </w:pPr>
          </w:p>
        </w:tc>
      </w:tr>
    </w:tbl>
    <w:p w14:paraId="158D1C66">
      <w:pPr>
        <w:rPr>
          <w:rFonts w:hint="default" w:ascii="Times New Roman" w:hAnsi="Times New Roman" w:cs="Times New Roman"/>
          <w:color w:val="auto"/>
          <w:highlight w:val="none"/>
        </w:rPr>
        <w:sectPr>
          <w:pgSz w:w="11906" w:h="16838"/>
          <w:pgMar w:top="1134" w:right="1134" w:bottom="1134" w:left="1134" w:header="851" w:footer="851" w:gutter="0"/>
          <w:cols w:space="720" w:num="1"/>
          <w:docGrid w:linePitch="312" w:charSpace="0"/>
        </w:sectPr>
      </w:pPr>
    </w:p>
    <w:p w14:paraId="61872CBA">
      <w:pPr>
        <w:pStyle w:val="23"/>
        <w:adjustRightInd w:val="0"/>
        <w:snapToGrid w:val="0"/>
        <w:spacing w:before="0" w:beforeAutospacing="0" w:after="0" w:afterAutospacing="0"/>
        <w:outlineLvl w:val="0"/>
        <w:rPr>
          <w:rFonts w:hint="default" w:ascii="Times New Roman" w:hAnsi="Times New Roman" w:eastAsia="黑体" w:cs="Times New Roman"/>
          <w:snapToGrid w:val="0"/>
          <w:color w:val="auto"/>
          <w:sz w:val="32"/>
          <w:szCs w:val="32"/>
          <w:highlight w:val="none"/>
        </w:rPr>
      </w:pPr>
      <w:r>
        <w:rPr>
          <w:rFonts w:hint="default" w:ascii="Times New Roman" w:hAnsi="Times New Roman" w:eastAsia="黑体" w:cs="Times New Roman"/>
          <w:snapToGrid w:val="0"/>
          <w:color w:val="auto"/>
          <w:sz w:val="32"/>
          <w:szCs w:val="32"/>
          <w:highlight w:val="none"/>
        </w:rPr>
        <w:t>附表</w:t>
      </w:r>
    </w:p>
    <w:p w14:paraId="19CBB3D7">
      <w:pPr>
        <w:pStyle w:val="23"/>
        <w:tabs>
          <w:tab w:val="center" w:pos="6948"/>
          <w:tab w:val="left" w:pos="12293"/>
        </w:tabs>
        <w:adjustRightInd w:val="0"/>
        <w:snapToGrid w:val="0"/>
        <w:spacing w:before="0" w:beforeAutospacing="0" w:after="0" w:afterAutospacing="0"/>
        <w:outlineLvl w:val="0"/>
        <w:rPr>
          <w:rFonts w:hint="default" w:ascii="Times New Roman" w:hAnsi="Times New Roman" w:cs="Times New Roman"/>
          <w:snapToGrid w:val="0"/>
          <w:color w:val="auto"/>
          <w:szCs w:val="24"/>
          <w:highlight w:val="none"/>
        </w:rPr>
      </w:pPr>
      <w:r>
        <w:rPr>
          <w:rFonts w:hint="default" w:ascii="Times New Roman" w:hAnsi="Times New Roman" w:eastAsia="方正小标宋_GBK" w:cs="Times New Roman"/>
          <w:snapToGrid w:val="0"/>
          <w:color w:val="auto"/>
          <w:sz w:val="38"/>
          <w:szCs w:val="38"/>
          <w:highlight w:val="none"/>
        </w:rPr>
        <w:tab/>
      </w:r>
      <w:r>
        <w:rPr>
          <w:rFonts w:hint="default" w:ascii="Times New Roman" w:hAnsi="Times New Roman" w:eastAsia="方正小标宋_GBK" w:cs="Times New Roman"/>
          <w:snapToGrid w:val="0"/>
          <w:color w:val="auto"/>
          <w:sz w:val="38"/>
          <w:szCs w:val="38"/>
          <w:highlight w:val="none"/>
        </w:rPr>
        <w:t>建设项目污染物排放量汇总表</w:t>
      </w:r>
    </w:p>
    <w:tbl>
      <w:tblPr>
        <w:tblStyle w:val="26"/>
        <w:tblW w:w="140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1708"/>
        <w:gridCol w:w="1469"/>
        <w:gridCol w:w="1350"/>
        <w:gridCol w:w="1470"/>
        <w:gridCol w:w="1605"/>
        <w:gridCol w:w="1620"/>
        <w:gridCol w:w="1785"/>
        <w:gridCol w:w="1782"/>
      </w:tblGrid>
      <w:tr w14:paraId="1BB526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297" w:type="dxa"/>
            <w:tcBorders>
              <w:tl2br w:val="single" w:color="auto" w:sz="4" w:space="0"/>
            </w:tcBorders>
            <w:tcMar>
              <w:left w:w="28" w:type="dxa"/>
              <w:right w:w="28" w:type="dxa"/>
            </w:tcMar>
            <w:vAlign w:val="center"/>
          </w:tcPr>
          <w:p w14:paraId="36BEF188">
            <w:pPr>
              <w:pStyle w:val="57"/>
              <w:spacing w:beforeLines="0" w:afterLines="0" w:line="240" w:lineRule="auto"/>
              <w:jc w:val="right"/>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项目</w:t>
            </w:r>
          </w:p>
          <w:p w14:paraId="5644D19C">
            <w:pPr>
              <w:pStyle w:val="57"/>
              <w:spacing w:beforeLines="0" w:afterLines="0" w:line="240" w:lineRule="auto"/>
              <w:ind w:left="0" w:leftChars="0" w:firstLine="0" w:firstLineChars="0"/>
              <w:jc w:val="left"/>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分类</w:t>
            </w:r>
          </w:p>
        </w:tc>
        <w:tc>
          <w:tcPr>
            <w:tcW w:w="1708" w:type="dxa"/>
            <w:tcMar>
              <w:left w:w="28" w:type="dxa"/>
              <w:right w:w="28" w:type="dxa"/>
            </w:tcMar>
            <w:vAlign w:val="center"/>
          </w:tcPr>
          <w:p w14:paraId="292A3A65">
            <w:pPr>
              <w:pStyle w:val="57"/>
              <w:spacing w:beforeLines="0" w:afterLines="0" w:line="240" w:lineRule="auto"/>
              <w:ind w:left="0" w:leftChars="0" w:firstLine="0" w:firstLineChars="0"/>
              <w:jc w:val="both"/>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污染物名称</w:t>
            </w:r>
          </w:p>
        </w:tc>
        <w:tc>
          <w:tcPr>
            <w:tcW w:w="1469" w:type="dxa"/>
            <w:tcMar>
              <w:left w:w="28" w:type="dxa"/>
              <w:right w:w="28" w:type="dxa"/>
            </w:tcMar>
            <w:vAlign w:val="center"/>
          </w:tcPr>
          <w:p w14:paraId="540EFDAC">
            <w:pPr>
              <w:pStyle w:val="57"/>
              <w:spacing w:beforeLines="0" w:afterLines="0" w:line="240" w:lineRule="auto"/>
              <w:ind w:left="0" w:leftChars="0" w:firstLine="0" w:firstLineChars="0"/>
              <w:jc w:val="center"/>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现有工程</w:t>
            </w:r>
          </w:p>
          <w:p w14:paraId="5E26862D">
            <w:pPr>
              <w:pStyle w:val="57"/>
              <w:spacing w:beforeLines="0" w:afterLines="0" w:line="240" w:lineRule="auto"/>
              <w:ind w:left="0" w:leftChars="0" w:firstLine="0" w:firstLineChars="0"/>
              <w:jc w:val="center"/>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排放量（固体废物产生量）</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2"/>
                <w:szCs w:val="21"/>
                <w:highlight w:val="none"/>
              </w:rPr>
              <w:t>①</w:t>
            </w:r>
            <w:r>
              <w:rPr>
                <w:rFonts w:hint="default" w:ascii="Times New Roman" w:hAnsi="Times New Roman" w:cs="Times New Roman"/>
                <w:snapToGrid w:val="0"/>
                <w:color w:val="auto"/>
                <w:spacing w:val="-6"/>
                <w:kern w:val="21"/>
                <w:szCs w:val="21"/>
                <w:highlight w:val="none"/>
              </w:rPr>
              <w:fldChar w:fldCharType="end"/>
            </w:r>
          </w:p>
        </w:tc>
        <w:tc>
          <w:tcPr>
            <w:tcW w:w="1350" w:type="dxa"/>
            <w:tcMar>
              <w:left w:w="28" w:type="dxa"/>
              <w:right w:w="28" w:type="dxa"/>
            </w:tcMar>
            <w:vAlign w:val="center"/>
          </w:tcPr>
          <w:p w14:paraId="06F64C42">
            <w:pPr>
              <w:pStyle w:val="57"/>
              <w:spacing w:beforeLines="0" w:afterLines="0" w:line="240" w:lineRule="auto"/>
              <w:ind w:left="0" w:leftChars="0" w:firstLine="0" w:firstLineChars="0"/>
              <w:jc w:val="center"/>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现有工程</w:t>
            </w:r>
          </w:p>
          <w:p w14:paraId="511A99B4">
            <w:pPr>
              <w:pStyle w:val="57"/>
              <w:spacing w:beforeLines="0" w:afterLines="0" w:line="240" w:lineRule="auto"/>
              <w:ind w:left="0" w:leftChars="0" w:firstLine="0" w:firstLineChars="0"/>
              <w:jc w:val="center"/>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许可排放量</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2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snapToGrid w:val="0"/>
                <w:color w:val="auto"/>
                <w:spacing w:val="-6"/>
                <w:kern w:val="21"/>
                <w:szCs w:val="21"/>
                <w:highlight w:val="none"/>
              </w:rPr>
              <w:t>②</w:t>
            </w:r>
            <w:r>
              <w:rPr>
                <w:rFonts w:hint="default" w:ascii="Times New Roman" w:hAnsi="Times New Roman" w:cs="Times New Roman"/>
                <w:snapToGrid w:val="0"/>
                <w:color w:val="auto"/>
                <w:spacing w:val="-6"/>
                <w:kern w:val="21"/>
                <w:szCs w:val="21"/>
                <w:highlight w:val="none"/>
              </w:rPr>
              <w:fldChar w:fldCharType="end"/>
            </w:r>
          </w:p>
        </w:tc>
        <w:tc>
          <w:tcPr>
            <w:tcW w:w="1470" w:type="dxa"/>
            <w:tcMar>
              <w:left w:w="28" w:type="dxa"/>
              <w:right w:w="28" w:type="dxa"/>
            </w:tcMar>
            <w:vAlign w:val="center"/>
          </w:tcPr>
          <w:p w14:paraId="04877AF7">
            <w:pPr>
              <w:pStyle w:val="57"/>
              <w:spacing w:beforeLines="0" w:afterLines="0" w:line="240" w:lineRule="auto"/>
              <w:ind w:left="0" w:leftChars="0" w:firstLine="0" w:firstLineChars="0"/>
              <w:jc w:val="center"/>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在建工程</w:t>
            </w:r>
          </w:p>
          <w:p w14:paraId="5C8510C6">
            <w:pPr>
              <w:pStyle w:val="57"/>
              <w:spacing w:beforeLines="0" w:afterLines="0" w:line="240" w:lineRule="auto"/>
              <w:ind w:left="0" w:leftChars="0" w:firstLine="0" w:firstLineChars="0"/>
              <w:jc w:val="center"/>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排放量（固体废物产生量）</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2"/>
                <w:szCs w:val="21"/>
                <w:highlight w:val="none"/>
              </w:rPr>
              <w:t>③</w:t>
            </w:r>
            <w:r>
              <w:rPr>
                <w:rFonts w:hint="default" w:ascii="Times New Roman" w:hAnsi="Times New Roman" w:cs="Times New Roman"/>
                <w:snapToGrid w:val="0"/>
                <w:color w:val="auto"/>
                <w:spacing w:val="-6"/>
                <w:kern w:val="21"/>
                <w:szCs w:val="21"/>
                <w:highlight w:val="none"/>
              </w:rPr>
              <w:fldChar w:fldCharType="end"/>
            </w:r>
          </w:p>
        </w:tc>
        <w:tc>
          <w:tcPr>
            <w:tcW w:w="1605" w:type="dxa"/>
            <w:tcMar>
              <w:left w:w="28" w:type="dxa"/>
              <w:right w:w="28" w:type="dxa"/>
            </w:tcMar>
            <w:vAlign w:val="center"/>
          </w:tcPr>
          <w:p w14:paraId="1B67AF72">
            <w:pPr>
              <w:pStyle w:val="57"/>
              <w:spacing w:beforeLines="0" w:afterLines="0" w:line="240" w:lineRule="auto"/>
              <w:ind w:left="0" w:leftChars="0" w:firstLine="0" w:firstLineChars="0"/>
              <w:jc w:val="both"/>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本项目排放量（固体废物产生量）</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2"/>
                <w:szCs w:val="21"/>
                <w:highlight w:val="none"/>
              </w:rPr>
              <w:t>④</w:t>
            </w:r>
            <w:r>
              <w:rPr>
                <w:rFonts w:hint="default" w:ascii="Times New Roman" w:hAnsi="Times New Roman" w:cs="Times New Roman"/>
                <w:snapToGrid w:val="0"/>
                <w:color w:val="auto"/>
                <w:spacing w:val="-6"/>
                <w:kern w:val="21"/>
                <w:szCs w:val="21"/>
                <w:highlight w:val="none"/>
              </w:rPr>
              <w:fldChar w:fldCharType="end"/>
            </w:r>
          </w:p>
        </w:tc>
        <w:tc>
          <w:tcPr>
            <w:tcW w:w="1620" w:type="dxa"/>
            <w:tcMar>
              <w:left w:w="28" w:type="dxa"/>
              <w:right w:w="28" w:type="dxa"/>
            </w:tcMar>
            <w:vAlign w:val="center"/>
          </w:tcPr>
          <w:p w14:paraId="73C27643">
            <w:pPr>
              <w:pStyle w:val="57"/>
              <w:spacing w:beforeLines="0" w:afterLines="0" w:line="240" w:lineRule="auto"/>
              <w:ind w:left="0" w:leftChars="0" w:firstLine="0" w:firstLineChars="0"/>
              <w:jc w:val="center"/>
              <w:rPr>
                <w:rFonts w:hint="default" w:ascii="Times New Roman" w:hAnsi="Times New Roman" w:cs="Times New Roman"/>
                <w:snapToGrid w:val="0"/>
                <w:color w:val="auto"/>
                <w:spacing w:val="-16"/>
                <w:kern w:val="21"/>
                <w:szCs w:val="21"/>
                <w:highlight w:val="none"/>
              </w:rPr>
            </w:pPr>
            <w:r>
              <w:rPr>
                <w:rFonts w:hint="default" w:ascii="Times New Roman" w:hAnsi="Times New Roman" w:cs="Times New Roman"/>
                <w:snapToGrid w:val="0"/>
                <w:color w:val="auto"/>
                <w:spacing w:val="-16"/>
                <w:kern w:val="21"/>
                <w:szCs w:val="21"/>
                <w:highlight w:val="none"/>
              </w:rPr>
              <w:t>以新带老削减量</w:t>
            </w:r>
          </w:p>
          <w:p w14:paraId="063FDDFB">
            <w:pPr>
              <w:pStyle w:val="57"/>
              <w:spacing w:beforeLines="0" w:afterLines="0" w:line="240" w:lineRule="auto"/>
              <w:ind w:left="0" w:leftChars="0" w:firstLine="0" w:firstLineChars="0"/>
              <w:jc w:val="center"/>
              <w:rPr>
                <w:rFonts w:hint="default" w:ascii="Times New Roman" w:hAnsi="Times New Roman" w:cs="Times New Roman"/>
                <w:snapToGrid w:val="0"/>
                <w:color w:val="auto"/>
                <w:spacing w:val="-16"/>
                <w:kern w:val="21"/>
                <w:szCs w:val="21"/>
                <w:highlight w:val="none"/>
              </w:rPr>
            </w:pPr>
            <w:r>
              <w:rPr>
                <w:rFonts w:hint="default" w:ascii="Times New Roman" w:hAnsi="Times New Roman" w:cs="Times New Roman"/>
                <w:snapToGrid w:val="0"/>
                <w:color w:val="auto"/>
                <w:spacing w:val="-16"/>
                <w:kern w:val="21"/>
                <w:szCs w:val="21"/>
                <w:highlight w:val="none"/>
              </w:rPr>
              <w:t>（新建项目不填）</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kern w:val="2"/>
                <w:szCs w:val="21"/>
                <w:highlight w:val="none"/>
              </w:rPr>
              <w:t>⑤</w:t>
            </w:r>
            <w:r>
              <w:rPr>
                <w:rFonts w:hint="default" w:ascii="Times New Roman" w:hAnsi="Times New Roman" w:cs="Times New Roman"/>
                <w:snapToGrid w:val="0"/>
                <w:color w:val="auto"/>
                <w:spacing w:val="-16"/>
                <w:kern w:val="21"/>
                <w:szCs w:val="21"/>
                <w:highlight w:val="none"/>
              </w:rPr>
              <w:fldChar w:fldCharType="end"/>
            </w:r>
          </w:p>
        </w:tc>
        <w:tc>
          <w:tcPr>
            <w:tcW w:w="1785" w:type="dxa"/>
            <w:tcMar>
              <w:left w:w="28" w:type="dxa"/>
              <w:right w:w="28" w:type="dxa"/>
            </w:tcMar>
            <w:vAlign w:val="center"/>
          </w:tcPr>
          <w:p w14:paraId="66A32E2B">
            <w:pPr>
              <w:pStyle w:val="57"/>
              <w:spacing w:beforeLines="0" w:afterLines="0" w:line="240" w:lineRule="auto"/>
              <w:ind w:left="0" w:leftChars="0" w:firstLine="0" w:firstLineChars="0"/>
              <w:jc w:val="center"/>
              <w:rPr>
                <w:rFonts w:hint="default" w:ascii="Times New Roman" w:hAnsi="Times New Roman" w:cs="Times New Roman"/>
                <w:snapToGrid w:val="0"/>
                <w:color w:val="auto"/>
                <w:spacing w:val="-16"/>
                <w:kern w:val="21"/>
                <w:szCs w:val="21"/>
                <w:highlight w:val="none"/>
              </w:rPr>
            </w:pPr>
            <w:r>
              <w:rPr>
                <w:rFonts w:hint="default" w:ascii="Times New Roman" w:hAnsi="Times New Roman" w:cs="Times New Roman"/>
                <w:snapToGrid w:val="0"/>
                <w:color w:val="auto"/>
                <w:spacing w:val="-16"/>
                <w:kern w:val="21"/>
                <w:szCs w:val="21"/>
                <w:highlight w:val="none"/>
              </w:rPr>
              <w:t>本项目建成后全厂排放量（固体废物产生量）</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kern w:val="2"/>
                <w:szCs w:val="21"/>
                <w:highlight w:val="none"/>
              </w:rPr>
              <w:t>⑥</w:t>
            </w:r>
            <w:r>
              <w:rPr>
                <w:rFonts w:hint="default" w:ascii="Times New Roman" w:hAnsi="Times New Roman" w:cs="Times New Roman"/>
                <w:snapToGrid w:val="0"/>
                <w:color w:val="auto"/>
                <w:spacing w:val="-16"/>
                <w:kern w:val="21"/>
                <w:szCs w:val="21"/>
                <w:highlight w:val="none"/>
              </w:rPr>
              <w:fldChar w:fldCharType="end"/>
            </w:r>
          </w:p>
        </w:tc>
        <w:tc>
          <w:tcPr>
            <w:tcW w:w="1782" w:type="dxa"/>
            <w:tcMar>
              <w:left w:w="28" w:type="dxa"/>
              <w:right w:w="28" w:type="dxa"/>
            </w:tcMar>
            <w:vAlign w:val="center"/>
          </w:tcPr>
          <w:p w14:paraId="2FF3168F">
            <w:pPr>
              <w:pStyle w:val="57"/>
              <w:spacing w:beforeLines="0" w:afterLines="0" w:line="240" w:lineRule="auto"/>
              <w:ind w:left="0" w:leftChars="0" w:firstLine="0" w:firstLineChars="0"/>
              <w:jc w:val="center"/>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spacing w:val="-6"/>
                <w:kern w:val="21"/>
                <w:szCs w:val="21"/>
                <w:highlight w:val="none"/>
              </w:rPr>
              <w:t>变化量</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2"/>
                <w:szCs w:val="21"/>
                <w:highlight w:val="none"/>
              </w:rPr>
              <w:t>⑦</w:t>
            </w:r>
            <w:r>
              <w:rPr>
                <w:rFonts w:hint="default" w:ascii="Times New Roman" w:hAnsi="Times New Roman" w:cs="Times New Roman"/>
                <w:snapToGrid w:val="0"/>
                <w:color w:val="auto"/>
                <w:spacing w:val="-6"/>
                <w:kern w:val="21"/>
                <w:szCs w:val="21"/>
                <w:highlight w:val="none"/>
              </w:rPr>
              <w:fldChar w:fldCharType="end"/>
            </w:r>
          </w:p>
        </w:tc>
      </w:tr>
      <w:tr w14:paraId="7AFCB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297" w:type="dxa"/>
            <w:vMerge w:val="restart"/>
            <w:vAlign w:val="center"/>
          </w:tcPr>
          <w:p w14:paraId="0F975DDC">
            <w:pPr>
              <w:pStyle w:val="57"/>
              <w:spacing w:beforeLines="0" w:afterLines="0" w:line="240" w:lineRule="auto"/>
              <w:ind w:left="0" w:leftChars="0" w:firstLine="0" w:firstLineChars="0"/>
              <w:jc w:val="both"/>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废气</w:t>
            </w:r>
          </w:p>
        </w:tc>
        <w:tc>
          <w:tcPr>
            <w:tcW w:w="1708" w:type="dxa"/>
            <w:vAlign w:val="center"/>
          </w:tcPr>
          <w:p w14:paraId="3CF867F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颗粒物</w:t>
            </w:r>
          </w:p>
        </w:tc>
        <w:tc>
          <w:tcPr>
            <w:tcW w:w="1469" w:type="dxa"/>
            <w:vAlign w:val="center"/>
          </w:tcPr>
          <w:p w14:paraId="20B91432">
            <w:pPr>
              <w:widowControl/>
              <w:adjustRightInd w:val="0"/>
              <w:snapToGrid w:val="0"/>
              <w:ind w:right="113"/>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spacing w:val="-10"/>
                <w:szCs w:val="21"/>
                <w:highlight w:val="none"/>
                <w:lang w:val="en-US" w:eastAsia="zh-CN"/>
              </w:rPr>
              <w:t>4.865</w:t>
            </w:r>
            <w:r>
              <w:rPr>
                <w:rFonts w:hint="default" w:ascii="Times New Roman" w:hAnsi="Times New Roman" w:cs="Times New Roman"/>
                <w:color w:val="auto"/>
                <w:kern w:val="0"/>
                <w:szCs w:val="21"/>
                <w:highlight w:val="none"/>
                <w:lang w:bidi="ar"/>
              </w:rPr>
              <w:t>t/a</w:t>
            </w:r>
          </w:p>
        </w:tc>
        <w:tc>
          <w:tcPr>
            <w:tcW w:w="1350" w:type="dxa"/>
            <w:shd w:val="clear" w:color="auto" w:fill="auto"/>
            <w:vAlign w:val="center"/>
          </w:tcPr>
          <w:p w14:paraId="7748951B">
            <w:pPr>
              <w:widowControl/>
              <w:adjustRightInd w:val="0"/>
              <w:snapToGrid w:val="0"/>
              <w:ind w:right="113"/>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368D2FEF">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0</w:t>
            </w:r>
          </w:p>
        </w:tc>
        <w:tc>
          <w:tcPr>
            <w:tcW w:w="1605" w:type="dxa"/>
            <w:vAlign w:val="center"/>
          </w:tcPr>
          <w:p w14:paraId="6174B8DE">
            <w:pPr>
              <w:widowControl/>
              <w:jc w:val="center"/>
              <w:textAlignment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lang w:eastAsia="zh-CN"/>
              </w:rPr>
              <w:t>0.243</w:t>
            </w:r>
            <w:r>
              <w:rPr>
                <w:rFonts w:hint="default" w:ascii="Times New Roman" w:hAnsi="Times New Roman" w:cs="Times New Roman"/>
                <w:color w:val="auto"/>
                <w:kern w:val="0"/>
                <w:szCs w:val="21"/>
                <w:highlight w:val="none"/>
                <w:lang w:bidi="ar"/>
              </w:rPr>
              <w:t>t/a</w:t>
            </w:r>
          </w:p>
        </w:tc>
        <w:tc>
          <w:tcPr>
            <w:tcW w:w="1620" w:type="dxa"/>
            <w:vAlign w:val="center"/>
          </w:tcPr>
          <w:p w14:paraId="55E4FCB5">
            <w:pPr>
              <w:keepNext w:val="0"/>
              <w:keepLines w:val="0"/>
              <w:widowControl/>
              <w:suppressLineNumbers w:val="0"/>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0.75</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4CBF8059">
            <w:pPr>
              <w:keepNext w:val="0"/>
              <w:keepLines w:val="0"/>
              <w:widowControl/>
              <w:suppressLineNumbers w:val="0"/>
              <w:jc w:val="center"/>
              <w:textAlignment w:val="center"/>
              <w:rPr>
                <w:rFonts w:hint="default" w:ascii="Times New Roman" w:hAnsi="Times New Roman" w:cs="Times New Roman"/>
                <w:bCs/>
                <w:color w:val="auto"/>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4.358</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69ABB2F1">
            <w:pPr>
              <w:keepNext w:val="0"/>
              <w:keepLines w:val="0"/>
              <w:widowControl/>
              <w:suppressLineNumbers w:val="0"/>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-0.507</w:t>
            </w:r>
            <w:r>
              <w:rPr>
                <w:rFonts w:hint="default" w:ascii="Times New Roman" w:hAnsi="Times New Roman" w:cs="Times New Roman"/>
                <w:bCs/>
                <w:color w:val="auto"/>
                <w:sz w:val="21"/>
                <w:szCs w:val="21"/>
                <w:highlight w:val="none"/>
                <w:lang w:val="en-US" w:eastAsia="zh-CN"/>
              </w:rPr>
              <w:t>t/a</w:t>
            </w:r>
          </w:p>
        </w:tc>
      </w:tr>
      <w:tr w14:paraId="6BB39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297" w:type="dxa"/>
            <w:vMerge w:val="continue"/>
            <w:vAlign w:val="center"/>
          </w:tcPr>
          <w:p w14:paraId="4BB3A960">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4675A41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挥发性有机物</w:t>
            </w:r>
          </w:p>
        </w:tc>
        <w:tc>
          <w:tcPr>
            <w:tcW w:w="1469" w:type="dxa"/>
            <w:vAlign w:val="center"/>
          </w:tcPr>
          <w:p w14:paraId="2A25B704">
            <w:pPr>
              <w:widowControl/>
              <w:adjustRightInd w:val="0"/>
              <w:snapToGrid w:val="0"/>
              <w:ind w:right="113"/>
              <w:jc w:val="center"/>
              <w:rPr>
                <w:rFonts w:hint="default" w:ascii="Times New Roman" w:hAnsi="Times New Roman" w:cs="Times New Roman"/>
                <w:bCs/>
                <w:color w:val="auto"/>
                <w:spacing w:val="-10"/>
                <w:szCs w:val="21"/>
                <w:highlight w:val="none"/>
              </w:rPr>
            </w:pPr>
            <w:r>
              <w:rPr>
                <w:rFonts w:hint="default" w:ascii="Times New Roman" w:hAnsi="Times New Roman" w:cs="Times New Roman"/>
                <w:bCs/>
                <w:color w:val="auto"/>
                <w:spacing w:val="-10"/>
                <w:szCs w:val="21"/>
                <w:highlight w:val="none"/>
                <w:lang w:val="en-US" w:eastAsia="zh-CN"/>
              </w:rPr>
              <w:t>1.768</w:t>
            </w:r>
            <w:r>
              <w:rPr>
                <w:rFonts w:hint="default" w:ascii="Times New Roman" w:hAnsi="Times New Roman" w:cs="Times New Roman"/>
                <w:bCs/>
                <w:color w:val="auto"/>
                <w:spacing w:val="-10"/>
                <w:szCs w:val="21"/>
                <w:highlight w:val="none"/>
              </w:rPr>
              <w:t>t/a</w:t>
            </w:r>
          </w:p>
        </w:tc>
        <w:tc>
          <w:tcPr>
            <w:tcW w:w="1350" w:type="dxa"/>
            <w:shd w:val="clear" w:color="auto" w:fill="auto"/>
            <w:vAlign w:val="center"/>
          </w:tcPr>
          <w:p w14:paraId="03EADD10">
            <w:pPr>
              <w:widowControl/>
              <w:adjustRightInd w:val="0"/>
              <w:snapToGrid w:val="0"/>
              <w:ind w:right="113"/>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shd w:val="clear" w:color="auto" w:fill="auto"/>
            <w:vAlign w:val="center"/>
          </w:tcPr>
          <w:p w14:paraId="642F62A9">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08E8E1E9">
            <w:pPr>
              <w:widowControl/>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0.</w:t>
            </w:r>
            <w:r>
              <w:rPr>
                <w:rFonts w:hint="default" w:ascii="Times New Roman" w:hAnsi="Times New Roman" w:cs="Times New Roman"/>
                <w:color w:val="auto"/>
                <w:szCs w:val="21"/>
                <w:highlight w:val="none"/>
                <w:lang w:val="en-US" w:eastAsia="zh-CN"/>
              </w:rPr>
              <w:t>343</w:t>
            </w:r>
            <w:r>
              <w:rPr>
                <w:rFonts w:hint="default" w:ascii="Times New Roman" w:hAnsi="Times New Roman" w:cs="Times New Roman"/>
                <w:color w:val="auto"/>
                <w:szCs w:val="21"/>
                <w:highlight w:val="none"/>
              </w:rPr>
              <w:t>t/a</w:t>
            </w:r>
          </w:p>
        </w:tc>
        <w:tc>
          <w:tcPr>
            <w:tcW w:w="1620" w:type="dxa"/>
            <w:vAlign w:val="center"/>
          </w:tcPr>
          <w:p w14:paraId="692F6C6D">
            <w:pPr>
              <w:keepNext w:val="0"/>
              <w:keepLines w:val="0"/>
              <w:widowControl/>
              <w:suppressLineNumbers w:val="0"/>
              <w:jc w:val="center"/>
              <w:textAlignment w:val="center"/>
              <w:rPr>
                <w:rFonts w:hint="default" w:ascii="Times New Roman" w:hAnsi="Times New Roman" w:eastAsia="宋体" w:cs="Times New Roman"/>
                <w:bCs/>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0.4665</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5B5F880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1.6445</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7AF387F4">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-0.1235</w:t>
            </w:r>
            <w:r>
              <w:rPr>
                <w:rFonts w:hint="default" w:ascii="Times New Roman" w:hAnsi="Times New Roman" w:cs="Times New Roman"/>
                <w:bCs/>
                <w:color w:val="auto"/>
                <w:sz w:val="21"/>
                <w:szCs w:val="21"/>
                <w:highlight w:val="none"/>
                <w:lang w:val="en-US" w:eastAsia="zh-CN"/>
              </w:rPr>
              <w:t>t/a</w:t>
            </w:r>
          </w:p>
        </w:tc>
      </w:tr>
      <w:tr w14:paraId="053768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297" w:type="dxa"/>
            <w:vMerge w:val="continue"/>
            <w:vAlign w:val="center"/>
          </w:tcPr>
          <w:p w14:paraId="2F2D1F7D">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218EB4E7">
            <w:pPr>
              <w:pStyle w:val="126"/>
              <w:spacing w:before="0" w:beforeLines="0" w:line="240" w:lineRule="auto"/>
              <w:ind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lang w:val="en-US" w:eastAsia="zh-CN"/>
              </w:rPr>
              <w:t>SO</w:t>
            </w:r>
            <w:r>
              <w:rPr>
                <w:rFonts w:hint="default" w:ascii="Times New Roman" w:hAnsi="Times New Roman" w:cs="Times New Roman"/>
                <w:color w:val="auto"/>
                <w:vertAlign w:val="subscript"/>
                <w:lang w:val="en-US" w:eastAsia="zh-CN"/>
              </w:rPr>
              <w:t>2</w:t>
            </w:r>
          </w:p>
        </w:tc>
        <w:tc>
          <w:tcPr>
            <w:tcW w:w="1469" w:type="dxa"/>
            <w:vAlign w:val="center"/>
          </w:tcPr>
          <w:p w14:paraId="51CA7B63">
            <w:pPr>
              <w:keepNext w:val="0"/>
              <w:keepLines w:val="0"/>
              <w:widowControl/>
              <w:suppressLineNumbers w:val="0"/>
              <w:jc w:val="center"/>
              <w:textAlignment w:val="center"/>
              <w:rPr>
                <w:rFonts w:hint="default" w:ascii="Times New Roman" w:hAnsi="Times New Roman" w:cs="Times New Roman"/>
                <w:bCs/>
                <w:color w:val="auto"/>
                <w:spacing w:val="-10"/>
                <w:szCs w:val="21"/>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0.001</w:t>
            </w:r>
            <w:r>
              <w:rPr>
                <w:rFonts w:hint="default" w:ascii="Times New Roman" w:hAnsi="Times New Roman" w:cs="Times New Roman"/>
                <w:bCs/>
                <w:color w:val="auto"/>
                <w:sz w:val="21"/>
                <w:szCs w:val="21"/>
                <w:highlight w:val="none"/>
                <w:lang w:val="en-US" w:eastAsia="zh-CN"/>
              </w:rPr>
              <w:t>t/a</w:t>
            </w:r>
          </w:p>
        </w:tc>
        <w:tc>
          <w:tcPr>
            <w:tcW w:w="1350" w:type="dxa"/>
            <w:shd w:val="clear" w:color="auto" w:fill="auto"/>
            <w:vAlign w:val="center"/>
          </w:tcPr>
          <w:p w14:paraId="0753744C">
            <w:pPr>
              <w:widowControl/>
              <w:adjustRightInd w:val="0"/>
              <w:snapToGrid w:val="0"/>
              <w:ind w:right="113"/>
              <w:jc w:val="center"/>
              <w:rPr>
                <w:rFonts w:hint="default" w:ascii="Times New Roman" w:hAnsi="Times New Roman" w:eastAsia="宋体" w:cs="Times New Roman"/>
                <w:bCs/>
                <w:color w:val="auto"/>
                <w:kern w:val="0"/>
                <w:szCs w:val="21"/>
                <w:highlight w:val="none"/>
                <w:lang w:val="en-US" w:eastAsia="zh-CN"/>
              </w:rPr>
            </w:pPr>
            <w:r>
              <w:rPr>
                <w:rFonts w:hint="default" w:ascii="Times New Roman" w:hAnsi="Times New Roman" w:cs="Times New Roman"/>
                <w:bCs/>
                <w:color w:val="auto"/>
                <w:kern w:val="0"/>
                <w:szCs w:val="21"/>
                <w:highlight w:val="none"/>
                <w:lang w:val="en-US" w:eastAsia="zh-CN"/>
              </w:rPr>
              <w:t>/</w:t>
            </w:r>
          </w:p>
        </w:tc>
        <w:tc>
          <w:tcPr>
            <w:tcW w:w="1470" w:type="dxa"/>
            <w:shd w:val="clear" w:color="auto" w:fill="auto"/>
            <w:vAlign w:val="center"/>
          </w:tcPr>
          <w:p w14:paraId="35463267">
            <w:pPr>
              <w:widowControl/>
              <w:jc w:val="center"/>
              <w:rPr>
                <w:rFonts w:hint="default" w:ascii="Times New Roman" w:hAnsi="Times New Roman" w:eastAsia="宋体" w:cs="Times New Roman"/>
                <w:bCs/>
                <w:color w:val="auto"/>
                <w:kern w:val="0"/>
                <w:szCs w:val="21"/>
                <w:highlight w:val="none"/>
                <w:lang w:val="en-US" w:eastAsia="zh-CN"/>
              </w:rPr>
            </w:pPr>
            <w:r>
              <w:rPr>
                <w:rFonts w:hint="default" w:ascii="Times New Roman" w:hAnsi="Times New Roman" w:cs="Times New Roman"/>
                <w:bCs/>
                <w:color w:val="auto"/>
                <w:kern w:val="0"/>
                <w:szCs w:val="21"/>
                <w:highlight w:val="none"/>
                <w:lang w:val="en-US" w:eastAsia="zh-CN"/>
              </w:rPr>
              <w:t>0</w:t>
            </w:r>
          </w:p>
        </w:tc>
        <w:tc>
          <w:tcPr>
            <w:tcW w:w="1605" w:type="dxa"/>
            <w:vAlign w:val="center"/>
          </w:tcPr>
          <w:p w14:paraId="706A200F">
            <w:pPr>
              <w:widowControl/>
              <w:jc w:val="center"/>
              <w:textAlignment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p>
        </w:tc>
        <w:tc>
          <w:tcPr>
            <w:tcW w:w="1620" w:type="dxa"/>
            <w:vAlign w:val="center"/>
          </w:tcPr>
          <w:p w14:paraId="1301243B">
            <w:pPr>
              <w:keepNext w:val="0"/>
              <w:keepLines w:val="0"/>
              <w:widowControl/>
              <w:suppressLineNumbers w:val="0"/>
              <w:jc w:val="center"/>
              <w:textAlignment w:val="center"/>
              <w:rPr>
                <w:rFonts w:hint="default" w:ascii="Times New Roman" w:hAnsi="Times New Roman" w:cs="Times New Roman"/>
                <w:bCs/>
                <w:color w:val="auto"/>
                <w:kern w:val="0"/>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42572C76">
            <w:pPr>
              <w:keepNext w:val="0"/>
              <w:keepLines w:val="0"/>
              <w:widowControl/>
              <w:suppressLineNumbers w:val="0"/>
              <w:jc w:val="center"/>
              <w:textAlignment w:val="center"/>
              <w:rPr>
                <w:rFonts w:hint="default" w:ascii="Times New Roman" w:hAnsi="Times New Roman" w:cs="Times New Roman"/>
                <w:color w:val="auto"/>
                <w:szCs w:val="21"/>
                <w:highlight w:val="none"/>
                <w:lang w:eastAsia="zh-CN"/>
              </w:rPr>
            </w:pPr>
            <w:r>
              <w:rPr>
                <w:rFonts w:hint="default" w:ascii="Times New Roman" w:hAnsi="Times New Roman" w:eastAsia="宋体" w:cs="Times New Roman"/>
                <w:i w:val="0"/>
                <w:iCs w:val="0"/>
                <w:color w:val="auto"/>
                <w:kern w:val="0"/>
                <w:sz w:val="21"/>
                <w:szCs w:val="21"/>
                <w:u w:val="none"/>
                <w:lang w:val="en-US" w:eastAsia="zh-CN" w:bidi="ar"/>
              </w:rPr>
              <w:t>0.001</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20F5245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00C07F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297" w:type="dxa"/>
            <w:vMerge w:val="continue"/>
            <w:vAlign w:val="center"/>
          </w:tcPr>
          <w:p w14:paraId="5FE0FE83">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04302830">
            <w:pPr>
              <w:pStyle w:val="126"/>
              <w:spacing w:before="0" w:beforeLines="0" w:line="240" w:lineRule="auto"/>
              <w:ind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lang w:val="en-US" w:eastAsia="zh-CN"/>
              </w:rPr>
              <w:t>NO</w:t>
            </w:r>
            <w:r>
              <w:rPr>
                <w:rFonts w:hint="default" w:ascii="Times New Roman" w:hAnsi="Times New Roman" w:cs="Times New Roman"/>
                <w:color w:val="auto"/>
                <w:vertAlign w:val="subscript"/>
                <w:lang w:val="en-US" w:eastAsia="zh-CN"/>
              </w:rPr>
              <w:t>X</w:t>
            </w:r>
          </w:p>
        </w:tc>
        <w:tc>
          <w:tcPr>
            <w:tcW w:w="1469" w:type="dxa"/>
            <w:vAlign w:val="center"/>
          </w:tcPr>
          <w:p w14:paraId="46446C6B">
            <w:pPr>
              <w:keepNext w:val="0"/>
              <w:keepLines w:val="0"/>
              <w:widowControl/>
              <w:suppressLineNumbers w:val="0"/>
              <w:jc w:val="center"/>
              <w:textAlignment w:val="center"/>
              <w:rPr>
                <w:rFonts w:hint="default" w:ascii="Times New Roman" w:hAnsi="Times New Roman" w:cs="Times New Roman"/>
                <w:bCs/>
                <w:color w:val="auto"/>
                <w:spacing w:val="-10"/>
                <w:szCs w:val="21"/>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0.063</w:t>
            </w:r>
            <w:r>
              <w:rPr>
                <w:rFonts w:hint="default" w:ascii="Times New Roman" w:hAnsi="Times New Roman" w:cs="Times New Roman"/>
                <w:bCs/>
                <w:color w:val="auto"/>
                <w:sz w:val="21"/>
                <w:szCs w:val="21"/>
                <w:highlight w:val="none"/>
                <w:lang w:val="en-US" w:eastAsia="zh-CN"/>
              </w:rPr>
              <w:t>t/a</w:t>
            </w:r>
          </w:p>
        </w:tc>
        <w:tc>
          <w:tcPr>
            <w:tcW w:w="1350" w:type="dxa"/>
            <w:shd w:val="clear" w:color="auto" w:fill="auto"/>
            <w:vAlign w:val="center"/>
          </w:tcPr>
          <w:p w14:paraId="235C2929">
            <w:pPr>
              <w:widowControl/>
              <w:adjustRightInd w:val="0"/>
              <w:snapToGrid w:val="0"/>
              <w:ind w:right="113"/>
              <w:jc w:val="center"/>
              <w:rPr>
                <w:rFonts w:hint="default" w:ascii="Times New Roman" w:hAnsi="Times New Roman" w:eastAsia="宋体" w:cs="Times New Roman"/>
                <w:bCs/>
                <w:color w:val="auto"/>
                <w:kern w:val="0"/>
                <w:szCs w:val="21"/>
                <w:highlight w:val="none"/>
                <w:lang w:val="en-US" w:eastAsia="zh-CN"/>
              </w:rPr>
            </w:pPr>
            <w:r>
              <w:rPr>
                <w:rFonts w:hint="default" w:ascii="Times New Roman" w:hAnsi="Times New Roman" w:cs="Times New Roman"/>
                <w:bCs/>
                <w:color w:val="auto"/>
                <w:kern w:val="0"/>
                <w:szCs w:val="21"/>
                <w:highlight w:val="none"/>
                <w:lang w:val="en-US" w:eastAsia="zh-CN"/>
              </w:rPr>
              <w:t>/</w:t>
            </w:r>
          </w:p>
        </w:tc>
        <w:tc>
          <w:tcPr>
            <w:tcW w:w="1470" w:type="dxa"/>
            <w:shd w:val="clear" w:color="auto" w:fill="auto"/>
            <w:vAlign w:val="center"/>
          </w:tcPr>
          <w:p w14:paraId="78898ECD">
            <w:pPr>
              <w:widowControl/>
              <w:jc w:val="center"/>
              <w:rPr>
                <w:rFonts w:hint="default" w:ascii="Times New Roman" w:hAnsi="Times New Roman" w:eastAsia="宋体" w:cs="Times New Roman"/>
                <w:bCs/>
                <w:color w:val="auto"/>
                <w:kern w:val="0"/>
                <w:szCs w:val="21"/>
                <w:highlight w:val="none"/>
                <w:lang w:val="en-US" w:eastAsia="zh-CN"/>
              </w:rPr>
            </w:pPr>
            <w:r>
              <w:rPr>
                <w:rFonts w:hint="default" w:ascii="Times New Roman" w:hAnsi="Times New Roman" w:cs="Times New Roman"/>
                <w:bCs/>
                <w:color w:val="auto"/>
                <w:kern w:val="0"/>
                <w:szCs w:val="21"/>
                <w:highlight w:val="none"/>
                <w:lang w:val="en-US" w:eastAsia="zh-CN"/>
              </w:rPr>
              <w:t>0</w:t>
            </w:r>
          </w:p>
        </w:tc>
        <w:tc>
          <w:tcPr>
            <w:tcW w:w="1605" w:type="dxa"/>
            <w:vAlign w:val="center"/>
          </w:tcPr>
          <w:p w14:paraId="414C9541">
            <w:pPr>
              <w:widowControl/>
              <w:jc w:val="center"/>
              <w:textAlignment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p>
        </w:tc>
        <w:tc>
          <w:tcPr>
            <w:tcW w:w="1620" w:type="dxa"/>
            <w:vAlign w:val="center"/>
          </w:tcPr>
          <w:p w14:paraId="6D306E35">
            <w:pPr>
              <w:keepNext w:val="0"/>
              <w:keepLines w:val="0"/>
              <w:widowControl/>
              <w:suppressLineNumbers w:val="0"/>
              <w:jc w:val="center"/>
              <w:textAlignment w:val="center"/>
              <w:rPr>
                <w:rFonts w:hint="default" w:ascii="Times New Roman" w:hAnsi="Times New Roman" w:cs="Times New Roman"/>
                <w:bCs/>
                <w:color w:val="auto"/>
                <w:kern w:val="0"/>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2D81D255">
            <w:pPr>
              <w:keepNext w:val="0"/>
              <w:keepLines w:val="0"/>
              <w:widowControl/>
              <w:suppressLineNumbers w:val="0"/>
              <w:jc w:val="center"/>
              <w:textAlignment w:val="center"/>
              <w:rPr>
                <w:rFonts w:hint="default" w:ascii="Times New Roman" w:hAnsi="Times New Roman" w:cs="Times New Roman"/>
                <w:color w:val="auto"/>
                <w:szCs w:val="21"/>
                <w:highlight w:val="none"/>
                <w:lang w:eastAsia="zh-CN"/>
              </w:rPr>
            </w:pPr>
            <w:r>
              <w:rPr>
                <w:rFonts w:hint="default" w:ascii="Times New Roman" w:hAnsi="Times New Roman" w:eastAsia="宋体" w:cs="Times New Roman"/>
                <w:i w:val="0"/>
                <w:iCs w:val="0"/>
                <w:color w:val="auto"/>
                <w:kern w:val="0"/>
                <w:sz w:val="21"/>
                <w:szCs w:val="21"/>
                <w:u w:val="none"/>
                <w:lang w:val="en-US" w:eastAsia="zh-CN" w:bidi="ar"/>
              </w:rPr>
              <w:t>0.063</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4281993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3C9145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restart"/>
            <w:vAlign w:val="center"/>
          </w:tcPr>
          <w:p w14:paraId="64298251">
            <w:pPr>
              <w:pStyle w:val="57"/>
              <w:spacing w:beforeLines="0" w:afterLines="0" w:line="240" w:lineRule="auto"/>
              <w:ind w:left="0" w:leftChars="0" w:firstLine="0" w:firstLineChars="0"/>
              <w:jc w:val="both"/>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废水</w:t>
            </w:r>
          </w:p>
        </w:tc>
        <w:tc>
          <w:tcPr>
            <w:tcW w:w="1708" w:type="dxa"/>
            <w:vAlign w:val="center"/>
          </w:tcPr>
          <w:p w14:paraId="2779540A">
            <w:pPr>
              <w:pStyle w:val="23"/>
              <w:spacing w:before="0" w:beforeAutospacing="0" w:after="0" w:afterAutospacing="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sz w:val="21"/>
                <w:szCs w:val="21"/>
                <w:highlight w:val="none"/>
              </w:rPr>
              <w:t>CODcr</w:t>
            </w:r>
          </w:p>
        </w:tc>
        <w:tc>
          <w:tcPr>
            <w:tcW w:w="1469" w:type="dxa"/>
            <w:vAlign w:val="center"/>
          </w:tcPr>
          <w:p w14:paraId="7499CBB6">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bCs/>
                <w:color w:val="auto"/>
                <w:szCs w:val="21"/>
                <w:highlight w:val="none"/>
              </w:rPr>
              <w:t>0.</w:t>
            </w:r>
            <w:r>
              <w:rPr>
                <w:rFonts w:hint="default" w:ascii="Times New Roman" w:hAnsi="Times New Roman" w:cs="Times New Roman"/>
                <w:bCs/>
                <w:color w:val="auto"/>
                <w:szCs w:val="21"/>
                <w:highlight w:val="none"/>
                <w:lang w:val="en-US" w:eastAsia="zh-CN"/>
              </w:rPr>
              <w:t>167</w:t>
            </w:r>
            <w:r>
              <w:rPr>
                <w:rFonts w:hint="default" w:ascii="Times New Roman" w:hAnsi="Times New Roman" w:cs="Times New Roman"/>
                <w:bCs/>
                <w:color w:val="auto"/>
                <w:szCs w:val="21"/>
                <w:highlight w:val="none"/>
              </w:rPr>
              <w:t>t/a</w:t>
            </w:r>
          </w:p>
        </w:tc>
        <w:tc>
          <w:tcPr>
            <w:tcW w:w="1350" w:type="dxa"/>
            <w:vAlign w:val="center"/>
          </w:tcPr>
          <w:p w14:paraId="4B28FB47">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bCs/>
                <w:color w:val="auto"/>
                <w:kern w:val="0"/>
                <w:szCs w:val="21"/>
                <w:highlight w:val="none"/>
              </w:rPr>
              <w:t>/</w:t>
            </w:r>
          </w:p>
        </w:tc>
        <w:tc>
          <w:tcPr>
            <w:tcW w:w="1470" w:type="dxa"/>
            <w:shd w:val="clear" w:color="auto" w:fill="auto"/>
            <w:vAlign w:val="center"/>
          </w:tcPr>
          <w:p w14:paraId="7E3CBDDD">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7B4CB6C6">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bCs/>
                <w:color w:val="auto"/>
                <w:kern w:val="0"/>
                <w:szCs w:val="21"/>
                <w:highlight w:val="none"/>
              </w:rPr>
              <w:t>0</w:t>
            </w:r>
          </w:p>
        </w:tc>
        <w:tc>
          <w:tcPr>
            <w:tcW w:w="1620" w:type="dxa"/>
            <w:vAlign w:val="center"/>
          </w:tcPr>
          <w:p w14:paraId="490CD4EC">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0.003</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0C51397B">
            <w:pPr>
              <w:keepNext w:val="0"/>
              <w:keepLines w:val="0"/>
              <w:widowControl/>
              <w:suppressLineNumbers w:val="0"/>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0.164</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2316CBB3">
            <w:pPr>
              <w:keepNext w:val="0"/>
              <w:keepLines w:val="0"/>
              <w:widowControl/>
              <w:suppressLineNumbers w:val="0"/>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-0.003</w:t>
            </w:r>
            <w:r>
              <w:rPr>
                <w:rFonts w:hint="default" w:ascii="Times New Roman" w:hAnsi="Times New Roman" w:cs="Times New Roman"/>
                <w:bCs/>
                <w:color w:val="auto"/>
                <w:sz w:val="21"/>
                <w:szCs w:val="21"/>
                <w:highlight w:val="none"/>
                <w:lang w:val="en-US" w:eastAsia="zh-CN"/>
              </w:rPr>
              <w:t>t/a</w:t>
            </w:r>
          </w:p>
        </w:tc>
      </w:tr>
      <w:tr w14:paraId="00A9F4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2C1E77CC">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27E68861">
            <w:pPr>
              <w:pStyle w:val="23"/>
              <w:spacing w:before="0" w:beforeAutospacing="0" w:after="0" w:afterAutospacing="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sz w:val="21"/>
                <w:szCs w:val="21"/>
                <w:highlight w:val="none"/>
              </w:rPr>
              <w:t>NH</w:t>
            </w:r>
            <w:r>
              <w:rPr>
                <w:rFonts w:hint="default" w:ascii="Times New Roman" w:hAnsi="Times New Roman" w:cs="Times New Roman"/>
                <w:color w:val="auto"/>
                <w:sz w:val="21"/>
                <w:szCs w:val="21"/>
                <w:highlight w:val="none"/>
                <w:vertAlign w:val="subscript"/>
              </w:rPr>
              <w:t>3</w:t>
            </w:r>
            <w:r>
              <w:rPr>
                <w:rFonts w:hint="default" w:ascii="Times New Roman" w:hAnsi="Times New Roman" w:cs="Times New Roman"/>
                <w:color w:val="auto"/>
                <w:sz w:val="21"/>
                <w:szCs w:val="21"/>
                <w:highlight w:val="none"/>
              </w:rPr>
              <w:t>-N</w:t>
            </w:r>
          </w:p>
        </w:tc>
        <w:tc>
          <w:tcPr>
            <w:tcW w:w="1469" w:type="dxa"/>
            <w:vAlign w:val="center"/>
          </w:tcPr>
          <w:p w14:paraId="520ABEB7">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bCs/>
                <w:color w:val="auto"/>
                <w:szCs w:val="21"/>
                <w:highlight w:val="none"/>
              </w:rPr>
              <w:t>0.00</w:t>
            </w:r>
            <w:r>
              <w:rPr>
                <w:rFonts w:hint="default" w:ascii="Times New Roman" w:hAnsi="Times New Roman" w:cs="Times New Roman"/>
                <w:bCs/>
                <w:color w:val="auto"/>
                <w:szCs w:val="21"/>
                <w:highlight w:val="none"/>
                <w:lang w:val="en-US" w:eastAsia="zh-CN"/>
              </w:rPr>
              <w:t>8</w:t>
            </w:r>
            <w:r>
              <w:rPr>
                <w:rFonts w:hint="default" w:ascii="Times New Roman" w:hAnsi="Times New Roman" w:cs="Times New Roman"/>
                <w:bCs/>
                <w:color w:val="auto"/>
                <w:szCs w:val="21"/>
                <w:highlight w:val="none"/>
              </w:rPr>
              <w:t>t/a</w:t>
            </w:r>
          </w:p>
        </w:tc>
        <w:tc>
          <w:tcPr>
            <w:tcW w:w="1350" w:type="dxa"/>
            <w:vAlign w:val="center"/>
          </w:tcPr>
          <w:p w14:paraId="01434548">
            <w:pPr>
              <w:widowControl/>
              <w:adjustRightInd w:val="0"/>
              <w:snapToGrid w:val="0"/>
              <w:ind w:right="113" w:rightChars="0"/>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0CC5839F">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1057218A">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cs="Times New Roman"/>
                <w:bCs/>
                <w:color w:val="auto"/>
                <w:kern w:val="0"/>
                <w:szCs w:val="21"/>
                <w:highlight w:val="none"/>
              </w:rPr>
              <w:t>0</w:t>
            </w:r>
          </w:p>
        </w:tc>
        <w:tc>
          <w:tcPr>
            <w:tcW w:w="1620" w:type="dxa"/>
            <w:vAlign w:val="center"/>
          </w:tcPr>
          <w:p w14:paraId="79AE61A4">
            <w:pPr>
              <w:widowControl/>
              <w:jc w:val="center"/>
              <w:rPr>
                <w:rFonts w:hint="default" w:ascii="Times New Roman" w:hAnsi="Times New Roman" w:cs="Times New Roman"/>
                <w:snapToGrid w:val="0"/>
                <w:color w:val="auto"/>
                <w:kern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0.0002</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31E4C31B">
            <w:pPr>
              <w:keepNext w:val="0"/>
              <w:keepLines w:val="0"/>
              <w:widowControl/>
              <w:suppressLineNumbers w:val="0"/>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0.0078</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301DC20B">
            <w:pPr>
              <w:keepNext w:val="0"/>
              <w:keepLines w:val="0"/>
              <w:widowControl/>
              <w:suppressLineNumbers w:val="0"/>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-0.0002</w:t>
            </w:r>
            <w:r>
              <w:rPr>
                <w:rFonts w:hint="default" w:ascii="Times New Roman" w:hAnsi="Times New Roman" w:cs="Times New Roman"/>
                <w:bCs/>
                <w:color w:val="auto"/>
                <w:sz w:val="21"/>
                <w:szCs w:val="21"/>
                <w:highlight w:val="none"/>
                <w:lang w:val="en-US" w:eastAsia="zh-CN"/>
              </w:rPr>
              <w:t>t/a</w:t>
            </w:r>
          </w:p>
        </w:tc>
      </w:tr>
      <w:tr w14:paraId="115A74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restart"/>
            <w:vAlign w:val="center"/>
          </w:tcPr>
          <w:p w14:paraId="131C0157">
            <w:pPr>
              <w:pStyle w:val="57"/>
              <w:spacing w:beforeLines="0" w:afterLines="0" w:line="240" w:lineRule="auto"/>
              <w:ind w:left="0" w:leftChars="0" w:firstLine="0" w:firstLineChars="0"/>
              <w:jc w:val="both"/>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一般工业</w:t>
            </w:r>
          </w:p>
          <w:p w14:paraId="346C2972">
            <w:pPr>
              <w:pStyle w:val="57"/>
              <w:spacing w:beforeLines="0" w:afterLines="0" w:line="240" w:lineRule="auto"/>
              <w:ind w:left="0" w:leftChars="0" w:firstLine="0" w:firstLineChars="0"/>
              <w:jc w:val="both"/>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固体废物</w:t>
            </w:r>
          </w:p>
        </w:tc>
        <w:tc>
          <w:tcPr>
            <w:tcW w:w="1708" w:type="dxa"/>
            <w:vAlign w:val="center"/>
          </w:tcPr>
          <w:p w14:paraId="347EBA4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中频炉渣</w:t>
            </w:r>
          </w:p>
        </w:tc>
        <w:tc>
          <w:tcPr>
            <w:tcW w:w="1469" w:type="dxa"/>
            <w:vAlign w:val="center"/>
          </w:tcPr>
          <w:p w14:paraId="7CBD9018">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180.36</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0F4DDDCC">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39429AB9">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4B368D36">
            <w:pPr>
              <w:jc w:val="center"/>
              <w:rPr>
                <w:rFonts w:hint="default" w:ascii="Times New Roman" w:hAnsi="Times New Roman" w:cs="Times New Roman"/>
                <w:color w:val="auto"/>
                <w:szCs w:val="21"/>
                <w:highlight w:val="none"/>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06D440F0">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20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17CBF56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160.36</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06915AF1">
            <w:pPr>
              <w:keepNext w:val="0"/>
              <w:keepLines w:val="0"/>
              <w:widowControl/>
              <w:suppressLineNumbers w:val="0"/>
              <w:jc w:val="center"/>
              <w:textAlignment w:val="center"/>
              <w:rPr>
                <w:rFonts w:hint="default" w:ascii="Times New Roman" w:hAnsi="Times New Roman" w:cs="Times New Roman"/>
                <w:snapToGrid w:val="0"/>
                <w:color w:val="auto"/>
                <w:kern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-20</w:t>
            </w:r>
            <w:r>
              <w:rPr>
                <w:rFonts w:hint="default" w:ascii="Times New Roman" w:hAnsi="Times New Roman" w:cs="Times New Roman"/>
                <w:bCs/>
                <w:color w:val="auto"/>
                <w:sz w:val="21"/>
                <w:szCs w:val="21"/>
                <w:highlight w:val="none"/>
                <w:lang w:val="en-US" w:eastAsia="zh-CN"/>
              </w:rPr>
              <w:t>t/a</w:t>
            </w:r>
          </w:p>
        </w:tc>
      </w:tr>
      <w:tr w14:paraId="72FB45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563C6DEA">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6751974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lang w:val="en-US" w:eastAsia="zh-CN"/>
              </w:rPr>
              <w:t>除尘收集的粉尘</w:t>
            </w:r>
          </w:p>
        </w:tc>
        <w:tc>
          <w:tcPr>
            <w:tcW w:w="1469" w:type="dxa"/>
            <w:vAlign w:val="center"/>
          </w:tcPr>
          <w:p w14:paraId="40246C0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744.32</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505068EF">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37D67B5B">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3A47266E">
            <w:pPr>
              <w:jc w:val="center"/>
              <w:rPr>
                <w:rFonts w:hint="default" w:ascii="Times New Roman" w:hAnsi="Times New Roman" w:cs="Times New Roman"/>
                <w:color w:val="auto"/>
                <w:szCs w:val="21"/>
                <w:highlight w:val="none"/>
              </w:rPr>
            </w:pPr>
            <w:r>
              <w:rPr>
                <w:rFonts w:hint="default" w:ascii="Times New Roman" w:hAnsi="Times New Roman" w:cs="Times New Roman"/>
                <w:color w:val="auto"/>
                <w:lang w:val="en-US" w:eastAsia="zh-CN"/>
              </w:rPr>
              <w:t>0.37</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569A11AB">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highlight w:val="none"/>
                <w:lang w:val="en-US" w:eastAsia="zh-CN"/>
              </w:rPr>
              <w:t>129.65</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6FA4A070">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615.04</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19ABE84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-129.28</w:t>
            </w:r>
            <w:r>
              <w:rPr>
                <w:rFonts w:hint="default" w:ascii="Times New Roman" w:hAnsi="Times New Roman" w:cs="Times New Roman"/>
                <w:bCs/>
                <w:color w:val="auto"/>
                <w:sz w:val="21"/>
                <w:szCs w:val="21"/>
                <w:highlight w:val="none"/>
                <w:lang w:val="en-US" w:eastAsia="zh-CN"/>
              </w:rPr>
              <w:t>t/a</w:t>
            </w:r>
          </w:p>
        </w:tc>
      </w:tr>
      <w:tr w14:paraId="38FD05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2CAA4CA3">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1C4AD07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lang w:val="en-US" w:eastAsia="zh-CN"/>
              </w:rPr>
              <w:t>废砂</w:t>
            </w:r>
          </w:p>
        </w:tc>
        <w:tc>
          <w:tcPr>
            <w:tcW w:w="1469" w:type="dxa"/>
            <w:vAlign w:val="center"/>
          </w:tcPr>
          <w:p w14:paraId="7D2C81D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lang w:val="en-US" w:eastAsia="zh-CN"/>
              </w:rPr>
              <w:t>14.8</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2F7D93FC">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7FA2E8A9">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27C48B7D">
            <w:pPr>
              <w:jc w:val="center"/>
              <w:rPr>
                <w:rFonts w:hint="default" w:ascii="Times New Roman" w:hAnsi="Times New Roman" w:cs="Times New Roman"/>
                <w:color w:val="auto"/>
                <w:szCs w:val="21"/>
                <w:highlight w:val="none"/>
              </w:rPr>
            </w:pPr>
            <w:r>
              <w:rPr>
                <w:rFonts w:hint="default" w:ascii="Times New Roman" w:hAnsi="Times New Roman" w:eastAsia="宋体"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3A280A0F">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1</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2D16BE8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13.8</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5C9771F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-1</w:t>
            </w:r>
            <w:r>
              <w:rPr>
                <w:rFonts w:hint="default" w:ascii="Times New Roman" w:hAnsi="Times New Roman" w:cs="Times New Roman"/>
                <w:bCs/>
                <w:color w:val="auto"/>
                <w:sz w:val="21"/>
                <w:szCs w:val="21"/>
                <w:highlight w:val="none"/>
                <w:lang w:val="en-US" w:eastAsia="zh-CN"/>
              </w:rPr>
              <w:t>t/a</w:t>
            </w:r>
          </w:p>
        </w:tc>
      </w:tr>
      <w:tr w14:paraId="46B6BA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5DC02CC3">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308228F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残次品和废</w:t>
            </w:r>
            <w:r>
              <w:rPr>
                <w:rFonts w:hint="default" w:ascii="Times New Roman" w:hAnsi="Times New Roman" w:cs="Times New Roman"/>
                <w:color w:val="auto"/>
                <w:sz w:val="21"/>
                <w:szCs w:val="21"/>
                <w:highlight w:val="none"/>
              </w:rPr>
              <w:t>边角料</w:t>
            </w:r>
          </w:p>
        </w:tc>
        <w:tc>
          <w:tcPr>
            <w:tcW w:w="1469" w:type="dxa"/>
            <w:vAlign w:val="center"/>
          </w:tcPr>
          <w:p w14:paraId="0C6AED7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lang w:val="en-US" w:eastAsia="zh-CN"/>
              </w:rPr>
              <w:t>360</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7D25B91C">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2B3B6C2C">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21B1975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3507F01F">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40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0C93B759">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320</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19ED7BE5">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-40</w:t>
            </w:r>
            <w:r>
              <w:rPr>
                <w:rFonts w:hint="default" w:ascii="Times New Roman" w:hAnsi="Times New Roman" w:cs="Times New Roman"/>
                <w:bCs/>
                <w:color w:val="auto"/>
                <w:sz w:val="21"/>
                <w:szCs w:val="21"/>
                <w:highlight w:val="none"/>
                <w:lang w:val="en-US" w:eastAsia="zh-CN"/>
              </w:rPr>
              <w:t>t/a</w:t>
            </w:r>
          </w:p>
        </w:tc>
      </w:tr>
      <w:tr w14:paraId="0E0165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706020D8">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0D725D6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lang w:val="en-US" w:eastAsia="zh-CN"/>
              </w:rPr>
              <w:t>废泡沫</w:t>
            </w:r>
          </w:p>
        </w:tc>
        <w:tc>
          <w:tcPr>
            <w:tcW w:w="1469" w:type="dxa"/>
            <w:vAlign w:val="center"/>
          </w:tcPr>
          <w:p w14:paraId="5CA0DB2D">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0.25</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67C4A1A3">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15D2F67F">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7936648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78C27B64">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0EBB7A46">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0.25</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4DD28B76">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11322C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4FA9AE35">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34DAC9E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lang w:val="en-US" w:eastAsia="zh-CN"/>
              </w:rPr>
              <w:t>废石蜡</w:t>
            </w:r>
          </w:p>
        </w:tc>
        <w:tc>
          <w:tcPr>
            <w:tcW w:w="1469" w:type="dxa"/>
            <w:vAlign w:val="center"/>
          </w:tcPr>
          <w:p w14:paraId="21B03320">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0.5</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0DC7EAD3">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68BD000F">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61C656C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42C5975F">
            <w:pPr>
              <w:jc w:val="both"/>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299854E0">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0.5</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23BA2A05">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r w14:paraId="5C8A3D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restart"/>
            <w:vAlign w:val="center"/>
          </w:tcPr>
          <w:p w14:paraId="6B146D69">
            <w:pPr>
              <w:pStyle w:val="57"/>
              <w:spacing w:beforeLines="0" w:afterLines="0" w:line="240" w:lineRule="auto"/>
              <w:ind w:left="0" w:leftChars="0" w:firstLine="0" w:firstLineChars="0"/>
              <w:jc w:val="both"/>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危险废物</w:t>
            </w:r>
          </w:p>
        </w:tc>
        <w:tc>
          <w:tcPr>
            <w:tcW w:w="1708" w:type="dxa"/>
            <w:vAlign w:val="center"/>
          </w:tcPr>
          <w:p w14:paraId="09B6438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rPr>
              <w:t>废活性炭</w:t>
            </w:r>
            <w:r>
              <w:rPr>
                <w:rFonts w:hint="default" w:ascii="Times New Roman" w:hAnsi="Times New Roman" w:cs="Times New Roman"/>
                <w:color w:val="auto"/>
                <w:sz w:val="21"/>
                <w:szCs w:val="21"/>
                <w:lang w:val="en-US" w:eastAsia="zh-CN"/>
              </w:rPr>
              <w:t>及其吸附物</w:t>
            </w:r>
          </w:p>
        </w:tc>
        <w:tc>
          <w:tcPr>
            <w:tcW w:w="1469" w:type="dxa"/>
            <w:vAlign w:val="center"/>
          </w:tcPr>
          <w:p w14:paraId="3048E7DC">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4.3</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77F3B2A4">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5B1947F8">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73EAE1D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lang w:val="en-US" w:eastAsia="zh-CN"/>
              </w:rPr>
              <w:t>5.582</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14E5D7E9">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5098B61F">
            <w:pPr>
              <w:keepNext w:val="0"/>
              <w:keepLines w:val="0"/>
              <w:widowControl/>
              <w:suppressLineNumbers w:val="0"/>
              <w:jc w:val="center"/>
              <w:textAlignment w:val="center"/>
              <w:rPr>
                <w:rFonts w:hint="default" w:ascii="Times New Roman" w:hAnsi="Times New Roman" w:cs="Times New Roman"/>
                <w:color w:val="auto"/>
                <w:sz w:val="21"/>
                <w:szCs w:val="21"/>
                <w:highlight w:val="none"/>
                <w:lang w:bidi="ar"/>
              </w:rPr>
            </w:pPr>
            <w:r>
              <w:rPr>
                <w:rFonts w:hint="default" w:ascii="Times New Roman" w:hAnsi="Times New Roman" w:eastAsia="宋体" w:cs="Times New Roman"/>
                <w:i w:val="0"/>
                <w:iCs w:val="0"/>
                <w:color w:val="auto"/>
                <w:kern w:val="0"/>
                <w:sz w:val="21"/>
                <w:szCs w:val="21"/>
                <w:u w:val="none"/>
                <w:lang w:val="en-US" w:eastAsia="zh-CN" w:bidi="ar"/>
              </w:rPr>
              <w:t>9.882</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0D8FB11C">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5.582</w:t>
            </w:r>
            <w:r>
              <w:rPr>
                <w:rFonts w:hint="default" w:ascii="Times New Roman" w:hAnsi="Times New Roman" w:cs="Times New Roman"/>
                <w:bCs/>
                <w:color w:val="auto"/>
                <w:sz w:val="21"/>
                <w:szCs w:val="21"/>
                <w:highlight w:val="none"/>
                <w:lang w:val="en-US" w:eastAsia="zh-CN"/>
              </w:rPr>
              <w:t>t/a</w:t>
            </w:r>
          </w:p>
        </w:tc>
      </w:tr>
      <w:tr w14:paraId="0D67E6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3E698918">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71BD433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Cs w:val="21"/>
                <w:highlight w:val="none"/>
              </w:rPr>
              <w:t>废漆渣</w:t>
            </w:r>
          </w:p>
        </w:tc>
        <w:tc>
          <w:tcPr>
            <w:tcW w:w="1469" w:type="dxa"/>
            <w:vAlign w:val="center"/>
          </w:tcPr>
          <w:p w14:paraId="04C9A673">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4703463F">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63AAA8C4">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251944C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lang w:val="en-US" w:eastAsia="zh-CN"/>
              </w:rPr>
              <w:t>1.129</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5570CE33">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63A36C0B">
            <w:pPr>
              <w:keepNext w:val="0"/>
              <w:keepLines w:val="0"/>
              <w:widowControl/>
              <w:suppressLineNumbers w:val="0"/>
              <w:jc w:val="center"/>
              <w:textAlignment w:val="center"/>
              <w:rPr>
                <w:rFonts w:hint="default" w:ascii="Times New Roman" w:hAnsi="Times New Roman" w:cs="Times New Roman"/>
                <w:color w:val="auto"/>
                <w:sz w:val="21"/>
                <w:szCs w:val="21"/>
                <w:highlight w:val="none"/>
                <w:lang w:bidi="ar"/>
              </w:rPr>
            </w:pPr>
            <w:r>
              <w:rPr>
                <w:rFonts w:hint="default" w:ascii="Times New Roman" w:hAnsi="Times New Roman" w:eastAsia="宋体" w:cs="Times New Roman"/>
                <w:i w:val="0"/>
                <w:iCs w:val="0"/>
                <w:color w:val="auto"/>
                <w:kern w:val="0"/>
                <w:sz w:val="21"/>
                <w:szCs w:val="21"/>
                <w:u w:val="none"/>
                <w:lang w:val="en-US" w:eastAsia="zh-CN" w:bidi="ar"/>
              </w:rPr>
              <w:t>1.129</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0F74C2F5">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1.129</w:t>
            </w:r>
            <w:r>
              <w:rPr>
                <w:rFonts w:hint="default" w:ascii="Times New Roman" w:hAnsi="Times New Roman" w:cs="Times New Roman"/>
                <w:bCs/>
                <w:color w:val="auto"/>
                <w:sz w:val="21"/>
                <w:szCs w:val="21"/>
                <w:highlight w:val="none"/>
                <w:lang w:val="en-US" w:eastAsia="zh-CN"/>
              </w:rPr>
              <w:t>t/a</w:t>
            </w:r>
          </w:p>
        </w:tc>
      </w:tr>
      <w:tr w14:paraId="6E9268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65F45182">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68E7DA0A">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粉末喷涂废滤芯</w:t>
            </w:r>
          </w:p>
        </w:tc>
        <w:tc>
          <w:tcPr>
            <w:tcW w:w="1469" w:type="dxa"/>
            <w:vAlign w:val="center"/>
          </w:tcPr>
          <w:p w14:paraId="21A4AE77">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45C5D63C">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51B88ED1">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304BCBA8">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0.023</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66D0BCCD">
            <w:pPr>
              <w:jc w:val="both"/>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70E7FD54">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0.023</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0EEE7F32">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0.023</w:t>
            </w:r>
            <w:r>
              <w:rPr>
                <w:rFonts w:hint="default" w:ascii="Times New Roman" w:hAnsi="Times New Roman" w:cs="Times New Roman"/>
                <w:bCs/>
                <w:color w:val="auto"/>
                <w:sz w:val="21"/>
                <w:szCs w:val="21"/>
                <w:highlight w:val="none"/>
                <w:lang w:val="en-US" w:eastAsia="zh-CN"/>
              </w:rPr>
              <w:t>t/a</w:t>
            </w:r>
          </w:p>
        </w:tc>
      </w:tr>
      <w:tr w14:paraId="51EFB2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01BCC71D">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422F48ED">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废喷粉</w:t>
            </w:r>
          </w:p>
        </w:tc>
        <w:tc>
          <w:tcPr>
            <w:tcW w:w="1469" w:type="dxa"/>
            <w:vAlign w:val="center"/>
          </w:tcPr>
          <w:p w14:paraId="2B0D7814">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3EC468CA">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0FF4D8D7">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3F2F6036">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0.179</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178AC2A0">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415920C8">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0.179</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134B7C64">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0.179</w:t>
            </w:r>
            <w:r>
              <w:rPr>
                <w:rFonts w:hint="default" w:ascii="Times New Roman" w:hAnsi="Times New Roman" w:cs="Times New Roman"/>
                <w:bCs/>
                <w:color w:val="auto"/>
                <w:sz w:val="21"/>
                <w:szCs w:val="21"/>
                <w:highlight w:val="none"/>
                <w:lang w:val="en-US" w:eastAsia="zh-CN"/>
              </w:rPr>
              <w:t>t/a</w:t>
            </w:r>
          </w:p>
        </w:tc>
      </w:tr>
      <w:tr w14:paraId="7BD5B6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73A8CF27">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2E200AD9">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废原料桶</w:t>
            </w:r>
          </w:p>
        </w:tc>
        <w:tc>
          <w:tcPr>
            <w:tcW w:w="1469" w:type="dxa"/>
            <w:vAlign w:val="center"/>
          </w:tcPr>
          <w:p w14:paraId="1E4CEE17">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350" w:type="dxa"/>
            <w:vAlign w:val="center"/>
          </w:tcPr>
          <w:p w14:paraId="0856B83C">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01E67B0A">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020AECAD">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0.257</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78266B9C">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74FB2A70">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0.257</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6297FD1A">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0.257</w:t>
            </w:r>
            <w:r>
              <w:rPr>
                <w:rFonts w:hint="default" w:ascii="Times New Roman" w:hAnsi="Times New Roman" w:cs="Times New Roman"/>
                <w:bCs/>
                <w:color w:val="auto"/>
                <w:sz w:val="21"/>
                <w:szCs w:val="21"/>
                <w:highlight w:val="none"/>
                <w:lang w:val="en-US" w:eastAsia="zh-CN"/>
              </w:rPr>
              <w:t>t/a</w:t>
            </w:r>
          </w:p>
        </w:tc>
      </w:tr>
      <w:tr w14:paraId="0ACCA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50C231E1">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450056C9">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水帘柜废水</w:t>
            </w:r>
          </w:p>
        </w:tc>
        <w:tc>
          <w:tcPr>
            <w:tcW w:w="1469" w:type="dxa"/>
            <w:vAlign w:val="center"/>
          </w:tcPr>
          <w:p w14:paraId="390E32E3">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350" w:type="dxa"/>
            <w:shd w:val="clear" w:color="auto" w:fill="auto"/>
            <w:vAlign w:val="center"/>
          </w:tcPr>
          <w:p w14:paraId="70C30E72">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060E1F68">
            <w:pPr>
              <w:widowControl/>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0</w:t>
            </w:r>
          </w:p>
        </w:tc>
        <w:tc>
          <w:tcPr>
            <w:tcW w:w="1605" w:type="dxa"/>
            <w:vAlign w:val="center"/>
          </w:tcPr>
          <w:p w14:paraId="66D79326">
            <w:pPr>
              <w:pStyle w:val="62"/>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7.5</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773505BF">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482A74A3">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7.5</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1FC95B9F">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7.5</w:t>
            </w:r>
            <w:r>
              <w:rPr>
                <w:rFonts w:hint="default" w:ascii="Times New Roman" w:hAnsi="Times New Roman" w:cs="Times New Roman"/>
                <w:bCs/>
                <w:color w:val="auto"/>
                <w:sz w:val="21"/>
                <w:szCs w:val="21"/>
                <w:highlight w:val="none"/>
                <w:lang w:val="en-US" w:eastAsia="zh-CN"/>
              </w:rPr>
              <w:t>t/a</w:t>
            </w:r>
          </w:p>
        </w:tc>
      </w:tr>
      <w:tr w14:paraId="2D068D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97" w:type="dxa"/>
            <w:vMerge w:val="continue"/>
            <w:vAlign w:val="center"/>
          </w:tcPr>
          <w:p w14:paraId="1FAEAC9B">
            <w:pPr>
              <w:pStyle w:val="57"/>
              <w:spacing w:beforeLines="0" w:afterLines="0" w:line="240" w:lineRule="auto"/>
              <w:rPr>
                <w:rFonts w:hint="default" w:ascii="Times New Roman" w:hAnsi="Times New Roman" w:cs="Times New Roman"/>
                <w:snapToGrid w:val="0"/>
                <w:color w:val="auto"/>
                <w:kern w:val="21"/>
                <w:szCs w:val="21"/>
                <w:highlight w:val="none"/>
              </w:rPr>
            </w:pPr>
          </w:p>
        </w:tc>
        <w:tc>
          <w:tcPr>
            <w:tcW w:w="1708" w:type="dxa"/>
            <w:vAlign w:val="center"/>
          </w:tcPr>
          <w:p w14:paraId="006692C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废苯乙烯液体有机溶剂</w:t>
            </w:r>
          </w:p>
        </w:tc>
        <w:tc>
          <w:tcPr>
            <w:tcW w:w="1469" w:type="dxa"/>
            <w:vAlign w:val="center"/>
          </w:tcPr>
          <w:p w14:paraId="3CA961F2">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0.563</w:t>
            </w:r>
            <w:r>
              <w:rPr>
                <w:rFonts w:hint="default" w:ascii="Times New Roman" w:hAnsi="Times New Roman" w:cs="Times New Roman"/>
                <w:bCs/>
                <w:color w:val="auto"/>
                <w:sz w:val="21"/>
                <w:szCs w:val="21"/>
                <w:highlight w:val="none"/>
                <w:lang w:val="en-US" w:eastAsia="zh-CN"/>
              </w:rPr>
              <w:t>t/a</w:t>
            </w:r>
          </w:p>
        </w:tc>
        <w:tc>
          <w:tcPr>
            <w:tcW w:w="1350" w:type="dxa"/>
            <w:shd w:val="clear" w:color="auto" w:fill="auto"/>
            <w:vAlign w:val="center"/>
          </w:tcPr>
          <w:p w14:paraId="6956151F">
            <w:pPr>
              <w:widowControl/>
              <w:adjustRightInd w:val="0"/>
              <w:snapToGrid w:val="0"/>
              <w:ind w:right="113" w:rightChars="0"/>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p>
        </w:tc>
        <w:tc>
          <w:tcPr>
            <w:tcW w:w="1470" w:type="dxa"/>
            <w:vAlign w:val="center"/>
          </w:tcPr>
          <w:p w14:paraId="121B1794">
            <w:pPr>
              <w:widowControl/>
              <w:jc w:val="center"/>
              <w:rPr>
                <w:rFonts w:hint="default" w:ascii="Times New Roman" w:hAnsi="Times New Roman" w:eastAsia="宋体" w:cs="Times New Roman"/>
                <w:bCs/>
                <w:color w:val="auto"/>
                <w:kern w:val="0"/>
                <w:szCs w:val="21"/>
                <w:highlight w:val="none"/>
                <w:lang w:val="en-US" w:eastAsia="zh-CN"/>
              </w:rPr>
            </w:pPr>
            <w:r>
              <w:rPr>
                <w:rFonts w:hint="default" w:ascii="Times New Roman" w:hAnsi="Times New Roman" w:cs="Times New Roman"/>
                <w:bCs/>
                <w:color w:val="auto"/>
                <w:kern w:val="0"/>
                <w:szCs w:val="21"/>
                <w:highlight w:val="none"/>
                <w:lang w:val="en-US" w:eastAsia="zh-CN"/>
              </w:rPr>
              <w:t>0</w:t>
            </w:r>
          </w:p>
        </w:tc>
        <w:tc>
          <w:tcPr>
            <w:tcW w:w="1605" w:type="dxa"/>
            <w:vAlign w:val="center"/>
          </w:tcPr>
          <w:p w14:paraId="135D29B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lang w:val="en-US" w:eastAsia="zh-CN"/>
              </w:rPr>
              <w:t>0</w:t>
            </w:r>
            <w:r>
              <w:rPr>
                <w:rFonts w:hint="default" w:ascii="Times New Roman" w:hAnsi="Times New Roman" w:cs="Times New Roman"/>
                <w:bCs/>
                <w:color w:val="auto"/>
                <w:sz w:val="21"/>
                <w:szCs w:val="21"/>
                <w:highlight w:val="none"/>
                <w:lang w:val="en-US" w:eastAsia="zh-CN"/>
              </w:rPr>
              <w:t>t/a</w:t>
            </w:r>
          </w:p>
        </w:tc>
        <w:tc>
          <w:tcPr>
            <w:tcW w:w="1620" w:type="dxa"/>
            <w:vAlign w:val="center"/>
          </w:tcPr>
          <w:p w14:paraId="201CD052">
            <w:pPr>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 w:val="21"/>
                <w:szCs w:val="21"/>
                <w:lang w:val="en-US" w:eastAsia="zh-CN"/>
              </w:rPr>
              <w:t>0</w:t>
            </w:r>
            <w:r>
              <w:rPr>
                <w:rFonts w:hint="default" w:ascii="Times New Roman" w:hAnsi="Times New Roman" w:cs="Times New Roman"/>
                <w:bCs/>
                <w:color w:val="auto"/>
                <w:sz w:val="21"/>
                <w:szCs w:val="21"/>
                <w:highlight w:val="none"/>
                <w:lang w:val="en-US" w:eastAsia="zh-CN"/>
              </w:rPr>
              <w:t>t/a</w:t>
            </w:r>
          </w:p>
        </w:tc>
        <w:tc>
          <w:tcPr>
            <w:tcW w:w="1785" w:type="dxa"/>
            <w:vAlign w:val="center"/>
          </w:tcPr>
          <w:p w14:paraId="435EEF63">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0.563</w:t>
            </w:r>
            <w:r>
              <w:rPr>
                <w:rFonts w:hint="default" w:ascii="Times New Roman" w:hAnsi="Times New Roman" w:cs="Times New Roman"/>
                <w:bCs/>
                <w:color w:val="auto"/>
                <w:sz w:val="21"/>
                <w:szCs w:val="21"/>
                <w:highlight w:val="none"/>
                <w:lang w:val="en-US" w:eastAsia="zh-CN"/>
              </w:rPr>
              <w:t>t/a</w:t>
            </w:r>
          </w:p>
        </w:tc>
        <w:tc>
          <w:tcPr>
            <w:tcW w:w="1782" w:type="dxa"/>
            <w:vAlign w:val="center"/>
          </w:tcPr>
          <w:p w14:paraId="1D454D07">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bCs/>
                <w:color w:val="auto"/>
                <w:sz w:val="21"/>
                <w:szCs w:val="21"/>
                <w:highlight w:val="none"/>
                <w:lang w:val="en-US" w:eastAsia="zh-CN"/>
              </w:rPr>
              <w:t>t/a</w:t>
            </w:r>
          </w:p>
        </w:tc>
      </w:tr>
    </w:tbl>
    <w:p w14:paraId="67CBBB63">
      <w:pPr>
        <w:pStyle w:val="57"/>
        <w:spacing w:before="192" w:beforeLines="80" w:after="24"/>
        <w:jc w:val="left"/>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p>
    <w:p w14:paraId="0DE0B91B">
      <w:pPr>
        <w:rPr>
          <w:rFonts w:hint="default" w:ascii="Times New Roman" w:hAnsi="Times New Roman" w:cs="Times New Roman"/>
          <w:color w:val="auto"/>
          <w:highlight w:val="none"/>
        </w:rPr>
      </w:pPr>
    </w:p>
    <w:p w14:paraId="012A091E">
      <w:pPr>
        <w:rPr>
          <w:rFonts w:hint="default" w:ascii="Times New Roman" w:hAnsi="Times New Roman" w:cs="Times New Roman"/>
          <w:color w:val="auto"/>
          <w:highlight w:val="none"/>
        </w:rPr>
        <w:sectPr>
          <w:footerReference r:id="rId11" w:type="default"/>
          <w:pgSz w:w="16838" w:h="11906" w:orient="landscape"/>
          <w:pgMar w:top="1701" w:right="1531" w:bottom="1701" w:left="1531" w:header="851" w:footer="851" w:gutter="0"/>
          <w:cols w:space="720" w:num="1"/>
          <w:docGrid w:linePitch="312" w:charSpace="0"/>
        </w:sectPr>
      </w:pPr>
    </w:p>
    <w:p w14:paraId="3EC9F5DA">
      <w:pP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附图1 项目地理位置图</w:t>
      </w:r>
    </w:p>
    <w:p w14:paraId="64E9856F">
      <w:pPr>
        <w:jc w:val="center"/>
        <w:rPr>
          <w:rFonts w:hint="default" w:ascii="Times New Roman" w:hAnsi="Times New Roman" w:cs="Times New Roman"/>
          <w:color w:val="auto"/>
          <w:highlight w:val="none"/>
        </w:rPr>
        <w:sectPr>
          <w:footerReference r:id="rId12" w:type="default"/>
          <w:pgSz w:w="16838" w:h="11906" w:orient="landscape"/>
          <w:pgMar w:top="1134" w:right="1134" w:bottom="1134" w:left="1134" w:header="851" w:footer="851" w:gutter="0"/>
          <w:cols w:space="720" w:num="1"/>
          <w:docGrid w:linePitch="312" w:charSpace="0"/>
        </w:sectPr>
      </w:pPr>
      <w:r>
        <w:rPr>
          <w:rFonts w:hint="default" w:ascii="Times New Roman" w:hAnsi="Times New Roman" w:cs="Times New Roman" w:eastAsiaTheme="majorEastAsia"/>
          <w:b/>
          <w:color w:val="auto"/>
          <w:sz w:val="30"/>
          <w:szCs w:val="30"/>
          <w:highlight w:val="none"/>
        </w:rPr>
        <mc:AlternateContent>
          <mc:Choice Requires="wpg">
            <w:drawing>
              <wp:anchor distT="0" distB="0" distL="114300" distR="114300" simplePos="0" relativeHeight="251674624" behindDoc="0" locked="0" layoutInCell="1" allowOverlap="1">
                <wp:simplePos x="0" y="0"/>
                <wp:positionH relativeFrom="column">
                  <wp:posOffset>5903595</wp:posOffset>
                </wp:positionH>
                <wp:positionV relativeFrom="paragraph">
                  <wp:posOffset>2759710</wp:posOffset>
                </wp:positionV>
                <wp:extent cx="1357630" cy="864235"/>
                <wp:effectExtent l="12700" t="6350" r="20320" b="24765"/>
                <wp:wrapNone/>
                <wp:docPr id="303" name="组合 24"/>
                <wp:cNvGraphicFramePr/>
                <a:graphic xmlns:a="http://schemas.openxmlformats.org/drawingml/2006/main">
                  <a:graphicData uri="http://schemas.microsoft.com/office/word/2010/wordprocessingGroup">
                    <wpg:wgp>
                      <wpg:cNvGrpSpPr/>
                      <wpg:grpSpPr>
                        <a:xfrm>
                          <a:off x="0" y="0"/>
                          <a:ext cx="1357630" cy="864235"/>
                          <a:chOff x="0" y="0"/>
                          <a:chExt cx="1357630" cy="864235"/>
                        </a:xfrm>
                        <a:effectLst/>
                      </wpg:grpSpPr>
                      <wps:wsp>
                        <wps:cNvPr id="304" name="椭圆 16"/>
                        <wps:cNvSpPr/>
                        <wps:spPr>
                          <a:xfrm>
                            <a:off x="0" y="819150"/>
                            <a:ext cx="45085" cy="45085"/>
                          </a:xfrm>
                          <a:prstGeom prst="ellipse">
                            <a:avLst/>
                          </a:prstGeom>
                          <a:solidFill>
                            <a:srgbClr val="FF0000"/>
                          </a:solidFill>
                          <a:ln>
                            <a:solidFill>
                              <a:srgbClr val="FF000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5" name="圆角矩形标注 17"/>
                        <wps:cNvSpPr/>
                        <wps:spPr>
                          <a:xfrm>
                            <a:off x="266700" y="0"/>
                            <a:ext cx="1090930" cy="350520"/>
                          </a:xfrm>
                          <a:prstGeom prst="wedgeRoundRectCallout">
                            <a:avLst>
                              <a:gd name="adj1" fmla="val -71037"/>
                              <a:gd name="adj2" fmla="val 186745"/>
                              <a:gd name="adj3" fmla="val 16667"/>
                            </a:avLst>
                          </a:prstGeom>
                          <a:noFill/>
                          <a:ln w="12700">
                            <a:solidFill>
                              <a:srgbClr val="FF000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65650E5">
                              <w:pPr>
                                <w:jc w:val="center"/>
                                <w:rPr>
                                  <w:color w:val="FF0000"/>
                                  <w:sz w:val="24"/>
                                </w:rPr>
                              </w:pPr>
                              <w:r>
                                <w:rPr>
                                  <w:rFonts w:hint="eastAsia"/>
                                  <w:color w:val="FF0000"/>
                                  <w:sz w:val="24"/>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24" o:spid="_x0000_s1026" o:spt="203" style="position:absolute;left:0pt;margin-left:464.85pt;margin-top:217.3pt;height:68.05pt;width:106.9pt;z-index:251674624;mso-width-relative:page;mso-height-relative:page;" coordsize="1357630,864235" o:gfxdata="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">
                <o:lock v:ext="edit" aspectratio="f"/>
                <v:shape id="椭圆 16" o:spid="_x0000_s1026" o:spt="3" type="#_x0000_t3" style="position:absolute;left:0;top:819150;height:45085;width:45085;v-text-anchor:middle;" fillcolor="#FF0000" filled="t" stroked="t" coordsize="21600,21600" o:gfxdata="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0WhK+8AAAA&#10;3AAAAA8AAAAAAAAAAQAgAAAAIgAAAGRycy9kb3ducmV2LnhtbFBLAQIUABQAAAAIAIdO4kAzLwWe&#10;OwAAADkAAAAQAAAAAAAAAAEAIAAAAAsBAABkcnMvc2hhcGV4bWwueG1sUEsFBgAAAAAGAAYAWwEA&#10;ALUDAAAAAA==&#10;">
                  <v:fill on="t" focussize="0,0"/>
                  <v:stroke weight="2pt" color="#FF0000 [3204]" joinstyle="round"/>
                  <v:imagedata o:title=""/>
                  <o:lock v:ext="edit" aspectratio="f"/>
                </v:shape>
                <v:shape id="圆角矩形标注 17" o:spid="_x0000_s1026" o:spt="62" type="#_x0000_t62" style="position:absolute;left:266700;top:0;height:350520;width:1090930;v-text-anchor:middle;" filled="f" stroked="t" coordsize="21600,21600" o:gfxdata="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E/5BvQAA&#10;ANwAAAAPAAAAAAAAAAEAIAAAACIAAABkcnMvZG93bnJldi54bWxQSwECFAAUAAAACACHTuJAMy8F&#10;njsAAAA5AAAAEAAAAAAAAAABACAAAAAMAQAAZHJzL3NoYXBleG1sLnhtbFBLBQYAAAAABgAGAFsB&#10;AAC2AwAAAAA=&#10;" adj="-4544,51137,14400">
                  <v:fill on="f" focussize="0,0"/>
                  <v:stroke weight="1pt" color="#FF0000 [3204]" joinstyle="round"/>
                  <v:imagedata o:title=""/>
                  <o:lock v:ext="edit" aspectratio="f"/>
                  <v:textbox>
                    <w:txbxContent>
                      <w:p w14:paraId="665650E5">
                        <w:pPr>
                          <w:jc w:val="center"/>
                          <w:rPr>
                            <w:color w:val="FF0000"/>
                            <w:sz w:val="24"/>
                          </w:rPr>
                        </w:pPr>
                        <w:r>
                          <w:rPr>
                            <w:rFonts w:hint="eastAsia"/>
                            <w:color w:val="FF0000"/>
                            <w:sz w:val="24"/>
                          </w:rPr>
                          <w:t>本项目位置</w:t>
                        </w:r>
                      </w:p>
                    </w:txbxContent>
                  </v:textbox>
                </v:shape>
              </v:group>
            </w:pict>
          </mc:Fallback>
        </mc:AlternateContent>
      </w:r>
      <w:r>
        <w:rPr>
          <w:rFonts w:hint="default" w:ascii="Times New Roman" w:hAnsi="Times New Roman" w:cs="Times New Roman" w:eastAsiaTheme="majorEastAsia"/>
          <w:b/>
          <w:color w:val="auto"/>
          <w:sz w:val="30"/>
          <w:szCs w:val="30"/>
          <w:highlight w:val="none"/>
        </w:rPr>
        <w:drawing>
          <wp:inline distT="0" distB="0" distL="0" distR="0">
            <wp:extent cx="7673975" cy="5467350"/>
            <wp:effectExtent l="0" t="0" r="3175" b="0"/>
            <wp:docPr id="302" name="图片 302" descr="I:\韩霞\16韩霞整理标准资料\14广东省韶关市政策文件\发布2020-2035年生态环保规划材料（正式文）\标准地图\乐昌市地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2" descr="I:\韩霞\16韩霞整理标准资料\14广东省韶关市政策文件\发布2020-2035年生态环保规划材料（正式文）\标准地图\乐昌市地图.jpg"/>
                    <pic:cNvPicPr>
                      <a:picLocks noChangeAspect="1" noChangeArrowheads="1"/>
                    </pic:cNvPicPr>
                  </pic:nvPicPr>
                  <pic:blipFill>
                    <a:blip r:embed="rId33" cstate="print">
                      <a:extLst>
                        <a:ext uri="{28A0092B-C50C-407E-A947-70E740481C1C}">
                          <a14:useLocalDpi xmlns:a14="http://schemas.microsoft.com/office/drawing/2010/main" val="0"/>
                        </a:ext>
                      </a:extLst>
                    </a:blip>
                    <a:srcRect l="2580" t="2967" r="2833" b="4007"/>
                    <a:stretch>
                      <a:fillRect/>
                    </a:stretch>
                  </pic:blipFill>
                  <pic:spPr>
                    <a:xfrm>
                      <a:off x="0" y="0"/>
                      <a:ext cx="7673975" cy="5467350"/>
                    </a:xfrm>
                    <a:prstGeom prst="rect">
                      <a:avLst/>
                    </a:prstGeom>
                    <a:noFill/>
                    <a:ln>
                      <a:noFill/>
                    </a:ln>
                  </pic:spPr>
                </pic:pic>
              </a:graphicData>
            </a:graphic>
          </wp:inline>
        </w:drawing>
      </w:r>
    </w:p>
    <w:p w14:paraId="6DB0D9F9">
      <w:pPr>
        <w:pStyle w:val="4"/>
        <w:ind w:left="0" w:firstLine="0"/>
        <w:jc w:val="left"/>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rPr>
        <mc:AlternateContent>
          <mc:Choice Requires="wps">
            <w:drawing>
              <wp:anchor distT="0" distB="0" distL="114300" distR="114300" simplePos="0" relativeHeight="251680768" behindDoc="0" locked="0" layoutInCell="1" allowOverlap="1">
                <wp:simplePos x="0" y="0"/>
                <wp:positionH relativeFrom="column">
                  <wp:posOffset>1318260</wp:posOffset>
                </wp:positionH>
                <wp:positionV relativeFrom="paragraph">
                  <wp:posOffset>381000</wp:posOffset>
                </wp:positionV>
                <wp:extent cx="640715" cy="200660"/>
                <wp:effectExtent l="0" t="0" r="0" b="0"/>
                <wp:wrapNone/>
                <wp:docPr id="76" name="文本框 94"/>
                <wp:cNvGraphicFramePr/>
                <a:graphic xmlns:a="http://schemas.openxmlformats.org/drawingml/2006/main">
                  <a:graphicData uri="http://schemas.microsoft.com/office/word/2010/wordprocessingShape">
                    <wps:wsp>
                      <wps:cNvSpPr txBox="1"/>
                      <wps:spPr>
                        <a:xfrm>
                          <a:off x="2057400" y="996315"/>
                          <a:ext cx="640715" cy="200660"/>
                        </a:xfrm>
                        <a:prstGeom prst="rect">
                          <a:avLst/>
                        </a:prstGeom>
                        <a:noFill/>
                        <a:ln>
                          <a:noFill/>
                        </a:ln>
                      </wps:spPr>
                      <wps:txbx>
                        <w:txbxContent>
                          <w:p w14:paraId="415E5170">
                            <w:pPr>
                              <w:rPr>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DA004</w:t>
                            </w:r>
                          </w:p>
                        </w:txbxContent>
                      </wps:txbx>
                      <wps:bodyPr upright="1">
                        <a:spAutoFit/>
                      </wps:bodyPr>
                    </wps:wsp>
                  </a:graphicData>
                </a:graphic>
              </wp:anchor>
            </w:drawing>
          </mc:Choice>
          <mc:Fallback>
            <w:pict>
              <v:shape id="文本框 94" o:spid="_x0000_s1026" o:spt="202" type="#_x0000_t202" style="position:absolute;left:0pt;margin-left:103.8pt;margin-top:30pt;height:15.8pt;width:50.45pt;z-index:251680768;mso-width-relative:page;mso-height-relative:page;" filled="f" stroked="f" coordsize="21600,21600" o:gfxdata="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ZEFwr1wAAAAkBAAAPAAAAAAAAAAEAIAAAACIAAABkcnMvZG93bnJl&#10;di54bWxQSwECFAAUAAAACACHTuJArL0wf8UBAAB0AwAADgAAAAAAAAABACAAAAAmAQAAZHJzL2Uy&#10;b0RvYy54bWxQSwUGAAAAAAYABgBZAQAAXQUAAAAA&#10;">
                <v:fill on="f" focussize="0,0"/>
                <v:stroke on="f"/>
                <v:imagedata o:title=""/>
                <o:lock v:ext="edit" aspectratio="f"/>
                <v:textbox style="mso-fit-shape-to-text:t;">
                  <w:txbxContent>
                    <w:p w14:paraId="415E5170">
                      <w:pPr>
                        <w:rPr>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DA004</w:t>
                      </w:r>
                    </w:p>
                  </w:txbxContent>
                </v:textbox>
              </v:shape>
            </w:pict>
          </mc:Fallback>
        </mc:AlternateContent>
      </w:r>
      <w:r>
        <w:rPr>
          <w:rFonts w:hint="default" w:ascii="Times New Roman" w:hAnsi="Times New Roman" w:eastAsia="宋体" w:cs="Times New Roman"/>
          <w:color w:val="auto"/>
          <w:sz w:val="24"/>
          <w:szCs w:val="24"/>
          <w:highlight w:val="none"/>
        </w:rPr>
        <w:t>附图2 项目平面布置图</w:t>
      </w:r>
    </w:p>
    <w:p w14:paraId="34A71FD1">
      <w:pPr>
        <w:pStyle w:val="8"/>
        <w:jc w:val="center"/>
        <w:rPr>
          <w:rFonts w:hint="default" w:ascii="Times New Roman" w:hAnsi="Times New Roman" w:cs="Times New Roman"/>
          <w:color w:val="auto"/>
          <w:highlight w:val="none"/>
        </w:rPr>
        <w:sectPr>
          <w:pgSz w:w="16838" w:h="11906" w:orient="landscape"/>
          <w:pgMar w:top="1134" w:right="1134" w:bottom="1134" w:left="1134" w:header="851" w:footer="851" w:gutter="0"/>
          <w:cols w:space="720" w:num="1"/>
          <w:docGrid w:linePitch="312" w:charSpace="0"/>
        </w:sectPr>
      </w:pPr>
      <w:r>
        <w:rPr>
          <w:rFonts w:hint="default" w:ascii="Times New Roman" w:hAnsi="Times New Roman" w:cs="Times New Roman"/>
          <w:color w:val="auto"/>
          <w:sz w:val="24"/>
        </w:rPr>
        <mc:AlternateContent>
          <mc:Choice Requires="wps">
            <w:drawing>
              <wp:anchor distT="0" distB="0" distL="114300" distR="114300" simplePos="0" relativeHeight="251737088" behindDoc="0" locked="0" layoutInCell="1" allowOverlap="1">
                <wp:simplePos x="0" y="0"/>
                <wp:positionH relativeFrom="column">
                  <wp:posOffset>6771005</wp:posOffset>
                </wp:positionH>
                <wp:positionV relativeFrom="paragraph">
                  <wp:posOffset>4700270</wp:posOffset>
                </wp:positionV>
                <wp:extent cx="856615" cy="285750"/>
                <wp:effectExtent l="0" t="0" r="0" b="0"/>
                <wp:wrapNone/>
                <wp:docPr id="312" name="文本框 312"/>
                <wp:cNvGraphicFramePr/>
                <a:graphic xmlns:a="http://schemas.openxmlformats.org/drawingml/2006/main">
                  <a:graphicData uri="http://schemas.microsoft.com/office/word/2010/wordprocessingShape">
                    <wps:wsp>
                      <wps:cNvSpPr txBox="1"/>
                      <wps:spPr>
                        <a:xfrm>
                          <a:off x="0" y="0"/>
                          <a:ext cx="85661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8BD50">
                            <w:pPr>
                              <w:rPr>
                                <w:rFonts w:hint="eastAsia" w:eastAsia="宋体"/>
                                <w:b/>
                                <w:bCs/>
                                <w:color w:val="0000FF"/>
                                <w:lang w:val="en-US" w:eastAsia="zh-CN"/>
                              </w:rPr>
                            </w:pPr>
                            <w:r>
                              <w:rPr>
                                <w:rFonts w:hint="eastAsia"/>
                                <w:b/>
                                <w:bCs/>
                                <w:color w:val="0000FF"/>
                                <w:lang w:val="en-US" w:eastAsia="zh-CN"/>
                              </w:rPr>
                              <w:t>（外租）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3.15pt;margin-top:370.1pt;height:22.5pt;width:67.45pt;z-index:251737088;mso-width-relative:page;mso-height-relative:page;" filled="f" stroked="f" coordsize="21600,21600" o:gfxdata="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IM7aw3AAAAA0BAAAPAAAAAAAAAAEAIAAAACIA&#10;AABkcnMvZG93bnJldi54bWxQSwECFAAUAAAACACHTuJAhQVxVz4CAABpBAAADgAAAAAAAAABACAA&#10;AAArAQAAZHJzL2Uyb0RvYy54bWxQSwUGAAAAAAYABgBZAQAA2wUAAAAA&#10;">
                <v:fill on="f" focussize="0,0"/>
                <v:stroke on="f" weight="0.5pt"/>
                <v:imagedata o:title=""/>
                <o:lock v:ext="edit" aspectratio="f"/>
                <v:textbox>
                  <w:txbxContent>
                    <w:p w14:paraId="2428BD50">
                      <w:pPr>
                        <w:rPr>
                          <w:rFonts w:hint="eastAsia" w:eastAsia="宋体"/>
                          <w:b/>
                          <w:bCs/>
                          <w:color w:val="0000FF"/>
                          <w:lang w:val="en-US" w:eastAsia="zh-CN"/>
                        </w:rPr>
                      </w:pPr>
                      <w:r>
                        <w:rPr>
                          <w:rFonts w:hint="eastAsia"/>
                          <w:b/>
                          <w:bCs/>
                          <w:color w:val="0000FF"/>
                          <w:lang w:val="en-US" w:eastAsia="zh-CN"/>
                        </w:rPr>
                        <w:t>（外租）</w:t>
                      </w:r>
                    </w:p>
                  </w:txbxContent>
                </v:textbox>
              </v:shape>
            </w:pict>
          </mc:Fallback>
        </mc:AlternateContent>
      </w:r>
      <w:r>
        <w:rPr>
          <w:rFonts w:hint="default" w:ascii="Times New Roman" w:hAnsi="Times New Roman" w:cs="Times New Roman"/>
          <w:color w:val="auto"/>
          <w:sz w:val="24"/>
        </w:rPr>
        <mc:AlternateContent>
          <mc:Choice Requires="wps">
            <w:drawing>
              <wp:anchor distT="0" distB="0" distL="114300" distR="114300" simplePos="0" relativeHeight="251731968" behindDoc="0" locked="0" layoutInCell="1" allowOverlap="1">
                <wp:simplePos x="0" y="0"/>
                <wp:positionH relativeFrom="column">
                  <wp:posOffset>6780530</wp:posOffset>
                </wp:positionH>
                <wp:positionV relativeFrom="paragraph">
                  <wp:posOffset>3900170</wp:posOffset>
                </wp:positionV>
                <wp:extent cx="856615" cy="285750"/>
                <wp:effectExtent l="0" t="0" r="0" b="0"/>
                <wp:wrapNone/>
                <wp:docPr id="184" name="文本框 184"/>
                <wp:cNvGraphicFramePr/>
                <a:graphic xmlns:a="http://schemas.openxmlformats.org/drawingml/2006/main">
                  <a:graphicData uri="http://schemas.microsoft.com/office/word/2010/wordprocessingShape">
                    <wps:wsp>
                      <wps:cNvSpPr txBox="1"/>
                      <wps:spPr>
                        <a:xfrm>
                          <a:off x="0" y="0"/>
                          <a:ext cx="85661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F79A0">
                            <w:pPr>
                              <w:rPr>
                                <w:rFonts w:hint="eastAsia" w:eastAsia="宋体"/>
                                <w:b/>
                                <w:bCs/>
                                <w:color w:val="0000FF"/>
                                <w:lang w:val="en-US" w:eastAsia="zh-CN"/>
                              </w:rPr>
                            </w:pPr>
                            <w:r>
                              <w:rPr>
                                <w:rFonts w:hint="eastAsia"/>
                                <w:b/>
                                <w:bCs/>
                                <w:color w:val="0000FF"/>
                                <w:lang w:val="en-US" w:eastAsia="zh-CN"/>
                              </w:rPr>
                              <w:t>（外租）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3.9pt;margin-top:307.1pt;height:22.5pt;width:67.45pt;z-index:251731968;mso-width-relative:page;mso-height-relative:page;" filled="f" stroked="f" coordsize="21600,21600" o:gfxdata="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BJhHPcAAAADQEAAA8AAAAAAAAAAQAgAAAAIgAA&#10;AGRycy9kb3ducmV2LnhtbFBLAQIUABQAAAAIAIdO4kAxceIPPQIAAGkEAAAOAAAAAAAAAAEAIAAA&#10;ACsBAABkcnMvZTJvRG9jLnhtbFBLBQYAAAAABgAGAFkBAADaBQAAAAA=&#10;">
                <v:fill on="f" focussize="0,0"/>
                <v:stroke on="f" weight="0.5pt"/>
                <v:imagedata o:title=""/>
                <o:lock v:ext="edit" aspectratio="f"/>
                <v:textbox>
                  <w:txbxContent>
                    <w:p w14:paraId="12DF79A0">
                      <w:pPr>
                        <w:rPr>
                          <w:rFonts w:hint="eastAsia" w:eastAsia="宋体"/>
                          <w:b/>
                          <w:bCs/>
                          <w:color w:val="0000FF"/>
                          <w:lang w:val="en-US" w:eastAsia="zh-CN"/>
                        </w:rPr>
                      </w:pPr>
                      <w:r>
                        <w:rPr>
                          <w:rFonts w:hint="eastAsia"/>
                          <w:b/>
                          <w:bCs/>
                          <w:color w:val="0000FF"/>
                          <w:lang w:val="en-US" w:eastAsia="zh-CN"/>
                        </w:rPr>
                        <w:t>（外租）</w:t>
                      </w:r>
                    </w:p>
                  </w:txbxContent>
                </v:textbox>
              </v:shape>
            </w:pict>
          </mc:Fallback>
        </mc:AlternateContent>
      </w:r>
      <w:r>
        <w:rPr>
          <w:rFonts w:hint="default" w:ascii="Times New Roman" w:hAnsi="Times New Roman" w:cs="Times New Roman"/>
          <w:color w:val="auto"/>
          <w:sz w:val="24"/>
        </w:rPr>
        <mc:AlternateContent>
          <mc:Choice Requires="wps">
            <w:drawing>
              <wp:anchor distT="0" distB="0" distL="114300" distR="114300" simplePos="0" relativeHeight="251736064" behindDoc="0" locked="0" layoutInCell="1" allowOverlap="1">
                <wp:simplePos x="0" y="0"/>
                <wp:positionH relativeFrom="column">
                  <wp:posOffset>6783705</wp:posOffset>
                </wp:positionH>
                <wp:positionV relativeFrom="paragraph">
                  <wp:posOffset>1518920</wp:posOffset>
                </wp:positionV>
                <wp:extent cx="856615" cy="285750"/>
                <wp:effectExtent l="0" t="0" r="0" b="0"/>
                <wp:wrapNone/>
                <wp:docPr id="311" name="文本框 311"/>
                <wp:cNvGraphicFramePr/>
                <a:graphic xmlns:a="http://schemas.openxmlformats.org/drawingml/2006/main">
                  <a:graphicData uri="http://schemas.microsoft.com/office/word/2010/wordprocessingShape">
                    <wps:wsp>
                      <wps:cNvSpPr txBox="1"/>
                      <wps:spPr>
                        <a:xfrm>
                          <a:off x="0" y="0"/>
                          <a:ext cx="85661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3C285C">
                            <w:pPr>
                              <w:rPr>
                                <w:rFonts w:hint="eastAsia" w:eastAsia="宋体"/>
                                <w:b/>
                                <w:bCs/>
                                <w:color w:val="0000FF"/>
                                <w:lang w:val="en-US" w:eastAsia="zh-CN"/>
                              </w:rPr>
                            </w:pPr>
                            <w:r>
                              <w:rPr>
                                <w:rFonts w:hint="eastAsia"/>
                                <w:b/>
                                <w:bCs/>
                                <w:color w:val="0000FF"/>
                                <w:lang w:val="en-US" w:eastAsia="zh-CN"/>
                              </w:rPr>
                              <w:t>（一期）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4.15pt;margin-top:119.6pt;height:22.5pt;width:67.45pt;z-index:251736064;mso-width-relative:page;mso-height-relative:page;" filled="f" stroked="f" coordsize="21600,21600" o:gfxdata="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02ybDcAAAADQEAAA8AAAAAAAAAAQAgAAAAIgAA&#10;AGRycy9kb3ducmV2LnhtbFBLAQIUABQAAAAIAIdO4kASFVkNPQIAAGkEAAAOAAAAAAAAAAEAIAAA&#10;ACsBAABkcnMvZTJvRG9jLnhtbFBLBQYAAAAABgAGAFkBAADaBQAAAAA=&#10;">
                <v:fill on="f" focussize="0,0"/>
                <v:stroke on="f" weight="0.5pt"/>
                <v:imagedata o:title=""/>
                <o:lock v:ext="edit" aspectratio="f"/>
                <v:textbox>
                  <w:txbxContent>
                    <w:p w14:paraId="433C285C">
                      <w:pPr>
                        <w:rPr>
                          <w:rFonts w:hint="eastAsia" w:eastAsia="宋体"/>
                          <w:b/>
                          <w:bCs/>
                          <w:color w:val="0000FF"/>
                          <w:lang w:val="en-US" w:eastAsia="zh-CN"/>
                        </w:rPr>
                      </w:pPr>
                      <w:r>
                        <w:rPr>
                          <w:rFonts w:hint="eastAsia"/>
                          <w:b/>
                          <w:bCs/>
                          <w:color w:val="0000FF"/>
                          <w:lang w:val="en-US" w:eastAsia="zh-CN"/>
                        </w:rPr>
                        <w:t>（一期）</w:t>
                      </w:r>
                    </w:p>
                  </w:txbxContent>
                </v:textbox>
              </v:shape>
            </w:pict>
          </mc:Fallback>
        </mc:AlternateContent>
      </w:r>
      <w:r>
        <w:rPr>
          <w:rFonts w:hint="default" w:ascii="Times New Roman" w:hAnsi="Times New Roman" w:cs="Times New Roman"/>
          <w:color w:val="auto"/>
          <w:sz w:val="24"/>
        </w:rPr>
        <mc:AlternateContent>
          <mc:Choice Requires="wps">
            <w:drawing>
              <wp:anchor distT="0" distB="0" distL="114300" distR="114300" simplePos="0" relativeHeight="251735040" behindDoc="0" locked="0" layoutInCell="1" allowOverlap="1">
                <wp:simplePos x="0" y="0"/>
                <wp:positionH relativeFrom="column">
                  <wp:posOffset>6450330</wp:posOffset>
                </wp:positionH>
                <wp:positionV relativeFrom="paragraph">
                  <wp:posOffset>3071495</wp:posOffset>
                </wp:positionV>
                <wp:extent cx="856615" cy="28575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85661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376102">
                            <w:pPr>
                              <w:rPr>
                                <w:rFonts w:hint="eastAsia" w:eastAsia="宋体"/>
                                <w:b/>
                                <w:bCs/>
                                <w:color w:val="0000FF"/>
                                <w:lang w:val="en-US" w:eastAsia="zh-CN"/>
                              </w:rPr>
                            </w:pPr>
                            <w:r>
                              <w:rPr>
                                <w:rFonts w:hint="eastAsia"/>
                                <w:b/>
                                <w:bCs/>
                                <w:color w:val="0000FF"/>
                                <w:lang w:val="en-US" w:eastAsia="zh-CN"/>
                              </w:rPr>
                              <w:t>（二期）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7.9pt;margin-top:241.85pt;height:22.5pt;width:67.45pt;z-index:251735040;mso-width-relative:page;mso-height-relative:page;" filled="f" stroked="f" coordsize="21600,21600" o:gfxdata="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IKKQ73QAAAA0BAAAPAAAAAAAAAAEAIAAAACIA&#10;AABkcnMvZG93bnJldi54bWxQSwECFAAUAAAACACHTuJAALiVHj0CAABpBAAADgAAAAAAAAABACAA&#10;AAAsAQAAZHJzL2Uyb0RvYy54bWxQSwUGAAAAAAYABgBZAQAA2wUAAAAA&#10;">
                <v:fill on="f" focussize="0,0"/>
                <v:stroke on="f" weight="0.5pt"/>
                <v:imagedata o:title=""/>
                <o:lock v:ext="edit" aspectratio="f"/>
                <v:textbox>
                  <w:txbxContent>
                    <w:p w14:paraId="3E376102">
                      <w:pPr>
                        <w:rPr>
                          <w:rFonts w:hint="eastAsia" w:eastAsia="宋体"/>
                          <w:b/>
                          <w:bCs/>
                          <w:color w:val="0000FF"/>
                          <w:lang w:val="en-US" w:eastAsia="zh-CN"/>
                        </w:rPr>
                      </w:pPr>
                      <w:r>
                        <w:rPr>
                          <w:rFonts w:hint="eastAsia"/>
                          <w:b/>
                          <w:bCs/>
                          <w:color w:val="0000FF"/>
                          <w:lang w:val="en-US" w:eastAsia="zh-CN"/>
                        </w:rPr>
                        <w:t>（二期）</w:t>
                      </w:r>
                    </w:p>
                  </w:txbxContent>
                </v:textbox>
              </v:shape>
            </w:pict>
          </mc:Fallback>
        </mc:AlternateContent>
      </w:r>
      <w:r>
        <w:rPr>
          <w:rFonts w:hint="default" w:ascii="Times New Roman" w:hAnsi="Times New Roman" w:cs="Times New Roman"/>
          <w:color w:val="auto"/>
          <w:sz w:val="24"/>
        </w:rPr>
        <mc:AlternateContent>
          <mc:Choice Requires="wps">
            <w:drawing>
              <wp:anchor distT="0" distB="0" distL="114300" distR="114300" simplePos="0" relativeHeight="251732992" behindDoc="0" locked="0" layoutInCell="1" allowOverlap="1">
                <wp:simplePos x="0" y="0"/>
                <wp:positionH relativeFrom="column">
                  <wp:posOffset>6697980</wp:posOffset>
                </wp:positionH>
                <wp:positionV relativeFrom="paragraph">
                  <wp:posOffset>2338070</wp:posOffset>
                </wp:positionV>
                <wp:extent cx="856615" cy="285750"/>
                <wp:effectExtent l="0" t="0" r="0" b="0"/>
                <wp:wrapNone/>
                <wp:docPr id="185" name="文本框 185"/>
                <wp:cNvGraphicFramePr/>
                <a:graphic xmlns:a="http://schemas.openxmlformats.org/drawingml/2006/main">
                  <a:graphicData uri="http://schemas.microsoft.com/office/word/2010/wordprocessingShape">
                    <wps:wsp>
                      <wps:cNvSpPr txBox="1"/>
                      <wps:spPr>
                        <a:xfrm>
                          <a:off x="0" y="0"/>
                          <a:ext cx="85661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992704">
                            <w:pPr>
                              <w:rPr>
                                <w:rFonts w:hint="eastAsia" w:eastAsia="宋体"/>
                                <w:b/>
                                <w:bCs/>
                                <w:color w:val="0000FF"/>
                                <w:lang w:val="en-US" w:eastAsia="zh-CN"/>
                              </w:rPr>
                            </w:pPr>
                            <w:r>
                              <w:rPr>
                                <w:rFonts w:hint="eastAsia"/>
                                <w:b/>
                                <w:bCs/>
                                <w:color w:val="0000FF"/>
                                <w:lang w:val="en-US" w:eastAsia="zh-CN"/>
                              </w:rPr>
                              <w:t>（二期）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7.4pt;margin-top:184.1pt;height:22.5pt;width:67.45pt;z-index:251732992;mso-width-relative:page;mso-height-relative:page;" filled="f" stroked="f" coordsize="21600,21600" o:gfxdata="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e94cjdAAAADQEAAA8AAAAAAAAAAQAgAAAAIgAA&#10;AGRycy9kb3ducmV2LnhtbFBLAQIUABQAAAAIAIdO4kC8fvo5PAIAAGkEAAAOAAAAAAAAAAEAIAAA&#10;ACwBAABkcnMvZTJvRG9jLnhtbFBLBQYAAAAABgAGAFkBAADaBQAAAAA=&#10;">
                <v:fill on="f" focussize="0,0"/>
                <v:stroke on="f" weight="0.5pt"/>
                <v:imagedata o:title=""/>
                <o:lock v:ext="edit" aspectratio="f"/>
                <v:textbox>
                  <w:txbxContent>
                    <w:p w14:paraId="40992704">
                      <w:pPr>
                        <w:rPr>
                          <w:rFonts w:hint="eastAsia" w:eastAsia="宋体"/>
                          <w:b/>
                          <w:bCs/>
                          <w:color w:val="0000FF"/>
                          <w:lang w:val="en-US" w:eastAsia="zh-CN"/>
                        </w:rPr>
                      </w:pPr>
                      <w:r>
                        <w:rPr>
                          <w:rFonts w:hint="eastAsia"/>
                          <w:b/>
                          <w:bCs/>
                          <w:color w:val="0000FF"/>
                          <w:lang w:val="en-US" w:eastAsia="zh-CN"/>
                        </w:rPr>
                        <w:t>（二期）</w:t>
                      </w:r>
                    </w:p>
                  </w:txbxContent>
                </v:textbox>
              </v:shape>
            </w:pict>
          </mc:Fallback>
        </mc:AlternateContent>
      </w:r>
      <w:r>
        <w:rPr>
          <w:rFonts w:hint="default" w:ascii="Times New Roman" w:hAnsi="Times New Roman" w:cs="Times New Roman"/>
          <w:color w:val="auto"/>
          <w:sz w:val="24"/>
        </w:rPr>
        <mc:AlternateContent>
          <mc:Choice Requires="wps">
            <w:drawing>
              <wp:anchor distT="0" distB="0" distL="114300" distR="114300" simplePos="0" relativeHeight="251734016" behindDoc="0" locked="0" layoutInCell="1" allowOverlap="1">
                <wp:simplePos x="0" y="0"/>
                <wp:positionH relativeFrom="column">
                  <wp:posOffset>6755130</wp:posOffset>
                </wp:positionH>
                <wp:positionV relativeFrom="paragraph">
                  <wp:posOffset>661670</wp:posOffset>
                </wp:positionV>
                <wp:extent cx="856615" cy="285750"/>
                <wp:effectExtent l="0" t="0" r="0" b="0"/>
                <wp:wrapNone/>
                <wp:docPr id="190" name="文本框 190"/>
                <wp:cNvGraphicFramePr/>
                <a:graphic xmlns:a="http://schemas.openxmlformats.org/drawingml/2006/main">
                  <a:graphicData uri="http://schemas.microsoft.com/office/word/2010/wordprocessingShape">
                    <wps:wsp>
                      <wps:cNvSpPr txBox="1"/>
                      <wps:spPr>
                        <a:xfrm>
                          <a:off x="0" y="0"/>
                          <a:ext cx="85661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49BD0">
                            <w:pPr>
                              <w:rPr>
                                <w:rFonts w:hint="eastAsia" w:eastAsia="宋体"/>
                                <w:b/>
                                <w:bCs/>
                                <w:color w:val="0000FF"/>
                                <w:lang w:val="en-US" w:eastAsia="zh-CN"/>
                              </w:rPr>
                            </w:pPr>
                            <w:r>
                              <w:rPr>
                                <w:rFonts w:hint="eastAsia"/>
                                <w:b/>
                                <w:bCs/>
                                <w:color w:val="0000FF"/>
                                <w:lang w:val="en-US" w:eastAsia="zh-CN"/>
                              </w:rPr>
                              <w:t>（一期）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1.9pt;margin-top:52.1pt;height:22.5pt;width:67.45pt;z-index:251734016;mso-width-relative:page;mso-height-relative:page;" filled="f" stroked="f" coordsize="21600,21600" o:gfxdata="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LZ8cWtwAAAANAQAADwAAAAAAAAABACAAAAAiAAAA&#10;ZHJzL2Rvd25yZXYueG1sUEsBAhQAFAAAAAgAh07iQJeovUQ8AgAAaQQAAA4AAAAAAAAAAQAgAAAA&#10;KwEAAGRycy9lMm9Eb2MueG1sUEsFBgAAAAAGAAYAWQEAANkFAAAAAA==&#10;">
                <v:fill on="f" focussize="0,0"/>
                <v:stroke on="f" weight="0.5pt"/>
                <v:imagedata o:title=""/>
                <o:lock v:ext="edit" aspectratio="f"/>
                <v:textbox>
                  <w:txbxContent>
                    <w:p w14:paraId="50C49BD0">
                      <w:pPr>
                        <w:rPr>
                          <w:rFonts w:hint="eastAsia" w:eastAsia="宋体"/>
                          <w:b/>
                          <w:bCs/>
                          <w:color w:val="0000FF"/>
                          <w:lang w:val="en-US" w:eastAsia="zh-CN"/>
                        </w:rPr>
                      </w:pPr>
                      <w:r>
                        <w:rPr>
                          <w:rFonts w:hint="eastAsia"/>
                          <w:b/>
                          <w:bCs/>
                          <w:color w:val="0000FF"/>
                          <w:lang w:val="en-US" w:eastAsia="zh-CN"/>
                        </w:rPr>
                        <w:t>（一期）</w:t>
                      </w:r>
                    </w:p>
                  </w:txbxContent>
                </v:textbox>
              </v:shape>
            </w:pict>
          </mc:Fallback>
        </mc:AlternateContent>
      </w:r>
      <w:r>
        <w:rPr>
          <w:rFonts w:hint="default" w:ascii="Times New Roman" w:hAnsi="Times New Roman" w:cs="Times New Roman"/>
          <w:color w:val="auto"/>
          <w:sz w:val="24"/>
        </w:rPr>
        <mc:AlternateContent>
          <mc:Choice Requires="wps">
            <w:drawing>
              <wp:anchor distT="0" distB="0" distL="114300" distR="114300" simplePos="0" relativeHeight="251730944" behindDoc="0" locked="0" layoutInCell="1" allowOverlap="1">
                <wp:simplePos x="0" y="0"/>
                <wp:positionH relativeFrom="column">
                  <wp:posOffset>3402330</wp:posOffset>
                </wp:positionH>
                <wp:positionV relativeFrom="paragraph">
                  <wp:posOffset>909320</wp:posOffset>
                </wp:positionV>
                <wp:extent cx="856615" cy="285750"/>
                <wp:effectExtent l="0" t="0" r="635" b="0"/>
                <wp:wrapNone/>
                <wp:docPr id="178" name="文本框 178"/>
                <wp:cNvGraphicFramePr/>
                <a:graphic xmlns:a="http://schemas.openxmlformats.org/drawingml/2006/main">
                  <a:graphicData uri="http://schemas.microsoft.com/office/word/2010/wordprocessingShape">
                    <wps:wsp>
                      <wps:cNvSpPr txBox="1"/>
                      <wps:spPr>
                        <a:xfrm>
                          <a:off x="4036695" y="2086610"/>
                          <a:ext cx="85661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8B1AA">
                            <w:pPr>
                              <w:rPr>
                                <w:rFonts w:hint="eastAsia" w:eastAsia="宋体"/>
                                <w:b/>
                                <w:bCs/>
                                <w:color w:val="0000FF"/>
                                <w:lang w:val="en-US" w:eastAsia="zh-CN"/>
                              </w:rPr>
                            </w:pPr>
                            <w:r>
                              <w:rPr>
                                <w:rFonts w:hint="eastAsia"/>
                                <w:b/>
                                <w:bCs/>
                                <w:color w:val="0000FF"/>
                                <w:lang w:val="en-US" w:eastAsia="zh-CN"/>
                              </w:rPr>
                              <w:t>（三期）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7.9pt;margin-top:71.6pt;height:22.5pt;width:67.45pt;z-index:251730944;mso-width-relative:page;mso-height-relative:page;" filled="f" stroked="f" coordsize="21600,21600" o:gfxdata="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BC/b+tsAAAALAQAADwAAAAAAAAAB&#10;ACAAAAAiAAAAZHJzL2Rvd25yZXYueG1sUEsBAhQAFAAAAAgAh07iQGDvMdZGAgAAdQQAAA4AAAAA&#10;AAAAAQAgAAAAKgEAAGRycy9lMm9Eb2MueG1sUEsFBgAAAAAGAAYAWQEAAOIFAAAAAA==&#10;">
                <v:fill on="f" focussize="0,0"/>
                <v:stroke on="f" weight="0.5pt"/>
                <v:imagedata o:title=""/>
                <o:lock v:ext="edit" aspectratio="f"/>
                <v:textbox>
                  <w:txbxContent>
                    <w:p w14:paraId="4D98B1AA">
                      <w:pPr>
                        <w:rPr>
                          <w:rFonts w:hint="eastAsia" w:eastAsia="宋体"/>
                          <w:b/>
                          <w:bCs/>
                          <w:color w:val="0000FF"/>
                          <w:lang w:val="en-US" w:eastAsia="zh-CN"/>
                        </w:rPr>
                      </w:pPr>
                      <w:r>
                        <w:rPr>
                          <w:rFonts w:hint="eastAsia"/>
                          <w:b/>
                          <w:bCs/>
                          <w:color w:val="0000FF"/>
                          <w:lang w:val="en-US" w:eastAsia="zh-CN"/>
                        </w:rPr>
                        <w:t>（三期）</w:t>
                      </w:r>
                    </w:p>
                  </w:txbxContent>
                </v:textbox>
              </v:shape>
            </w:pict>
          </mc:Fallback>
        </mc:AlternateContent>
      </w:r>
      <w:r>
        <w:rPr>
          <w:rFonts w:hint="default" w:ascii="Times New Roman" w:hAnsi="Times New Roman" w:cs="Times New Roman"/>
          <w:color w:val="auto"/>
          <w:sz w:val="24"/>
        </w:rPr>
        <mc:AlternateContent>
          <mc:Choice Requires="wps">
            <w:drawing>
              <wp:anchor distT="0" distB="0" distL="114300" distR="114300" simplePos="0" relativeHeight="251729920" behindDoc="0" locked="0" layoutInCell="1" allowOverlap="1">
                <wp:simplePos x="0" y="0"/>
                <wp:positionH relativeFrom="column">
                  <wp:posOffset>6602730</wp:posOffset>
                </wp:positionH>
                <wp:positionV relativeFrom="paragraph">
                  <wp:posOffset>2985770</wp:posOffset>
                </wp:positionV>
                <wp:extent cx="676275" cy="400050"/>
                <wp:effectExtent l="0" t="0" r="0" b="0"/>
                <wp:wrapNone/>
                <wp:docPr id="175" name="矩形 175"/>
                <wp:cNvGraphicFramePr/>
                <a:graphic xmlns:a="http://schemas.openxmlformats.org/drawingml/2006/main">
                  <a:graphicData uri="http://schemas.microsoft.com/office/word/2010/wordprocessingShape">
                    <wps:wsp>
                      <wps:cNvSpPr/>
                      <wps:spPr>
                        <a:xfrm>
                          <a:off x="7713345" y="4096385"/>
                          <a:ext cx="676275" cy="40005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9.9pt;margin-top:235.1pt;height:31.5pt;width:53.25pt;z-index:251729920;v-text-anchor:middle;mso-width-relative:page;mso-height-relative:page;" fillcolor="#FFFFFF [3212]" filled="t" stroked="f" coordsize="21600,21600" o:gfxdata="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3UlqI1wAAAA0BAAAPAAAAAAAAAAEAIAAAACIAAABkcnMvZG93bnJldi54bWxQ&#10;SwECFAAUAAAACACHTuJA+38bEGoCAADDBAAADgAAAAAAAAABACAAAAAmAQAAZHJzL2Uyb0RvYy54&#10;bWxQSwUGAAAAAAYABgBZAQAAAgYAAAAA&#10;">
                <v:fill on="t" focussize="0,0"/>
                <v:stroke on="f" weight="2pt"/>
                <v:imagedata o:title=""/>
                <o:lock v:ext="edit" aspectratio="f"/>
              </v:rect>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716608" behindDoc="0" locked="0" layoutInCell="1" allowOverlap="1">
                <wp:simplePos x="0" y="0"/>
                <wp:positionH relativeFrom="column">
                  <wp:posOffset>4992370</wp:posOffset>
                </wp:positionH>
                <wp:positionV relativeFrom="paragraph">
                  <wp:posOffset>1089660</wp:posOffset>
                </wp:positionV>
                <wp:extent cx="526415" cy="267335"/>
                <wp:effectExtent l="0" t="0" r="0" b="0"/>
                <wp:wrapNone/>
                <wp:docPr id="78" name="文本框 103"/>
                <wp:cNvGraphicFramePr/>
                <a:graphic xmlns:a="http://schemas.openxmlformats.org/drawingml/2006/main">
                  <a:graphicData uri="http://schemas.microsoft.com/office/word/2010/wordprocessingShape">
                    <wps:wsp>
                      <wps:cNvSpPr txBox="1"/>
                      <wps:spPr>
                        <a:xfrm>
                          <a:off x="0" y="0"/>
                          <a:ext cx="526415" cy="267335"/>
                        </a:xfrm>
                        <a:prstGeom prst="rect">
                          <a:avLst/>
                        </a:prstGeom>
                        <a:noFill/>
                        <a:ln>
                          <a:noFill/>
                        </a:ln>
                      </wps:spPr>
                      <wps:txbx>
                        <w:txbxContent>
                          <w:p w14:paraId="4B318017">
                            <w:pPr>
                              <w:rPr>
                                <w:rFonts w:hint="eastAsia" w:eastAsia="宋体"/>
                                <w:color w:val="FF0000"/>
                                <w:sz w:val="15"/>
                                <w:szCs w:val="15"/>
                                <w:lang w:eastAsia="zh-CN"/>
                              </w:rPr>
                            </w:pPr>
                            <w:r>
                              <w:rPr>
                                <w:rFonts w:hint="eastAsia"/>
                                <w:color w:val="FF0000"/>
                                <w:sz w:val="15"/>
                                <w:szCs w:val="15"/>
                              </w:rPr>
                              <w:t>DA00</w:t>
                            </w:r>
                            <w:r>
                              <w:rPr>
                                <w:rFonts w:hint="eastAsia"/>
                                <w:color w:val="FF0000"/>
                                <w:sz w:val="15"/>
                                <w:szCs w:val="15"/>
                                <w:lang w:val="en-US" w:eastAsia="zh-CN"/>
                              </w:rPr>
                              <w:t>5</w:t>
                            </w:r>
                          </w:p>
                        </w:txbxContent>
                      </wps:txbx>
                      <wps:bodyPr upright="1"/>
                    </wps:wsp>
                  </a:graphicData>
                </a:graphic>
              </wp:anchor>
            </w:drawing>
          </mc:Choice>
          <mc:Fallback>
            <w:pict>
              <v:shape id="文本框 103" o:spid="_x0000_s1026" o:spt="202" type="#_x0000_t202" style="position:absolute;left:0pt;margin-left:393.1pt;margin-top:85.8pt;height:21.05pt;width:41.45pt;z-index:251716608;mso-width-relative:page;mso-height-relative:page;" filled="f" stroked="f" coordsize="21600,21600" o:gfxdata="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SMwmK&#10;2AAAAAsBAAAPAAAAAAAAAAEAIAAAACIAAABkcnMvZG93bnJldi54bWxQSwECFAAUAAAACACHTuJA&#10;F/8q/q8BAABQAwAADgAAAAAAAAABACAAAAAnAQAAZHJzL2Uyb0RvYy54bWxQSwUGAAAAAAYABgBZ&#10;AQAASAUAAAAA&#10;">
                <v:fill on="f" focussize="0,0"/>
                <v:stroke on="f"/>
                <v:imagedata o:title=""/>
                <o:lock v:ext="edit" aspectratio="f"/>
                <v:textbox>
                  <w:txbxContent>
                    <w:p w14:paraId="4B318017">
                      <w:pPr>
                        <w:rPr>
                          <w:rFonts w:hint="eastAsia" w:eastAsia="宋体"/>
                          <w:color w:val="FF0000"/>
                          <w:sz w:val="15"/>
                          <w:szCs w:val="15"/>
                          <w:lang w:eastAsia="zh-CN"/>
                        </w:rPr>
                      </w:pPr>
                      <w:r>
                        <w:rPr>
                          <w:rFonts w:hint="eastAsia"/>
                          <w:color w:val="FF0000"/>
                          <w:sz w:val="15"/>
                          <w:szCs w:val="15"/>
                        </w:rPr>
                        <w:t>DA00</w:t>
                      </w:r>
                      <w:r>
                        <w:rPr>
                          <w:rFonts w:hint="eastAsia"/>
                          <w:color w:val="FF0000"/>
                          <w:sz w:val="15"/>
                          <w:szCs w:val="15"/>
                          <w:lang w:val="en-US" w:eastAsia="zh-CN"/>
                        </w:rPr>
                        <w:t>5</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715584" behindDoc="0" locked="0" layoutInCell="1" allowOverlap="1">
                <wp:simplePos x="0" y="0"/>
                <wp:positionH relativeFrom="column">
                  <wp:posOffset>5380990</wp:posOffset>
                </wp:positionH>
                <wp:positionV relativeFrom="paragraph">
                  <wp:posOffset>1193165</wp:posOffset>
                </wp:positionV>
                <wp:extent cx="75565" cy="75565"/>
                <wp:effectExtent l="4445" t="4445" r="15240" b="15240"/>
                <wp:wrapNone/>
                <wp:docPr id="71" name="椭圆 85"/>
                <wp:cNvGraphicFramePr/>
                <a:graphic xmlns:a="http://schemas.openxmlformats.org/drawingml/2006/main">
                  <a:graphicData uri="http://schemas.microsoft.com/office/word/2010/wordprocessingShape">
                    <wps:wsp>
                      <wps:cNvSpPr/>
                      <wps:spPr>
                        <a:xfrm>
                          <a:off x="0" y="0"/>
                          <a:ext cx="75565" cy="75565"/>
                        </a:xfrm>
                        <a:prstGeom prst="ellipse">
                          <a:avLst/>
                        </a:prstGeom>
                        <a:solidFill>
                          <a:srgbClr val="FFFFFF"/>
                        </a:solidFill>
                        <a:ln w="9525" cap="flat" cmpd="sng">
                          <a:solidFill>
                            <a:srgbClr val="FF0000"/>
                          </a:solidFill>
                          <a:prstDash val="solid"/>
                          <a:headEnd type="none" w="med" len="med"/>
                          <a:tailEnd type="none" w="med" len="med"/>
                        </a:ln>
                      </wps:spPr>
                      <wps:bodyPr upright="1"/>
                    </wps:wsp>
                  </a:graphicData>
                </a:graphic>
              </wp:anchor>
            </w:drawing>
          </mc:Choice>
          <mc:Fallback>
            <w:pict>
              <v:shape id="椭圆 85" o:spid="_x0000_s1026" o:spt="3" type="#_x0000_t3" style="position:absolute;left:0pt;margin-left:423.7pt;margin-top:93.95pt;height:5.95pt;width:5.95pt;z-index:251715584;mso-width-relative:page;mso-height-relative:page;" fillcolor="#FFFFFF" filled="t" stroked="t" coordsize="21600,21600" o:gfxdata="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S5Q3v2wAAAAsBAAAPAAAAAAAAAAEAIAAAACIAAABkcnMvZG93bnJldi54bWxQ&#10;SwECFAAUAAAACACHTuJAEYfsp/QBAAAWBAAADgAAAAAAAAABACAAAAAqAQAAZHJzL2Uyb0RvYy54&#10;bWxQSwUGAAAAAAYABgBZAQAAkAUAAAAA&#10;">
                <v:fill on="t" focussize="0,0"/>
                <v:stroke color="#FF0000" joinstyle="round"/>
                <v:imagedata o:title=""/>
                <o:lock v:ext="edit" aspectratio="f"/>
              </v:shape>
            </w:pict>
          </mc:Fallback>
        </mc:AlternateContent>
      </w:r>
      <w:r>
        <w:rPr>
          <w:rFonts w:hint="default" w:ascii="Times New Roman" w:hAnsi="Times New Roman" w:cs="Times New Roman"/>
          <w:color w:val="auto"/>
          <w:highlight w:val="none"/>
        </w:rPr>
        <w:drawing>
          <wp:inline distT="0" distB="0" distL="114300" distR="114300">
            <wp:extent cx="8086725" cy="5676900"/>
            <wp:effectExtent l="0" t="0" r="9525" b="0"/>
            <wp:docPr id="57" name="图片 57" descr="166692681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666926815389"/>
                    <pic:cNvPicPr>
                      <a:picLocks noChangeAspect="1"/>
                    </pic:cNvPicPr>
                  </pic:nvPicPr>
                  <pic:blipFill>
                    <a:blip r:embed="rId34" cstate="print"/>
                    <a:stretch>
                      <a:fillRect/>
                    </a:stretch>
                  </pic:blipFill>
                  <pic:spPr>
                    <a:xfrm>
                      <a:off x="0" y="0"/>
                      <a:ext cx="8086725" cy="5676900"/>
                    </a:xfrm>
                    <a:prstGeom prst="rect">
                      <a:avLst/>
                    </a:prstGeom>
                  </pic:spPr>
                </pic:pic>
              </a:graphicData>
            </a:graphic>
          </wp:inline>
        </w:drawing>
      </w:r>
      <w:r>
        <w:rPr>
          <w:rFonts w:hint="default" w:ascii="Times New Roman" w:hAnsi="Times New Roman" w:cs="Times New Roman"/>
          <w:color w:val="auto"/>
          <w:highlight w:val="none"/>
        </w:rPr>
        <mc:AlternateContent>
          <mc:Choice Requires="wps">
            <w:drawing>
              <wp:anchor distT="0" distB="0" distL="114300" distR="114300" simplePos="0" relativeHeight="251689984" behindDoc="0" locked="0" layoutInCell="1" allowOverlap="1">
                <wp:simplePos x="0" y="0"/>
                <wp:positionH relativeFrom="column">
                  <wp:posOffset>554355</wp:posOffset>
                </wp:positionH>
                <wp:positionV relativeFrom="paragraph">
                  <wp:posOffset>1551305</wp:posOffset>
                </wp:positionV>
                <wp:extent cx="533400" cy="459105"/>
                <wp:effectExtent l="0" t="0" r="0" b="0"/>
                <wp:wrapNone/>
                <wp:docPr id="101" name="文本框 282"/>
                <wp:cNvGraphicFramePr/>
                <a:graphic xmlns:a="http://schemas.openxmlformats.org/drawingml/2006/main">
                  <a:graphicData uri="http://schemas.microsoft.com/office/word/2010/wordprocessingShape">
                    <wps:wsp>
                      <wps:cNvSpPr txBox="1"/>
                      <wps:spPr>
                        <a:xfrm>
                          <a:off x="683895" y="1318895"/>
                          <a:ext cx="533400" cy="459105"/>
                        </a:xfrm>
                        <a:prstGeom prst="rect">
                          <a:avLst/>
                        </a:prstGeom>
                        <a:noFill/>
                        <a:ln>
                          <a:noFill/>
                        </a:ln>
                      </wps:spPr>
                      <wps:txbx>
                        <w:txbxContent>
                          <w:p w14:paraId="3CA9584A">
                            <w:pPr>
                              <w:rPr>
                                <w:color w:val="FF0000"/>
                                <w:sz w:val="18"/>
                                <w:szCs w:val="18"/>
                              </w:rPr>
                            </w:pPr>
                            <w:r>
                              <w:rPr>
                                <w:rFonts w:hint="eastAsia"/>
                                <w:color w:val="FF0000"/>
                                <w:sz w:val="18"/>
                                <w:szCs w:val="18"/>
                              </w:rPr>
                              <w:t>本项目</w:t>
                            </w:r>
                          </w:p>
                          <w:p w14:paraId="47ACD1A5">
                            <w:pPr>
                              <w:rPr>
                                <w:color w:val="FF0000"/>
                                <w:sz w:val="18"/>
                                <w:szCs w:val="18"/>
                              </w:rPr>
                            </w:pPr>
                            <w:r>
                              <w:rPr>
                                <w:rFonts w:hint="eastAsia"/>
                                <w:color w:val="FF0000"/>
                                <w:sz w:val="18"/>
                                <w:szCs w:val="18"/>
                              </w:rPr>
                              <w:t>危废间</w:t>
                            </w:r>
                          </w:p>
                        </w:txbxContent>
                      </wps:txbx>
                      <wps:bodyPr upright="1"/>
                    </wps:wsp>
                  </a:graphicData>
                </a:graphic>
              </wp:anchor>
            </w:drawing>
          </mc:Choice>
          <mc:Fallback>
            <w:pict>
              <v:shape id="文本框 282" o:spid="_x0000_s1026" o:spt="202" type="#_x0000_t202" style="position:absolute;left:0pt;margin-left:43.65pt;margin-top:122.15pt;height:36.15pt;width:42pt;z-index:251689984;mso-width-relative:page;mso-height-relative:page;" filled="f" stroked="f" coordsize="21600,21600" o:gfxdata="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ornvXAAAACgEAAA8AAAAAAAAAAQAgAAAAIgAAAGRycy9kb3ducmV2LnhtbFBLAQIUABQA&#10;AAAIAIdO4kCxl9fMuAEAAFwDAAAOAAAAAAAAAAEAIAAAACYBAABkcnMvZTJvRG9jLnhtbFBLBQYA&#10;AAAABgAGAFkBAABQBQAAAAA=&#10;">
                <v:fill on="f" focussize="0,0"/>
                <v:stroke on="f"/>
                <v:imagedata o:title=""/>
                <o:lock v:ext="edit" aspectratio="f"/>
                <v:textbox>
                  <w:txbxContent>
                    <w:p w14:paraId="3CA9584A">
                      <w:pPr>
                        <w:rPr>
                          <w:color w:val="FF0000"/>
                          <w:sz w:val="18"/>
                          <w:szCs w:val="18"/>
                        </w:rPr>
                      </w:pPr>
                      <w:r>
                        <w:rPr>
                          <w:rFonts w:hint="eastAsia"/>
                          <w:color w:val="FF0000"/>
                          <w:sz w:val="18"/>
                          <w:szCs w:val="18"/>
                        </w:rPr>
                        <w:t>本项目</w:t>
                      </w:r>
                    </w:p>
                    <w:p w14:paraId="47ACD1A5">
                      <w:pPr>
                        <w:rPr>
                          <w:color w:val="FF0000"/>
                          <w:sz w:val="18"/>
                          <w:szCs w:val="18"/>
                        </w:rPr>
                      </w:pPr>
                      <w:r>
                        <w:rPr>
                          <w:rFonts w:hint="eastAsia"/>
                          <w:color w:val="FF0000"/>
                          <w:sz w:val="18"/>
                          <w:szCs w:val="18"/>
                        </w:rPr>
                        <w:t>危废间</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91008" behindDoc="0" locked="0" layoutInCell="1" allowOverlap="1">
                <wp:simplePos x="0" y="0"/>
                <wp:positionH relativeFrom="column">
                  <wp:posOffset>998855</wp:posOffset>
                </wp:positionH>
                <wp:positionV relativeFrom="paragraph">
                  <wp:posOffset>1441450</wp:posOffset>
                </wp:positionV>
                <wp:extent cx="266700" cy="209550"/>
                <wp:effectExtent l="3175" t="0" r="15875" b="19050"/>
                <wp:wrapNone/>
                <wp:docPr id="287" name="自选图形 283"/>
                <wp:cNvGraphicFramePr/>
                <a:graphic xmlns:a="http://schemas.openxmlformats.org/drawingml/2006/main">
                  <a:graphicData uri="http://schemas.microsoft.com/office/word/2010/wordprocessingShape">
                    <wps:wsp>
                      <wps:cNvCnPr/>
                      <wps:spPr>
                        <a:xfrm flipH="1">
                          <a:off x="1090295" y="1218565"/>
                          <a:ext cx="266700" cy="209550"/>
                        </a:xfrm>
                        <a:prstGeom prst="straightConnector1">
                          <a:avLst/>
                        </a:prstGeom>
                        <a:ln w="9525" cap="flat" cmpd="sng">
                          <a:solidFill>
                            <a:srgbClr val="FF0000"/>
                          </a:solidFill>
                          <a:prstDash val="solid"/>
                          <a:headEnd type="triangle" w="med" len="med"/>
                          <a:tailEnd type="none" w="med" len="med"/>
                        </a:ln>
                      </wps:spPr>
                      <wps:bodyPr/>
                    </wps:wsp>
                  </a:graphicData>
                </a:graphic>
              </wp:anchor>
            </w:drawing>
          </mc:Choice>
          <mc:Fallback>
            <w:pict>
              <v:shape id="自选图形 283" o:spid="_x0000_s1026" o:spt="32" type="#_x0000_t32" style="position:absolute;left:0pt;flip:x;margin-left:78.65pt;margin-top:113.5pt;height:16.5pt;width:21pt;z-index:251691008;mso-width-relative:page;mso-height-relative:page;" filled="f" stroked="t" coordsize="21600,21600" o:gfxdata="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JSift1wAAAAsB&#10;AAAPAAAAAAAAAAEAIAAAACIAAABkcnMvZG93bnJldi54bWxQSwECFAAUAAAACACHTuJASrsSJRwC&#10;AAAFBAAADgAAAAAAAAABACAAAAAmAQAAZHJzL2Uyb0RvYy54bWxQSwUGAAAAAAYABgBZAQAAtAUA&#10;AAAA&#10;">
                <v:fill on="f" focussize="0,0"/>
                <v:stroke color="#FF0000" joinstyle="round" start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96128" behindDoc="0" locked="0" layoutInCell="1" allowOverlap="1">
                <wp:simplePos x="0" y="0"/>
                <wp:positionH relativeFrom="column">
                  <wp:posOffset>1196975</wp:posOffset>
                </wp:positionH>
                <wp:positionV relativeFrom="paragraph">
                  <wp:posOffset>1336040</wp:posOffset>
                </wp:positionV>
                <wp:extent cx="176530" cy="161925"/>
                <wp:effectExtent l="15240" t="14605" r="17780" b="13970"/>
                <wp:wrapNone/>
                <wp:docPr id="283" name="自选图形 281"/>
                <wp:cNvGraphicFramePr/>
                <a:graphic xmlns:a="http://schemas.openxmlformats.org/drawingml/2006/main">
                  <a:graphicData uri="http://schemas.microsoft.com/office/word/2010/wordprocessingShape">
                    <wps:wsp>
                      <wps:cNvSpPr/>
                      <wps:spPr>
                        <a:xfrm>
                          <a:off x="1297940" y="1065530"/>
                          <a:ext cx="176530" cy="161925"/>
                        </a:xfrm>
                        <a:prstGeom prst="star5">
                          <a:avLst/>
                        </a:prstGeom>
                        <a:solidFill>
                          <a:srgbClr val="FFFFFF"/>
                        </a:solidFill>
                        <a:ln w="9525" cap="flat" cmpd="sng">
                          <a:solidFill>
                            <a:srgbClr val="FF0000"/>
                          </a:solidFill>
                          <a:prstDash val="solid"/>
                          <a:miter/>
                          <a:headEnd type="none" w="med" len="med"/>
                          <a:tailEnd type="none" w="med" len="med"/>
                        </a:ln>
                      </wps:spPr>
                      <wps:bodyPr upright="1"/>
                    </wps:wsp>
                  </a:graphicData>
                </a:graphic>
              </wp:anchor>
            </w:drawing>
          </mc:Choice>
          <mc:Fallback>
            <w:pict>
              <v:shape id="自选图形 281" o:spid="_x0000_s1026" style="position:absolute;left:0pt;margin-left:94.25pt;margin-top:105.2pt;height:12.75pt;width:13.9pt;z-index:251696128;mso-width-relative:page;mso-height-relative:page;" fillcolor="#FFFFFF" filled="t" stroked="t" coordsize="176530,161925" o:gfxdata="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Fto3zaAAAACwEAAA8AAAAA&#10;AAAAAQAgAAAAIgAAAGRycy9kb3ducmV2LnhtbFBLAQIUABQAAAAIAIdO4kABk/gJEgIAADQEAAAO&#10;AAAAAAAAAAEAIAAAACkBAABkcnMvZTJvRG9jLnhtbFBLBQYAAAAABgAGAFkBAACtBQAAAAA=&#10;" path="m0,61849l67428,61850,88265,0,109101,61850,176529,61849,121978,100074,142815,161924,88265,123698,33714,161924,54551,100074xe">
                <v:path o:connectlocs="88265,0;0,61849;33714,161924;142815,161924;176529,61849" o:connectangles="247,164,82,82,0"/>
                <v:fill on="t" focussize="0,0"/>
                <v:stroke color="#FF0000" joinstyle="miter"/>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98176" behindDoc="0" locked="0" layoutInCell="1" allowOverlap="1">
                <wp:simplePos x="0" y="0"/>
                <wp:positionH relativeFrom="column">
                  <wp:posOffset>5631180</wp:posOffset>
                </wp:positionH>
                <wp:positionV relativeFrom="paragraph">
                  <wp:posOffset>1370330</wp:posOffset>
                </wp:positionV>
                <wp:extent cx="828675" cy="459105"/>
                <wp:effectExtent l="0" t="0" r="0" b="0"/>
                <wp:wrapNone/>
                <wp:docPr id="116" name="文本框 282"/>
                <wp:cNvGraphicFramePr/>
                <a:graphic xmlns:a="http://schemas.openxmlformats.org/drawingml/2006/main">
                  <a:graphicData uri="http://schemas.microsoft.com/office/word/2010/wordprocessingShape">
                    <wps:wsp>
                      <wps:cNvSpPr txBox="1"/>
                      <wps:spPr>
                        <a:xfrm>
                          <a:off x="0" y="0"/>
                          <a:ext cx="828675" cy="459105"/>
                        </a:xfrm>
                        <a:prstGeom prst="rect">
                          <a:avLst/>
                        </a:prstGeom>
                        <a:noFill/>
                        <a:ln>
                          <a:noFill/>
                        </a:ln>
                      </wps:spPr>
                      <wps:txbx>
                        <w:txbxContent>
                          <w:p w14:paraId="56B774CD">
                            <w:pPr>
                              <w:rPr>
                                <w:color w:val="FF0000"/>
                                <w:sz w:val="18"/>
                                <w:szCs w:val="18"/>
                              </w:rPr>
                            </w:pPr>
                            <w:r>
                              <w:rPr>
                                <w:rFonts w:hint="eastAsia"/>
                                <w:color w:val="FF0000"/>
                                <w:sz w:val="18"/>
                                <w:szCs w:val="18"/>
                              </w:rPr>
                              <w:t>本项目区域</w:t>
                            </w:r>
                          </w:p>
                        </w:txbxContent>
                      </wps:txbx>
                      <wps:bodyPr upright="1"/>
                    </wps:wsp>
                  </a:graphicData>
                </a:graphic>
              </wp:anchor>
            </w:drawing>
          </mc:Choice>
          <mc:Fallback>
            <w:pict>
              <v:shape id="文本框 282" o:spid="_x0000_s1026" o:spt="202" type="#_x0000_t202" style="position:absolute;left:0pt;margin-left:443.4pt;margin-top:107.9pt;height:36.15pt;width:65.25pt;z-index:251698176;mso-width-relative:page;mso-height-relative:page;" filled="f" stroked="f" coordsize="21600,21600" o:gfxdata="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i2rAv&#10;2AAAAAwBAAAPAAAAAAAAAAEAIAAAACIAAABkcnMvZG93bnJldi54bWxQSwECFAAUAAAACACHTuJA&#10;jx/P968BAABRAwAADgAAAAAAAAABACAAAAAnAQAAZHJzL2Uyb0RvYy54bWxQSwUGAAAAAAYABgBZ&#10;AQAASAUAAAAA&#10;">
                <v:fill on="f" focussize="0,0"/>
                <v:stroke on="f"/>
                <v:imagedata o:title=""/>
                <o:lock v:ext="edit" aspectratio="f"/>
                <v:textbox>
                  <w:txbxContent>
                    <w:p w14:paraId="56B774CD">
                      <w:pPr>
                        <w:rPr>
                          <w:color w:val="FF0000"/>
                          <w:sz w:val="18"/>
                          <w:szCs w:val="18"/>
                        </w:rPr>
                      </w:pPr>
                      <w:r>
                        <w:rPr>
                          <w:rFonts w:hint="eastAsia"/>
                          <w:color w:val="FF0000"/>
                          <w:sz w:val="18"/>
                          <w:szCs w:val="18"/>
                        </w:rPr>
                        <w:t>本项目区域</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97152" behindDoc="0" locked="0" layoutInCell="1" allowOverlap="1">
                <wp:simplePos x="0" y="0"/>
                <wp:positionH relativeFrom="column">
                  <wp:posOffset>5428615</wp:posOffset>
                </wp:positionH>
                <wp:positionV relativeFrom="paragraph">
                  <wp:posOffset>1154430</wp:posOffset>
                </wp:positionV>
                <wp:extent cx="1240790" cy="803910"/>
                <wp:effectExtent l="4445" t="4445" r="12065" b="10795"/>
                <wp:wrapNone/>
                <wp:docPr id="110" name="任意多边形 110"/>
                <wp:cNvGraphicFramePr/>
                <a:graphic xmlns:a="http://schemas.openxmlformats.org/drawingml/2006/main">
                  <a:graphicData uri="http://schemas.microsoft.com/office/word/2010/wordprocessingShape">
                    <wps:wsp>
                      <wps:cNvSpPr/>
                      <wps:spPr>
                        <a:xfrm>
                          <a:off x="0" y="0"/>
                          <a:ext cx="1240790" cy="803910"/>
                        </a:xfrm>
                        <a:custGeom>
                          <a:avLst/>
                          <a:gdLst>
                            <a:gd name="connisteX0" fmla="*/ 812800 w 819150"/>
                            <a:gd name="connsiteY0" fmla="*/ 793750 h 793750"/>
                            <a:gd name="connisteX1" fmla="*/ 0 w 819150"/>
                            <a:gd name="connsiteY1" fmla="*/ 787400 h 793750"/>
                            <a:gd name="connisteX2" fmla="*/ 25400 w 819150"/>
                            <a:gd name="connsiteY2" fmla="*/ 0 h 793750"/>
                            <a:gd name="connisteX3" fmla="*/ 819150 w 819150"/>
                            <a:gd name="connsiteY3" fmla="*/ 19050 h 793750"/>
                            <a:gd name="connisteX4" fmla="*/ 812800 w 819150"/>
                            <a:gd name="connsiteY4" fmla="*/ 793750 h 79375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819150" h="793750">
                              <a:moveTo>
                                <a:pt x="812800" y="793750"/>
                              </a:moveTo>
                              <a:lnTo>
                                <a:pt x="0" y="787400"/>
                              </a:lnTo>
                              <a:lnTo>
                                <a:pt x="25400" y="0"/>
                              </a:lnTo>
                              <a:lnTo>
                                <a:pt x="819150" y="19050"/>
                              </a:lnTo>
                              <a:lnTo>
                                <a:pt x="812800" y="793750"/>
                              </a:lnTo>
                              <a:close/>
                            </a:path>
                          </a:pathLst>
                        </a:custGeom>
                        <a:noFill/>
                        <a:ln w="952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427.45pt;margin-top:90.9pt;height:63.3pt;width:97.7pt;z-index:251697152;mso-width-relative:page;mso-height-relative:page;" filled="f" stroked="t" coordsize="819150,793750" o:gfxdata="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NJh&#10;zwLYAAAADAEAAA8AAAAAAAAAAQAgAAAAIgAAAGRycy9kb3ducmV2LnhtbFBLAQIUABQAAAAIAIdO&#10;4kDT1Oe0BwMAADMIAAAOAAAAAAAAAAEAIAAAACcBAABkcnMvZTJvRG9jLnhtbFBLBQYAAAAABgAG&#10;AFkBAACgBgAAAAA=&#10;" path="m812800,793750l0,787400,25400,0,819150,19050,812800,793750xe">
                <v:path o:connectlocs="1231171,803910;0,797478;38474,0;1240790,19293;1231171,803910" o:connectangles="0,0,0,0,0"/>
                <v:fill on="f" focussize="0,0"/>
                <v:stroke color="#FF0000 [2404]" joinstyle="round"/>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95104" behindDoc="0" locked="0" layoutInCell="1" allowOverlap="1">
                <wp:simplePos x="0" y="0"/>
                <wp:positionH relativeFrom="column">
                  <wp:posOffset>7898130</wp:posOffset>
                </wp:positionH>
                <wp:positionV relativeFrom="paragraph">
                  <wp:posOffset>2575560</wp:posOffset>
                </wp:positionV>
                <wp:extent cx="640715" cy="200660"/>
                <wp:effectExtent l="0" t="0" r="0" b="0"/>
                <wp:wrapNone/>
                <wp:docPr id="281" name="文本框 196"/>
                <wp:cNvGraphicFramePr/>
                <a:graphic xmlns:a="http://schemas.openxmlformats.org/drawingml/2006/main">
                  <a:graphicData uri="http://schemas.microsoft.com/office/word/2010/wordprocessingShape">
                    <wps:wsp>
                      <wps:cNvSpPr txBox="1"/>
                      <wps:spPr>
                        <a:xfrm>
                          <a:off x="8618220" y="3686175"/>
                          <a:ext cx="640715" cy="200660"/>
                        </a:xfrm>
                        <a:prstGeom prst="rect">
                          <a:avLst/>
                        </a:prstGeom>
                        <a:noFill/>
                        <a:ln>
                          <a:noFill/>
                        </a:ln>
                      </wps:spPr>
                      <wps:txbx>
                        <w:txbxContent>
                          <w:p w14:paraId="083D9F16">
                            <w:pPr>
                              <w:rPr>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DA003</w:t>
                            </w:r>
                          </w:p>
                        </w:txbxContent>
                      </wps:txbx>
                      <wps:bodyPr upright="1">
                        <a:spAutoFit/>
                      </wps:bodyPr>
                    </wps:wsp>
                  </a:graphicData>
                </a:graphic>
              </wp:anchor>
            </w:drawing>
          </mc:Choice>
          <mc:Fallback>
            <w:pict>
              <v:shape id="文本框 196" o:spid="_x0000_s1026" o:spt="202" type="#_x0000_t202" style="position:absolute;left:0pt;margin-left:621.9pt;margin-top:202.8pt;height:15.8pt;width:50.45pt;z-index:251695104;mso-width-relative:page;mso-height-relative:page;" filled="f" stroked="f" coordsize="21600,21600" o:gfxdata="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ut1Ny2QAAAA0BAAAPAAAAAAAAAAEAIAAAACIAAABkcnMvZG93&#10;bnJldi54bWxQSwECFAAUAAAACACHTuJAmH2QAMYBAAB3AwAADgAAAAAAAAABACAAAAAoAQAAZHJz&#10;L2Uyb0RvYy54bWxQSwUGAAAAAAYABgBZAQAAYAUAAAAA&#10;">
                <v:fill on="f" focussize="0,0"/>
                <v:stroke on="f"/>
                <v:imagedata o:title=""/>
                <o:lock v:ext="edit" aspectratio="f"/>
                <v:textbox style="mso-fit-shape-to-text:t;">
                  <w:txbxContent>
                    <w:p w14:paraId="083D9F16">
                      <w:pPr>
                        <w:rPr>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DA003</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94080" behindDoc="0" locked="0" layoutInCell="1" allowOverlap="1">
                <wp:simplePos x="0" y="0"/>
                <wp:positionH relativeFrom="column">
                  <wp:posOffset>7874000</wp:posOffset>
                </wp:positionH>
                <wp:positionV relativeFrom="paragraph">
                  <wp:posOffset>2432050</wp:posOffset>
                </wp:positionV>
                <wp:extent cx="640715" cy="200660"/>
                <wp:effectExtent l="0" t="0" r="0" b="0"/>
                <wp:wrapNone/>
                <wp:docPr id="280" name="文本框 104"/>
                <wp:cNvGraphicFramePr/>
                <a:graphic xmlns:a="http://schemas.openxmlformats.org/drawingml/2006/main">
                  <a:graphicData uri="http://schemas.microsoft.com/office/word/2010/wordprocessingShape">
                    <wps:wsp>
                      <wps:cNvSpPr txBox="1"/>
                      <wps:spPr>
                        <a:xfrm>
                          <a:off x="8594090" y="3542665"/>
                          <a:ext cx="640715" cy="200660"/>
                        </a:xfrm>
                        <a:prstGeom prst="rect">
                          <a:avLst/>
                        </a:prstGeom>
                        <a:noFill/>
                        <a:ln>
                          <a:noFill/>
                        </a:ln>
                      </wps:spPr>
                      <wps:txbx>
                        <w:txbxContent>
                          <w:p w14:paraId="67F1E2BD">
                            <w:pPr>
                              <w:rPr>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DA002</w:t>
                            </w:r>
                          </w:p>
                        </w:txbxContent>
                      </wps:txbx>
                      <wps:bodyPr upright="1">
                        <a:spAutoFit/>
                      </wps:bodyPr>
                    </wps:wsp>
                  </a:graphicData>
                </a:graphic>
              </wp:anchor>
            </w:drawing>
          </mc:Choice>
          <mc:Fallback>
            <w:pict>
              <v:shape id="文本框 104" o:spid="_x0000_s1026" o:spt="202" type="#_x0000_t202" style="position:absolute;left:0pt;margin-left:620pt;margin-top:191.5pt;height:15.8pt;width:50.45pt;z-index:251694080;mso-width-relative:page;mso-height-relative:page;" filled="f" stroked="f" coordsize="21600,21600" o:gfxdata="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gV8Jc2gAAAA0BAAAPAAAAAAAAAAEAIAAAACIAAABkcnMv&#10;ZG93bnJldi54bWxQSwECFAAUAAAACACHTuJAwmcLg8gBAAB3AwAADgAAAAAAAAABACAAAAApAQAA&#10;ZHJzL2Uyb0RvYy54bWxQSwUGAAAAAAYABgBZAQAAYwUAAAAA&#10;">
                <v:fill on="f" focussize="0,0"/>
                <v:stroke on="f"/>
                <v:imagedata o:title=""/>
                <o:lock v:ext="edit" aspectratio="f"/>
                <v:textbox style="mso-fit-shape-to-text:t;">
                  <w:txbxContent>
                    <w:p w14:paraId="67F1E2BD">
                      <w:pPr>
                        <w:rPr>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DA002</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93056" behindDoc="0" locked="0" layoutInCell="1" allowOverlap="1">
                <wp:simplePos x="0" y="0"/>
                <wp:positionH relativeFrom="column">
                  <wp:posOffset>7887970</wp:posOffset>
                </wp:positionH>
                <wp:positionV relativeFrom="paragraph">
                  <wp:posOffset>1851660</wp:posOffset>
                </wp:positionV>
                <wp:extent cx="526415" cy="267335"/>
                <wp:effectExtent l="0" t="0" r="0" b="0"/>
                <wp:wrapNone/>
                <wp:docPr id="279" name="文本框 103"/>
                <wp:cNvGraphicFramePr/>
                <a:graphic xmlns:a="http://schemas.openxmlformats.org/drawingml/2006/main">
                  <a:graphicData uri="http://schemas.microsoft.com/office/word/2010/wordprocessingShape">
                    <wps:wsp>
                      <wps:cNvSpPr txBox="1"/>
                      <wps:spPr>
                        <a:xfrm>
                          <a:off x="8608060" y="2962275"/>
                          <a:ext cx="526415" cy="267335"/>
                        </a:xfrm>
                        <a:prstGeom prst="rect">
                          <a:avLst/>
                        </a:prstGeom>
                        <a:noFill/>
                        <a:ln>
                          <a:noFill/>
                        </a:ln>
                      </wps:spPr>
                      <wps:txbx>
                        <w:txbxContent>
                          <w:p w14:paraId="65B1BF0A">
                            <w:pPr>
                              <w:rPr>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DA001</w:t>
                            </w:r>
                          </w:p>
                        </w:txbxContent>
                      </wps:txbx>
                      <wps:bodyPr upright="1"/>
                    </wps:wsp>
                  </a:graphicData>
                </a:graphic>
              </wp:anchor>
            </w:drawing>
          </mc:Choice>
          <mc:Fallback>
            <w:pict>
              <v:shape id="文本框 103" o:spid="_x0000_s1026" o:spt="202" type="#_x0000_t202" style="position:absolute;left:0pt;margin-left:621.1pt;margin-top:145.8pt;height:21.05pt;width:41.45pt;z-index:251693056;mso-width-relative:page;mso-height-relative:page;" filled="f" stroked="f" coordsize="21600,21600" o:gfxdata="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j+cn42QAAAA0BAAAPAAAAAAAAAAEAIAAAACIAAABkcnMvZG93bnJldi54bWxQSwEC&#10;FAAUAAAACACHTuJA8BLxO7oBAABdAwAADgAAAAAAAAABACAAAAAoAQAAZHJzL2Uyb0RvYy54bWxQ&#10;SwUGAAAAAAYABgBZAQAAVAUAAAAA&#10;">
                <v:fill on="f" focussize="0,0"/>
                <v:stroke on="f"/>
                <v:imagedata o:title=""/>
                <o:lock v:ext="edit" aspectratio="f"/>
                <v:textbox>
                  <w:txbxContent>
                    <w:p w14:paraId="65B1BF0A">
                      <w:pPr>
                        <w:rPr>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DA001</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92032" behindDoc="0" locked="0" layoutInCell="1" allowOverlap="1">
                <wp:simplePos x="0" y="0"/>
                <wp:positionH relativeFrom="column">
                  <wp:posOffset>4180205</wp:posOffset>
                </wp:positionH>
                <wp:positionV relativeFrom="paragraph">
                  <wp:posOffset>5242560</wp:posOffset>
                </wp:positionV>
                <wp:extent cx="619125" cy="351790"/>
                <wp:effectExtent l="0" t="0" r="0" b="0"/>
                <wp:wrapNone/>
                <wp:docPr id="102" name="文本框 284"/>
                <wp:cNvGraphicFramePr/>
                <a:graphic xmlns:a="http://schemas.openxmlformats.org/drawingml/2006/main">
                  <a:graphicData uri="http://schemas.microsoft.com/office/word/2010/wordprocessingShape">
                    <wps:wsp>
                      <wps:cNvSpPr txBox="1"/>
                      <wps:spPr>
                        <a:xfrm>
                          <a:off x="4900295" y="6353175"/>
                          <a:ext cx="619125" cy="351790"/>
                        </a:xfrm>
                        <a:prstGeom prst="rect">
                          <a:avLst/>
                        </a:prstGeom>
                        <a:noFill/>
                        <a:ln>
                          <a:noFill/>
                        </a:ln>
                      </wps:spPr>
                      <wps:txbx>
                        <w:txbxContent>
                          <w:p w14:paraId="268743D3">
                            <w:r>
                              <w:rPr>
                                <w:rFonts w:hint="eastAsia"/>
                              </w:rPr>
                              <w:t>门岗</w:t>
                            </w:r>
                          </w:p>
                        </w:txbxContent>
                      </wps:txbx>
                      <wps:bodyPr upright="1"/>
                    </wps:wsp>
                  </a:graphicData>
                </a:graphic>
              </wp:anchor>
            </w:drawing>
          </mc:Choice>
          <mc:Fallback>
            <w:pict>
              <v:shape id="文本框 284" o:spid="_x0000_s1026" o:spt="202" type="#_x0000_t202" style="position:absolute;left:0pt;margin-left:329.15pt;margin-top:412.8pt;height:27.7pt;width:48.75pt;z-index:251692032;mso-width-relative:page;mso-height-relative:page;" filled="f" stroked="f" coordsize="21600,21600" o:gfxdata="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28xMtNgAAAALAQAADwAAAAAAAAABACAAAAAiAAAAZHJzL2Rvd25yZXYueG1sUEsB&#10;AhQAFAAAAAgAh07iQGu/yPO8AQAAXQMAAA4AAAAAAAAAAQAgAAAAJwEAAGRycy9lMm9Eb2MueG1s&#10;UEsFBgAAAAAGAAYAWQEAAFUFAAAAAA==&#10;">
                <v:fill on="f" focussize="0,0"/>
                <v:stroke on="f"/>
                <v:imagedata o:title=""/>
                <o:lock v:ext="edit" aspectratio="f"/>
                <v:textbox>
                  <w:txbxContent>
                    <w:p w14:paraId="268743D3">
                      <w:r>
                        <w:rPr>
                          <w:rFonts w:hint="eastAsia"/>
                        </w:rPr>
                        <w:t>门岗</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8960" behindDoc="0" locked="0" layoutInCell="1" allowOverlap="1">
                <wp:simplePos x="0" y="0"/>
                <wp:positionH relativeFrom="column">
                  <wp:posOffset>351155</wp:posOffset>
                </wp:positionH>
                <wp:positionV relativeFrom="paragraph">
                  <wp:posOffset>5656580</wp:posOffset>
                </wp:positionV>
                <wp:extent cx="1158875" cy="264160"/>
                <wp:effectExtent l="0" t="0" r="0" b="0"/>
                <wp:wrapNone/>
                <wp:docPr id="97" name="文本框 102"/>
                <wp:cNvGraphicFramePr/>
                <a:graphic xmlns:a="http://schemas.openxmlformats.org/drawingml/2006/main">
                  <a:graphicData uri="http://schemas.microsoft.com/office/word/2010/wordprocessingShape">
                    <wps:wsp>
                      <wps:cNvSpPr txBox="1"/>
                      <wps:spPr>
                        <a:xfrm>
                          <a:off x="1071245" y="6767195"/>
                          <a:ext cx="1158875" cy="264160"/>
                        </a:xfrm>
                        <a:prstGeom prst="rect">
                          <a:avLst/>
                        </a:prstGeom>
                        <a:noFill/>
                        <a:ln>
                          <a:noFill/>
                        </a:ln>
                      </wps:spPr>
                      <wps:txbx>
                        <w:txbxContent>
                          <w:p w14:paraId="2D26AD6E">
                            <w:r>
                              <w:t>生活污水排放口</w:t>
                            </w:r>
                          </w:p>
                        </w:txbxContent>
                      </wps:txbx>
                      <wps:bodyPr upright="1">
                        <a:spAutoFit/>
                      </wps:bodyPr>
                    </wps:wsp>
                  </a:graphicData>
                </a:graphic>
              </wp:anchor>
            </w:drawing>
          </mc:Choice>
          <mc:Fallback>
            <w:pict>
              <v:shape id="文本框 102" o:spid="_x0000_s1026" o:spt="202" type="#_x0000_t202" style="position:absolute;left:0pt;margin-left:27.65pt;margin-top:445.4pt;height:20.8pt;width:91.25pt;z-index:251688960;mso-width-relative:page;mso-height-relative:page;" filled="f" stroked="f" coordsize="21600,21600" o:gfxdata="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XFvuH2AAAAAoBAAAPAAAAAAAAAAEAIAAAACIAAABkcnMvZG93&#10;bnJldi54bWxQSwECFAAUAAAACACHTuJAIBprvscBAAB3AwAADgAAAAAAAAABACAAAAAnAQAAZHJz&#10;L2Uyb0RvYy54bWxQSwUGAAAAAAYABgBZAQAAYAUAAAAA&#10;">
                <v:fill on="f" focussize="0,0"/>
                <v:stroke on="f"/>
                <v:imagedata o:title=""/>
                <o:lock v:ext="edit" aspectratio="f"/>
                <v:textbox style="mso-fit-shape-to-text:t;">
                  <w:txbxContent>
                    <w:p w14:paraId="2D26AD6E">
                      <w:r>
                        <w:t>生活污水排放口</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7936" behindDoc="0" locked="0" layoutInCell="1" allowOverlap="1">
                <wp:simplePos x="0" y="0"/>
                <wp:positionH relativeFrom="column">
                  <wp:posOffset>1064260</wp:posOffset>
                </wp:positionH>
                <wp:positionV relativeFrom="paragraph">
                  <wp:posOffset>5473065</wp:posOffset>
                </wp:positionV>
                <wp:extent cx="64135" cy="64135"/>
                <wp:effectExtent l="4445" t="4445" r="7620" b="7620"/>
                <wp:wrapNone/>
                <wp:docPr id="95" name="椭圆 101"/>
                <wp:cNvGraphicFramePr/>
                <a:graphic xmlns:a="http://schemas.openxmlformats.org/drawingml/2006/main">
                  <a:graphicData uri="http://schemas.microsoft.com/office/word/2010/wordprocessingShape">
                    <wps:wsp>
                      <wps:cNvSpPr/>
                      <wps:spPr>
                        <a:xfrm>
                          <a:off x="1784350" y="6583680"/>
                          <a:ext cx="64135" cy="64135"/>
                        </a:xfrm>
                        <a:prstGeom prst="ellipse">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椭圆 101" o:spid="_x0000_s1026" o:spt="3" type="#_x0000_t3" style="position:absolute;left:0pt;margin-left:83.8pt;margin-top:430.95pt;height:5.05pt;width:5.05pt;z-index:251687936;mso-width-relative:page;mso-height-relative:page;" fillcolor="#FFFFFF" filled="t" stroked="t" coordsize="21600,21600" o:gfxdata="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YMSyL2AAAAAsBAAAPAAAAAAAAAAEAIAAAACIAAABkcnMvZG93&#10;bnJldi54bWxQSwECFAAUAAAACACHTuJAHroAxAACAAAjBAAADgAAAAAAAAABACAAAAAnAQAAZHJz&#10;L2Uyb0RvYy54bWxQSwUGAAAAAAYABgBZAQAAmQUAAAAA&#10;">
                <v:fill on="t" focussize="0,0"/>
                <v:stroke color="#000000" joinstyle="round"/>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6912" behindDoc="0" locked="0" layoutInCell="1" allowOverlap="1">
                <wp:simplePos x="0" y="0"/>
                <wp:positionH relativeFrom="column">
                  <wp:posOffset>876935</wp:posOffset>
                </wp:positionH>
                <wp:positionV relativeFrom="paragraph">
                  <wp:posOffset>5535930</wp:posOffset>
                </wp:positionV>
                <wp:extent cx="193040" cy="166370"/>
                <wp:effectExtent l="3175" t="0" r="13335" b="5080"/>
                <wp:wrapNone/>
                <wp:docPr id="94" name="直线 100"/>
                <wp:cNvGraphicFramePr/>
                <a:graphic xmlns:a="http://schemas.openxmlformats.org/drawingml/2006/main">
                  <a:graphicData uri="http://schemas.microsoft.com/office/word/2010/wordprocessingShape">
                    <wps:wsp>
                      <wps:cNvCnPr/>
                      <wps:spPr>
                        <a:xfrm flipV="1">
                          <a:off x="1597025" y="6646545"/>
                          <a:ext cx="193040" cy="1663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00" o:spid="_x0000_s1026" o:spt="20" style="position:absolute;left:0pt;flip:y;margin-left:69.05pt;margin-top:435.9pt;height:13.1pt;width:15.2pt;z-index:251686912;mso-width-relative:page;mso-height-relative:page;" filled="f" stroked="t" coordsize="21600,21600" o:gfxdata="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t++IjaAAAACwEAAA8AAAAAAAAAAQAgAAAAIgAAAGRycy9k&#10;b3ducmV2LnhtbFBLAQIUABQAAAAIAIdO4kBVfXG4AAIAAPADAAAOAAAAAAAAAAEAIAAAACkBAABk&#10;cnMvZTJvRG9jLnhtbFBLBQYAAAAABgAGAFkBAACbBQAAAAA=&#10;">
                <v:fill on="f" focussize="0,0"/>
                <v:stroke color="#000000" joinstyle="round" endarrow="block"/>
                <v:imagedata o:title=""/>
                <o:lock v:ext="edit" aspectratio="f"/>
              </v:lin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7868920</wp:posOffset>
                </wp:positionH>
                <wp:positionV relativeFrom="paragraph">
                  <wp:posOffset>2693035</wp:posOffset>
                </wp:positionV>
                <wp:extent cx="75565" cy="75565"/>
                <wp:effectExtent l="4445" t="4445" r="15240" b="15240"/>
                <wp:wrapNone/>
                <wp:docPr id="93" name="椭圆 99"/>
                <wp:cNvGraphicFramePr/>
                <a:graphic xmlns:a="http://schemas.openxmlformats.org/drawingml/2006/main">
                  <a:graphicData uri="http://schemas.microsoft.com/office/word/2010/wordprocessingShape">
                    <wps:wsp>
                      <wps:cNvSpPr/>
                      <wps:spPr>
                        <a:xfrm>
                          <a:off x="8589010" y="3803650"/>
                          <a:ext cx="75565" cy="75565"/>
                        </a:xfrm>
                        <a:prstGeom prst="ellipse">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椭圆 99" o:spid="_x0000_s1026" o:spt="3" type="#_x0000_t3" style="position:absolute;left:0pt;margin-left:619.6pt;margin-top:212.05pt;height:5.95pt;width:5.95pt;z-index:251685888;mso-width-relative:page;mso-height-relative:page;" fillcolor="#FFFFFF" filled="t" stroked="t" coordsize="21600,21600" o:gfxdata="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UeaxbaAAAADQEAAA8AAAAAAAAAAQAgAAAAIgAAAGRycy9k&#10;b3ducmV2LnhtbFBLAQIUABQAAAAIAIdO4kA8K3/MAAIAACIEAAAOAAAAAAAAAAEAIAAAACkBAABk&#10;cnMvZTJvRG9jLnhtbFBLBQYAAAAABgAGAFkBAACbBQAAAAA=&#10;">
                <v:fill on="t" focussize="0,0"/>
                <v:stroke color="#000000" joinstyle="round"/>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7857490</wp:posOffset>
                </wp:positionH>
                <wp:positionV relativeFrom="paragraph">
                  <wp:posOffset>2562225</wp:posOffset>
                </wp:positionV>
                <wp:extent cx="75565" cy="75565"/>
                <wp:effectExtent l="4445" t="4445" r="15240" b="15240"/>
                <wp:wrapNone/>
                <wp:docPr id="92" name="椭圆 98"/>
                <wp:cNvGraphicFramePr/>
                <a:graphic xmlns:a="http://schemas.openxmlformats.org/drawingml/2006/main">
                  <a:graphicData uri="http://schemas.microsoft.com/office/word/2010/wordprocessingShape">
                    <wps:wsp>
                      <wps:cNvSpPr/>
                      <wps:spPr>
                        <a:xfrm>
                          <a:off x="8577580" y="3672840"/>
                          <a:ext cx="75565" cy="75565"/>
                        </a:xfrm>
                        <a:prstGeom prst="ellipse">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椭圆 98" o:spid="_x0000_s1026" o:spt="3" type="#_x0000_t3" style="position:absolute;left:0pt;margin-left:618.7pt;margin-top:201.75pt;height:5.95pt;width:5.95pt;z-index:251684864;mso-width-relative:page;mso-height-relative:page;" fillcolor="#FFFFFF" filled="t" stroked="t" coordsize="21600,21600" o:gfxdata="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XwLe2gAAAA0BAAAPAAAAAAAAAAEAIAAAACIAAABkcnMv&#10;ZG93bnJldi54bWxQSwECFAAUAAAACACHTuJAHqbTKAECAAAiBAAADgAAAAAAAAABACAAAAApAQAA&#10;ZHJzL2Uyb0RvYy54bWxQSwUGAAAAAAYABgBZAQAAnAUAAAAA&#10;">
                <v:fill on="t" focussize="0,0"/>
                <v:stroke color="#000000" joinstyle="round"/>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3840" behindDoc="0" locked="0" layoutInCell="1" allowOverlap="1">
                <wp:simplePos x="0" y="0"/>
                <wp:positionH relativeFrom="column">
                  <wp:posOffset>7857490</wp:posOffset>
                </wp:positionH>
                <wp:positionV relativeFrom="paragraph">
                  <wp:posOffset>1967230</wp:posOffset>
                </wp:positionV>
                <wp:extent cx="75565" cy="75565"/>
                <wp:effectExtent l="4445" t="4445" r="15240" b="15240"/>
                <wp:wrapNone/>
                <wp:docPr id="84" name="椭圆 97"/>
                <wp:cNvGraphicFramePr/>
                <a:graphic xmlns:a="http://schemas.openxmlformats.org/drawingml/2006/main">
                  <a:graphicData uri="http://schemas.microsoft.com/office/word/2010/wordprocessingShape">
                    <wps:wsp>
                      <wps:cNvSpPr/>
                      <wps:spPr>
                        <a:xfrm>
                          <a:off x="8577580" y="3077845"/>
                          <a:ext cx="75565" cy="75565"/>
                        </a:xfrm>
                        <a:prstGeom prst="ellipse">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椭圆 97" o:spid="_x0000_s1026" o:spt="3" type="#_x0000_t3" style="position:absolute;left:0pt;margin-left:618.7pt;margin-top:154.9pt;height:5.95pt;width:5.95pt;z-index:251683840;mso-width-relative:page;mso-height-relative:page;" fillcolor="#FFFFFF" filled="t" stroked="t" coordsize="21600,21600" o:gfxdata="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&#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NGz3aAAAADQEAAA8AAAAAAAAAAQAgAAAAIgAAAGRy&#10;cy9kb3ducmV2LnhtbFBLAQIUABQAAAAIAIdO4kAsb6NlAwIAACIEAAAOAAAAAAAAAAEAIAAAACkB&#10;AABkcnMvZTJvRG9jLnhtbFBLBQYAAAAABgAGAFkBAACeBQAAAAA=&#10;">
                <v:fill on="t" focussize="0,0"/>
                <v:stroke color="#000000" joinstyle="round"/>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2816" behindDoc="0" locked="0" layoutInCell="1" allowOverlap="1">
                <wp:simplePos x="0" y="0"/>
                <wp:positionH relativeFrom="column">
                  <wp:posOffset>1692275</wp:posOffset>
                </wp:positionH>
                <wp:positionV relativeFrom="paragraph">
                  <wp:posOffset>458470</wp:posOffset>
                </wp:positionV>
                <wp:extent cx="190500" cy="11430"/>
                <wp:effectExtent l="0" t="42545" r="0" b="60325"/>
                <wp:wrapNone/>
                <wp:docPr id="79" name="直线 96"/>
                <wp:cNvGraphicFramePr/>
                <a:graphic xmlns:a="http://schemas.openxmlformats.org/drawingml/2006/main">
                  <a:graphicData uri="http://schemas.microsoft.com/office/word/2010/wordprocessingShape">
                    <wps:wsp>
                      <wps:cNvCnPr/>
                      <wps:spPr>
                        <a:xfrm flipH="1">
                          <a:off x="2412365" y="1569085"/>
                          <a:ext cx="190500" cy="1143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线 96" o:spid="_x0000_s1026" o:spt="20" style="position:absolute;left:0pt;flip:x;margin-left:133.25pt;margin-top:36.1pt;height:0.9pt;width:15pt;z-index:251682816;mso-width-relative:page;mso-height-relative:page;" filled="f" stroked="t" coordsize="21600,21600" o:gfxdata="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otpQ41wAAAAkBAAAPAAAAAAAAAAEAIAAAACIAAABkcnMvZG93&#10;bnJldi54bWxQSwECFAAUAAAACACHTuJA/AAuXQECAADrAwAADgAAAAAAAAABACAAAAAmAQAAZHJz&#10;L2Uyb0RvYy54bWxQSwUGAAAAAAYABgBZAQAAmQUAAAAA&#10;">
                <v:fill on="f" focussize="0,0"/>
                <v:stroke color="#000000" joinstyle="round" endarrow="open"/>
                <v:imagedata o:title=""/>
                <o:lock v:ext="edit" aspectratio="f"/>
              </v:lin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1792" behindDoc="0" locked="0" layoutInCell="1" allowOverlap="1">
                <wp:simplePos x="0" y="0"/>
                <wp:positionH relativeFrom="column">
                  <wp:posOffset>1811655</wp:posOffset>
                </wp:positionH>
                <wp:positionV relativeFrom="paragraph">
                  <wp:posOffset>303530</wp:posOffset>
                </wp:positionV>
                <wp:extent cx="1238250" cy="297815"/>
                <wp:effectExtent l="0" t="0" r="0" b="0"/>
                <wp:wrapNone/>
                <wp:docPr id="77" name="文本框 95"/>
                <wp:cNvGraphicFramePr/>
                <a:graphic xmlns:a="http://schemas.openxmlformats.org/drawingml/2006/main">
                  <a:graphicData uri="http://schemas.microsoft.com/office/word/2010/wordprocessingShape">
                    <wps:wsp>
                      <wps:cNvSpPr txBox="1"/>
                      <wps:spPr>
                        <a:xfrm>
                          <a:off x="2531745" y="1414145"/>
                          <a:ext cx="1238250" cy="297815"/>
                        </a:xfrm>
                        <a:prstGeom prst="rect">
                          <a:avLst/>
                        </a:prstGeom>
                        <a:noFill/>
                        <a:ln>
                          <a:noFill/>
                        </a:ln>
                      </wps:spPr>
                      <wps:txbx>
                        <w:txbxContent>
                          <w:p w14:paraId="6251CE1C">
                            <w:pPr>
                              <w:rPr>
                                <w:sz w:val="18"/>
                                <w:szCs w:val="18"/>
                              </w:rPr>
                            </w:pPr>
                            <w:r>
                              <w:rPr>
                                <w:rFonts w:hint="eastAsia"/>
                                <w:sz w:val="18"/>
                                <w:szCs w:val="18"/>
                              </w:rPr>
                              <w:t>原项目危废间</w:t>
                            </w:r>
                          </w:p>
                        </w:txbxContent>
                      </wps:txbx>
                      <wps:bodyPr upright="1"/>
                    </wps:wsp>
                  </a:graphicData>
                </a:graphic>
              </wp:anchor>
            </w:drawing>
          </mc:Choice>
          <mc:Fallback>
            <w:pict>
              <v:shape id="文本框 95" o:spid="_x0000_s1026" o:spt="202" type="#_x0000_t202" style="position:absolute;left:0pt;margin-left:142.65pt;margin-top:23.9pt;height:23.45pt;width:97.5pt;z-index:251681792;mso-width-relative:page;mso-height-relative:page;" filled="f" stroked="f" coordsize="21600,21600" o:gfxdata="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A7dEnWAAAACQEAAA8AAAAAAAAAAQAgAAAAIgAAAGRycy9kb3ducmV2LnhtbFBLAQIUABQA&#10;AAAIAIdO4kB2QfyTuQEAAFwDAAAOAAAAAAAAAAEAIAAAACUBAABkcnMvZTJvRG9jLnhtbFBLBQYA&#10;AAAABgAGAFkBAABQBQAAAAA=&#10;">
                <v:fill on="f" focussize="0,0"/>
                <v:stroke on="f"/>
                <v:imagedata o:title=""/>
                <o:lock v:ext="edit" aspectratio="f"/>
                <v:textbox>
                  <w:txbxContent>
                    <w:p w14:paraId="6251CE1C">
                      <w:pPr>
                        <w:rPr>
                          <w:sz w:val="18"/>
                          <w:szCs w:val="18"/>
                        </w:rPr>
                      </w:pPr>
                      <w:r>
                        <w:rPr>
                          <w:rFonts w:hint="eastAsia"/>
                          <w:sz w:val="18"/>
                          <w:szCs w:val="18"/>
                        </w:rPr>
                        <w:t>原项目危废间</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9744" behindDoc="0" locked="0" layoutInCell="1" allowOverlap="1">
                <wp:simplePos x="0" y="0"/>
                <wp:positionH relativeFrom="column">
                  <wp:posOffset>1075055</wp:posOffset>
                </wp:positionH>
                <wp:positionV relativeFrom="paragraph">
                  <wp:posOffset>5080000</wp:posOffset>
                </wp:positionV>
                <wp:extent cx="608965" cy="304800"/>
                <wp:effectExtent l="0" t="0" r="0" b="0"/>
                <wp:wrapNone/>
                <wp:docPr id="69" name="文本框 92"/>
                <wp:cNvGraphicFramePr/>
                <a:graphic xmlns:a="http://schemas.openxmlformats.org/drawingml/2006/main">
                  <a:graphicData uri="http://schemas.microsoft.com/office/word/2010/wordprocessingShape">
                    <wps:wsp>
                      <wps:cNvSpPr txBox="1"/>
                      <wps:spPr>
                        <a:xfrm>
                          <a:off x="1795145" y="6190615"/>
                          <a:ext cx="608965" cy="304800"/>
                        </a:xfrm>
                        <a:prstGeom prst="rect">
                          <a:avLst/>
                        </a:prstGeom>
                        <a:noFill/>
                        <a:ln>
                          <a:noFill/>
                        </a:ln>
                      </wps:spPr>
                      <wps:txbx>
                        <w:txbxContent>
                          <w:p w14:paraId="44BB77B5">
                            <w:r>
                              <w:rPr>
                                <w:rFonts w:hint="eastAsia"/>
                              </w:rPr>
                              <w:t>食堂</w:t>
                            </w:r>
                          </w:p>
                        </w:txbxContent>
                      </wps:txbx>
                      <wps:bodyPr upright="1"/>
                    </wps:wsp>
                  </a:graphicData>
                </a:graphic>
              </wp:anchor>
            </w:drawing>
          </mc:Choice>
          <mc:Fallback>
            <w:pict>
              <v:shape id="文本框 92" o:spid="_x0000_s1026" o:spt="202" type="#_x0000_t202" style="position:absolute;left:0pt;margin-left:84.65pt;margin-top:400pt;height:24pt;width:47.95pt;z-index:251679744;mso-width-relative:page;mso-height-relative:page;" filled="f" stroked="f" coordsize="21600,21600" o:gfxdata="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MbPztcAAAALAQAADwAAAAAAAAABACAAAAAiAAAAZHJzL2Rvd25yZXYueG1sUEsBAhQA&#10;FAAAAAgAh07iQEjXaea6AQAAWwMAAA4AAAAAAAAAAQAgAAAAJgEAAGRycy9lMm9Eb2MueG1sUEsF&#10;BgAAAAAGAAYAWQEAAFIFAAAAAA==&#10;">
                <v:fill on="f" focussize="0,0"/>
                <v:stroke on="f"/>
                <v:imagedata o:title=""/>
                <o:lock v:ext="edit" aspectratio="f"/>
                <v:textbox>
                  <w:txbxContent>
                    <w:p w14:paraId="44BB77B5">
                      <w:r>
                        <w:rPr>
                          <w:rFonts w:hint="eastAsia"/>
                        </w:rPr>
                        <w:t>食堂</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8720" behindDoc="0" locked="0" layoutInCell="1" allowOverlap="1">
                <wp:simplePos x="0" y="0"/>
                <wp:positionH relativeFrom="column">
                  <wp:posOffset>1501775</wp:posOffset>
                </wp:positionH>
                <wp:positionV relativeFrom="paragraph">
                  <wp:posOffset>374015</wp:posOffset>
                </wp:positionV>
                <wp:extent cx="176530" cy="161925"/>
                <wp:effectExtent l="15240" t="14605" r="17780" b="13970"/>
                <wp:wrapNone/>
                <wp:docPr id="260" name="自选图形 90"/>
                <wp:cNvGraphicFramePr/>
                <a:graphic xmlns:a="http://schemas.openxmlformats.org/drawingml/2006/main">
                  <a:graphicData uri="http://schemas.microsoft.com/office/word/2010/wordprocessingShape">
                    <wps:wsp>
                      <wps:cNvSpPr/>
                      <wps:spPr>
                        <a:xfrm>
                          <a:off x="2221865" y="1484630"/>
                          <a:ext cx="176530" cy="161925"/>
                        </a:xfrm>
                        <a:prstGeom prst="star5">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90" o:spid="_x0000_s1026" style="position:absolute;left:0pt;margin-left:118.25pt;margin-top:29.45pt;height:12.75pt;width:13.9pt;z-index:251678720;mso-width-relative:page;mso-height-relative:page;" fillcolor="#FFFFFF" filled="t" stroked="t" coordsize="176530,161925" o:gfxdata="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3MeU62gAAAAkBAAAPAAAA&#10;AAAAAAEAIAAAACIAAABkcnMvZG93bnJldi54bWxQSwECFAAUAAAACACHTuJAGIEjtBMCAAAzBAAA&#10;DgAAAAAAAAABACAAAAApAQAAZHJzL2Uyb0RvYy54bWxQSwUGAAAAAAYABgBZAQAArgUAAAAA&#10;" path="m0,61849l67428,61850,88265,0,109101,61850,176529,61849,121978,100074,142815,161924,88265,123698,33714,161924,54551,100074xe">
                <v:path o:connectlocs="88265,0;0,61849;33714,161924;142815,161924;176529,61849" o:connectangles="247,164,82,82,0"/>
                <v:fill on="t" focussize="0,0"/>
                <v:stroke color="#000000" joinstyle="miter"/>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7696" behindDoc="0" locked="0" layoutInCell="1" allowOverlap="1">
                <wp:simplePos x="0" y="0"/>
                <wp:positionH relativeFrom="column">
                  <wp:posOffset>1323340</wp:posOffset>
                </wp:positionH>
                <wp:positionV relativeFrom="paragraph">
                  <wp:posOffset>40640</wp:posOffset>
                </wp:positionV>
                <wp:extent cx="75565" cy="75565"/>
                <wp:effectExtent l="4445" t="4445" r="15240" b="15240"/>
                <wp:wrapNone/>
                <wp:docPr id="255" name="椭圆 85"/>
                <wp:cNvGraphicFramePr/>
                <a:graphic xmlns:a="http://schemas.openxmlformats.org/drawingml/2006/main">
                  <a:graphicData uri="http://schemas.microsoft.com/office/word/2010/wordprocessingShape">
                    <wps:wsp>
                      <wps:cNvSpPr/>
                      <wps:spPr>
                        <a:xfrm>
                          <a:off x="2043430" y="1151255"/>
                          <a:ext cx="75565" cy="75565"/>
                        </a:xfrm>
                        <a:prstGeom prst="ellipse">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椭圆 85" o:spid="_x0000_s1026" o:spt="3" type="#_x0000_t3" style="position:absolute;left:0pt;margin-left:104.2pt;margin-top:3.2pt;height:5.95pt;width:5.95pt;z-index:251677696;mso-width-relative:page;mso-height-relative:page;" fillcolor="#FFFFFF" filled="t" stroked="t" coordsize="21600,21600" o:gfxdata="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FT1h1gAAAAgBAAAPAAAAAAAAAAEAIAAAACIAAABkcnMvZG93bnJl&#10;di54bWxQSwECFAAUAAAACACHTuJAYHnD/P8BAAAjBAAADgAAAAAAAAABACAAAAAlAQAAZHJzL2Uy&#10;b0RvYy54bWxQSwUGAAAAAAYABgBZAQAAlgUAAAAA&#10;">
                <v:fill on="t" focussize="0,0"/>
                <v:stroke color="#000000" joinstyle="round"/>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6672" behindDoc="0" locked="0" layoutInCell="1" allowOverlap="1">
                <wp:simplePos x="0" y="0"/>
                <wp:positionH relativeFrom="column">
                  <wp:posOffset>1193800</wp:posOffset>
                </wp:positionH>
                <wp:positionV relativeFrom="paragraph">
                  <wp:posOffset>191770</wp:posOffset>
                </wp:positionV>
                <wp:extent cx="673735" cy="1363345"/>
                <wp:effectExtent l="4445" t="4445" r="7620" b="22860"/>
                <wp:wrapNone/>
                <wp:docPr id="253" name="矩形 83"/>
                <wp:cNvGraphicFramePr/>
                <a:graphic xmlns:a="http://schemas.openxmlformats.org/drawingml/2006/main">
                  <a:graphicData uri="http://schemas.microsoft.com/office/word/2010/wordprocessingShape">
                    <wps:wsp>
                      <wps:cNvSpPr/>
                      <wps:spPr>
                        <a:xfrm>
                          <a:off x="1913890" y="1302385"/>
                          <a:ext cx="673735" cy="1363345"/>
                        </a:xfrm>
                        <a:prstGeom prst="rect">
                          <a:avLst/>
                        </a:prstGeom>
                        <a:solidFill>
                          <a:srgbClr val="FFFFFF"/>
                        </a:solidFill>
                        <a:ln w="9525" cap="flat" cmpd="sng">
                          <a:solidFill>
                            <a:srgbClr val="FFFFFF"/>
                          </a:solidFill>
                          <a:prstDash val="solid"/>
                          <a:miter/>
                          <a:headEnd type="none" w="med" len="med"/>
                          <a:tailEnd type="none" w="med" len="med"/>
                        </a:ln>
                      </wps:spPr>
                      <wps:bodyPr upright="1"/>
                    </wps:wsp>
                  </a:graphicData>
                </a:graphic>
              </wp:anchor>
            </w:drawing>
          </mc:Choice>
          <mc:Fallback>
            <w:pict>
              <v:rect id="矩形 83" o:spid="_x0000_s1026" o:spt="1" style="position:absolute;left:0pt;margin-left:94pt;margin-top:15.1pt;height:107.35pt;width:53.05pt;z-index:251676672;mso-width-relative:page;mso-height-relative:page;" fillcolor="#FFFFFF" filled="t" stroked="t" coordsize="21600,21600" o:gfxdata="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acCKtcAAAAKAQAADwAAAAAAAAABACAAAAAiAAAAZHJz&#10;L2Rvd25yZXYueG1sUEsBAhQAFAAAAAgAh07iQM945HIFAgAALQQAAA4AAAAAAAAAAQAgAAAAJgEA&#10;AGRycy9lMm9Eb2MueG1sUEsFBgAAAAAGAAYAWQEAAJ0FAAAAAA==&#10;">
                <v:fill on="t" focussize="0,0"/>
                <v:stroke color="#FFFFFF" joinstyle="miter"/>
                <v:imagedata o:title=""/>
                <o:lock v:ext="edit" aspectratio="f"/>
              </v:rect>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3600" behindDoc="0" locked="0" layoutInCell="1" allowOverlap="1">
                <wp:simplePos x="0" y="0"/>
                <wp:positionH relativeFrom="column">
                  <wp:posOffset>3409950</wp:posOffset>
                </wp:positionH>
                <wp:positionV relativeFrom="paragraph">
                  <wp:posOffset>2802255</wp:posOffset>
                </wp:positionV>
                <wp:extent cx="593090" cy="25781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593090" cy="2578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F9AE6">
                            <w:pPr>
                              <w:rPr>
                                <w:b/>
                                <w:bCs/>
                                <w:color w:val="FFFFFF" w:themeColor="background1"/>
                                <w:sz w:val="15"/>
                                <w:szCs w:val="15"/>
                                <w14:textFill>
                                  <w14:solidFill>
                                    <w14:schemeClr w14:val="bg1"/>
                                  </w14:solidFill>
                                </w14:textFill>
                              </w:rPr>
                            </w:pPr>
                            <w:r>
                              <w:rPr>
                                <w:rFonts w:hint="eastAsia"/>
                                <w:b/>
                                <w:bCs/>
                                <w:color w:val="FFFFFF" w:themeColor="background1"/>
                                <w:sz w:val="15"/>
                                <w:szCs w:val="15"/>
                                <w14:textFill>
                                  <w14:solidFill>
                                    <w14:schemeClr w14:val="bg1"/>
                                  </w14:solidFill>
                                </w14:textFill>
                              </w:rPr>
                              <w:t>产品仓库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8.5pt;margin-top:220.65pt;height:20.3pt;width:46.7pt;z-index:251673600;mso-width-relative:page;mso-height-relative:page;" filled="f" stroked="f" coordsize="21600,21600" o:gfxdata="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nYTbXdAAAACwEAAA8AAAAAAAAAAQAgAAAA&#10;IgAAAGRycy9kb3ducmV2LnhtbFBLAQIUABQAAAAIAIdO4kAwG5+APwIAAGkEAAAOAAAAAAAAAAEA&#10;IAAAACwBAABkcnMvZTJvRG9jLnhtbFBLBQYAAAAABgAGAFkBAADdBQAAAAA=&#10;">
                <v:fill on="f" focussize="0,0"/>
                <v:stroke on="f" weight="0.5pt"/>
                <v:imagedata o:title=""/>
                <o:lock v:ext="edit" aspectratio="f"/>
                <v:textbox>
                  <w:txbxContent>
                    <w:p w14:paraId="0C0F9AE6">
                      <w:pPr>
                        <w:rPr>
                          <w:b/>
                          <w:bCs/>
                          <w:color w:val="FFFFFF" w:themeColor="background1"/>
                          <w:sz w:val="15"/>
                          <w:szCs w:val="15"/>
                          <w14:textFill>
                            <w14:solidFill>
                              <w14:schemeClr w14:val="bg1"/>
                            </w14:solidFill>
                          </w14:textFill>
                        </w:rPr>
                      </w:pPr>
                      <w:r>
                        <w:rPr>
                          <w:rFonts w:hint="eastAsia"/>
                          <w:b/>
                          <w:bCs/>
                          <w:color w:val="FFFFFF" w:themeColor="background1"/>
                          <w:sz w:val="15"/>
                          <w:szCs w:val="15"/>
                          <w14:textFill>
                            <w14:solidFill>
                              <w14:schemeClr w14:val="bg1"/>
                            </w14:solidFill>
                          </w14:textFill>
                        </w:rPr>
                        <w:t>产品仓库</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2576" behindDoc="0" locked="0" layoutInCell="1" allowOverlap="1">
                <wp:simplePos x="0" y="0"/>
                <wp:positionH relativeFrom="column">
                  <wp:posOffset>3098800</wp:posOffset>
                </wp:positionH>
                <wp:positionV relativeFrom="paragraph">
                  <wp:posOffset>2978150</wp:posOffset>
                </wp:positionV>
                <wp:extent cx="142875" cy="166370"/>
                <wp:effectExtent l="3810" t="0" r="5715" b="5080"/>
                <wp:wrapNone/>
                <wp:docPr id="194" name="直接箭头连接符 194"/>
                <wp:cNvGraphicFramePr/>
                <a:graphic xmlns:a="http://schemas.openxmlformats.org/drawingml/2006/main">
                  <a:graphicData uri="http://schemas.microsoft.com/office/word/2010/wordprocessingShape">
                    <wps:wsp>
                      <wps:cNvCnPr/>
                      <wps:spPr>
                        <a:xfrm flipH="1">
                          <a:off x="0" y="0"/>
                          <a:ext cx="142875" cy="166370"/>
                        </a:xfrm>
                        <a:prstGeom prst="straightConnector1">
                          <a:avLst/>
                        </a:prstGeom>
                        <a:ln w="9525">
                          <a:solidFill>
                            <a:schemeClr val="bg1"/>
                          </a:solidFill>
                          <a:headEnd type="triangle" w="med" len="med"/>
                          <a:tailEnd type="none"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44pt;margin-top:234.5pt;height:13.1pt;width:11.25pt;z-index:251672576;mso-width-relative:page;mso-height-relative:page;" filled="f" stroked="t" coordsize="21600,21600" o:gfxdata="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DZ4aTY&#10;AAAACwEAAA8AAAAAAAAAAQAgAAAAIgAAAGRycy9kb3ducmV2LnhtbFBLAQIUABQAAAAIAIdO4kAc&#10;BhtuIAIAABgEAAAOAAAAAAAAAAEAIAAAACcBAABkcnMvZTJvRG9jLnhtbFBLBQYAAAAABgAGAFkB&#10;AAC5BQAAAAA=&#10;">
                <v:fill on="f" focussize="0,0"/>
                <v:stroke color="#FFFFFF [3212]" joinstyle="round" start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1552" behindDoc="0" locked="0" layoutInCell="1" allowOverlap="1">
                <wp:simplePos x="0" y="0"/>
                <wp:positionH relativeFrom="column">
                  <wp:posOffset>4250055</wp:posOffset>
                </wp:positionH>
                <wp:positionV relativeFrom="paragraph">
                  <wp:posOffset>2499360</wp:posOffset>
                </wp:positionV>
                <wp:extent cx="7620" cy="216535"/>
                <wp:effectExtent l="33020" t="0" r="35560" b="12065"/>
                <wp:wrapNone/>
                <wp:docPr id="189" name="直接箭头连接符 189"/>
                <wp:cNvGraphicFramePr/>
                <a:graphic xmlns:a="http://schemas.openxmlformats.org/drawingml/2006/main">
                  <a:graphicData uri="http://schemas.microsoft.com/office/word/2010/wordprocessingShape">
                    <wps:wsp>
                      <wps:cNvCnPr/>
                      <wps:spPr>
                        <a:xfrm>
                          <a:off x="0" y="0"/>
                          <a:ext cx="7620" cy="216535"/>
                        </a:xfrm>
                        <a:prstGeom prst="straightConnector1">
                          <a:avLst/>
                        </a:prstGeom>
                        <a:ln w="9525">
                          <a:solidFill>
                            <a:schemeClr val="bg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34.65pt;margin-top:196.8pt;height:17.05pt;width:0.6pt;z-index:251671552;mso-width-relative:page;mso-height-relative:page;" filled="f" stroked="t" coordsize="21600,21600" o:gfxdata="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9aJidwAAAALAQAADwAA&#10;AAAAAAABACAAAAAiAAAAZHJzL2Rvd25yZXYueG1sUEsBAhQAFAAAAAgAh07iQMj7nIcSAgAA+gMA&#10;AA4AAAAAAAAAAQAgAAAAKwEAAGRycy9lMm9Eb2MueG1sUEsFBgAAAAAGAAYAWQEAAK8FAAAAAA==&#10;">
                <v:fill on="f" focussize="0,0"/>
                <v:stroke color="#FFFFFF [3212]" joinstyle="round" end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0528" behindDoc="0" locked="0" layoutInCell="1" allowOverlap="1">
                <wp:simplePos x="0" y="0"/>
                <wp:positionH relativeFrom="column">
                  <wp:posOffset>3582035</wp:posOffset>
                </wp:positionH>
                <wp:positionV relativeFrom="paragraph">
                  <wp:posOffset>2259965</wp:posOffset>
                </wp:positionV>
                <wp:extent cx="1270" cy="169545"/>
                <wp:effectExtent l="37465" t="0" r="37465" b="1905"/>
                <wp:wrapNone/>
                <wp:docPr id="186" name="直接箭头连接符 186"/>
                <wp:cNvGraphicFramePr/>
                <a:graphic xmlns:a="http://schemas.openxmlformats.org/drawingml/2006/main">
                  <a:graphicData uri="http://schemas.microsoft.com/office/word/2010/wordprocessingShape">
                    <wps:wsp>
                      <wps:cNvCnPr/>
                      <wps:spPr>
                        <a:xfrm>
                          <a:off x="0" y="0"/>
                          <a:ext cx="1270" cy="169545"/>
                        </a:xfrm>
                        <a:prstGeom prst="straightConnector1">
                          <a:avLst/>
                        </a:prstGeom>
                        <a:ln w="9525">
                          <a:solidFill>
                            <a:schemeClr val="bg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82.05pt;margin-top:177.95pt;height:13.35pt;width:0.1pt;z-index:251670528;mso-width-relative:page;mso-height-relative:page;" filled="f" stroked="t" coordsize="21600,21600" o:gfxdata="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uipJ42wAAAAsBAAAPAAAA&#10;AAAAAAEAIAAAACIAAABkcnMvZG93bnJldi54bWxQSwECFAAUAAAACACHTuJAnm1r9hICAAD6AwAA&#10;DgAAAAAAAAABACAAAAAqAQAAZHJzL2Uyb0RvYy54bWxQSwUGAAAAAAYABgBZAQAArgUAAAAA&#10;">
                <v:fill on="f" focussize="0,0"/>
                <v:stroke color="#FFFFFF [3212]" joinstyle="round" endarrow="block"/>
                <v:imagedata o:title=""/>
                <o:lock v:ext="edit" aspectratio="f"/>
              </v:shape>
            </w:pict>
          </mc:Fallback>
        </mc:AlternateContent>
      </w:r>
    </w:p>
    <w:p w14:paraId="0A7C603B">
      <w:pPr>
        <w:pStyle w:val="4"/>
        <w:ind w:left="0" w:firstLine="0"/>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rPr>
        <mc:AlternateContent>
          <mc:Choice Requires="wps">
            <w:drawing>
              <wp:anchor distT="0" distB="0" distL="114300" distR="114300" simplePos="0" relativeHeight="251711488" behindDoc="0" locked="0" layoutInCell="1" allowOverlap="1">
                <wp:simplePos x="0" y="0"/>
                <wp:positionH relativeFrom="column">
                  <wp:posOffset>-304800</wp:posOffset>
                </wp:positionH>
                <wp:positionV relativeFrom="paragraph">
                  <wp:posOffset>81915</wp:posOffset>
                </wp:positionV>
                <wp:extent cx="643890" cy="271780"/>
                <wp:effectExtent l="0" t="0" r="0" b="0"/>
                <wp:wrapNone/>
                <wp:docPr id="89" name="文本框 89"/>
                <wp:cNvGraphicFramePr/>
                <a:graphic xmlns:a="http://schemas.openxmlformats.org/drawingml/2006/main">
                  <a:graphicData uri="http://schemas.microsoft.com/office/word/2010/wordprocessingShape">
                    <wps:wsp>
                      <wps:cNvSpPr txBox="1"/>
                      <wps:spPr>
                        <a:xfrm>
                          <a:off x="2558415" y="412750"/>
                          <a:ext cx="643890" cy="271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05387">
                            <w:pPr>
                              <w:rPr>
                                <w:color w:val="FF0000"/>
                              </w:rPr>
                            </w:pPr>
                            <w:r>
                              <w:rPr>
                                <w:rFonts w:hint="eastAsia"/>
                                <w:color w:val="FF0000"/>
                              </w:rPr>
                              <w:t>DA005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pt;margin-top:6.45pt;height:21.4pt;width:50.7pt;z-index:251711488;mso-width-relative:page;mso-height-relative:page;" filled="f" stroked="f" coordsize="21600,21600" o:gfxdata="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01t5uNoAAAAIAQAADwAAAAAAAAAB&#10;ACAAAAAiAAAAZHJzL2Rvd25yZXYueG1sUEsBAhQAFAAAAAgAh07iQKE92eFHAgAAcgQAAA4AAAAA&#10;AAAAAQAgAAAAKQEAAGRycy9lMm9Eb2MueG1sUEsFBgAAAAAGAAYAWQEAAOIFAAAAAA==&#10;">
                <v:fill on="f" focussize="0,0"/>
                <v:stroke on="f" weight="0.5pt"/>
                <v:imagedata o:title=""/>
                <o:lock v:ext="edit" aspectratio="f"/>
                <v:textbox>
                  <w:txbxContent>
                    <w:p w14:paraId="5E005387">
                      <w:pPr>
                        <w:rPr>
                          <w:color w:val="FF0000"/>
                        </w:rPr>
                      </w:pPr>
                      <w:r>
                        <w:rPr>
                          <w:rFonts w:hint="eastAsia"/>
                          <w:color w:val="FF0000"/>
                        </w:rPr>
                        <w:t>DA005</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10464" behindDoc="0" locked="0" layoutInCell="1" allowOverlap="1">
                <wp:simplePos x="0" y="0"/>
                <wp:positionH relativeFrom="column">
                  <wp:posOffset>102870</wp:posOffset>
                </wp:positionH>
                <wp:positionV relativeFrom="paragraph">
                  <wp:posOffset>273050</wp:posOffset>
                </wp:positionV>
                <wp:extent cx="75565" cy="75565"/>
                <wp:effectExtent l="4445" t="4445" r="15240" b="15240"/>
                <wp:wrapNone/>
                <wp:docPr id="82" name="椭圆 85"/>
                <wp:cNvGraphicFramePr/>
                <a:graphic xmlns:a="http://schemas.openxmlformats.org/drawingml/2006/main">
                  <a:graphicData uri="http://schemas.microsoft.com/office/word/2010/wordprocessingShape">
                    <wps:wsp>
                      <wps:cNvSpPr/>
                      <wps:spPr>
                        <a:xfrm>
                          <a:off x="0" y="0"/>
                          <a:ext cx="75565" cy="75565"/>
                        </a:xfrm>
                        <a:prstGeom prst="ellipse">
                          <a:avLst/>
                        </a:prstGeom>
                        <a:solidFill>
                          <a:srgbClr val="FFFFFF"/>
                        </a:solidFill>
                        <a:ln w="9525" cap="flat" cmpd="sng">
                          <a:solidFill>
                            <a:srgbClr val="FF0000"/>
                          </a:solidFill>
                          <a:prstDash val="solid"/>
                          <a:headEnd type="none" w="med" len="med"/>
                          <a:tailEnd type="none" w="med" len="med"/>
                        </a:ln>
                      </wps:spPr>
                      <wps:bodyPr upright="1"/>
                    </wps:wsp>
                  </a:graphicData>
                </a:graphic>
              </wp:anchor>
            </w:drawing>
          </mc:Choice>
          <mc:Fallback>
            <w:pict>
              <v:shape id="椭圆 85" o:spid="_x0000_s1026" o:spt="3" type="#_x0000_t3" style="position:absolute;left:0pt;margin-left:8.1pt;margin-top:21.5pt;height:5.95pt;width:5.95pt;z-index:251710464;mso-width-relative:page;mso-height-relative:page;" fillcolor="#FFFFFF" filled="t" stroked="t" coordsize="21600,21600" o:gfxdata="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V13//XAAAABwEAAA8AAAAAAAAAAQAgAAAAIgAAAGRycy9kb3ducmV2LnhtbFBLAQIU&#10;ABQAAAAIAIdO4kCA927t9AEAABYEAAAOAAAAAAAAAAEAIAAAACYBAABkcnMvZTJvRG9jLnhtbFBL&#10;BQYAAAAABgAGAFkBAACMBQAAAAA=&#10;">
                <v:fill on="t" focussize="0,0"/>
                <v:stroke color="#FF0000" joinstyle="round"/>
                <v:imagedata o:title=""/>
                <o:lock v:ext="edit" aspectratio="f"/>
              </v:shape>
            </w:pict>
          </mc:Fallback>
        </mc:AlternateContent>
      </w:r>
      <w:r>
        <w:rPr>
          <w:rFonts w:hint="default" w:ascii="Times New Roman" w:hAnsi="Times New Roman" w:eastAsia="宋体" w:cs="Times New Roman"/>
          <w:color w:val="auto"/>
          <w:sz w:val="24"/>
          <w:szCs w:val="24"/>
          <w:highlight w:val="none"/>
        </w:rPr>
        <w:drawing>
          <wp:anchor distT="0" distB="0" distL="114300" distR="114300" simplePos="0" relativeHeight="251709440" behindDoc="0" locked="0" layoutInCell="1" allowOverlap="1">
            <wp:simplePos x="0" y="0"/>
            <wp:positionH relativeFrom="column">
              <wp:posOffset>5443220</wp:posOffset>
            </wp:positionH>
            <wp:positionV relativeFrom="paragraph">
              <wp:posOffset>246380</wp:posOffset>
            </wp:positionV>
            <wp:extent cx="421640" cy="589280"/>
            <wp:effectExtent l="0" t="0" r="0" b="0"/>
            <wp:wrapNone/>
            <wp:docPr id="73" name="图片 73" descr="df1dbe62-4a3e-4b8a-8789-0ccac5ad5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df1dbe62-4a3e-4b8a-8789-0ccac5ad5ae0"/>
                    <pic:cNvPicPr>
                      <a:picLocks noChangeAspect="1"/>
                    </pic:cNvPicPr>
                  </pic:nvPicPr>
                  <pic:blipFill>
                    <a:blip r:embed="rId35"/>
                    <a:srcRect r="-606" b="4821"/>
                    <a:stretch>
                      <a:fillRect/>
                    </a:stretch>
                  </pic:blipFill>
                  <pic:spPr>
                    <a:xfrm>
                      <a:off x="0" y="0"/>
                      <a:ext cx="421640" cy="589280"/>
                    </a:xfrm>
                    <a:prstGeom prst="rect">
                      <a:avLst/>
                    </a:prstGeom>
                  </pic:spPr>
                </pic:pic>
              </a:graphicData>
            </a:graphic>
          </wp:anchor>
        </w:drawing>
      </w:r>
      <w:r>
        <w:rPr>
          <w:rFonts w:hint="default" w:ascii="Times New Roman" w:hAnsi="Times New Roman" w:cs="Times New Roman"/>
          <w:color w:val="auto"/>
          <w:sz w:val="24"/>
          <w:highlight w:val="none"/>
        </w:rPr>
        <mc:AlternateContent>
          <mc:Choice Requires="wps">
            <w:drawing>
              <wp:anchor distT="0" distB="0" distL="114300" distR="114300" simplePos="0" relativeHeight="251704320" behindDoc="0" locked="0" layoutInCell="1" allowOverlap="1">
                <wp:simplePos x="0" y="0"/>
                <wp:positionH relativeFrom="column">
                  <wp:posOffset>3902075</wp:posOffset>
                </wp:positionH>
                <wp:positionV relativeFrom="paragraph">
                  <wp:posOffset>867410</wp:posOffset>
                </wp:positionV>
                <wp:extent cx="12700" cy="3015615"/>
                <wp:effectExtent l="4445" t="0" r="20955" b="13335"/>
                <wp:wrapNone/>
                <wp:docPr id="22" name="直接连接符 22"/>
                <wp:cNvGraphicFramePr/>
                <a:graphic xmlns:a="http://schemas.openxmlformats.org/drawingml/2006/main">
                  <a:graphicData uri="http://schemas.microsoft.com/office/word/2010/wordprocessingShape">
                    <wps:wsp>
                      <wps:cNvCnPr/>
                      <wps:spPr>
                        <a:xfrm>
                          <a:off x="0" y="0"/>
                          <a:ext cx="12700" cy="301561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07.25pt;margin-top:68.3pt;height:237.45pt;width:1pt;z-index:251704320;mso-width-relative:page;mso-height-relative:page;" filled="f" stroked="t" coordsize="21600,21600" o:gfxdata="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pSLbM1gAAAAsBAAAPAAAAAAAA&#10;AAEAIAAAACIAAABkcnMvZG93bnJldi54bWxQSwECFAAUAAAACACHTuJAAPbR1tsBAACgAwAADgAA&#10;AAAAAAABACAAAAAlAQAAZHJzL2Uyb0RvYy54bWxQSwUGAAAAAAYABgBZAQAAcgUAAAAA&#10;">
                <v:fill on="f" focussize="0,0"/>
                <v:stroke weight="0.5pt" color="#000000 [3213]" joinstyle="round"/>
                <v:imagedata o:title=""/>
                <o:lock v:ext="edit" aspectratio="f"/>
              </v:lin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03296" behindDoc="0" locked="0" layoutInCell="1" allowOverlap="1">
                <wp:simplePos x="0" y="0"/>
                <wp:positionH relativeFrom="column">
                  <wp:posOffset>1520825</wp:posOffset>
                </wp:positionH>
                <wp:positionV relativeFrom="paragraph">
                  <wp:posOffset>248285</wp:posOffset>
                </wp:positionV>
                <wp:extent cx="12700" cy="3625850"/>
                <wp:effectExtent l="4445" t="0" r="20955" b="12700"/>
                <wp:wrapNone/>
                <wp:docPr id="13" name="直接连接符 13"/>
                <wp:cNvGraphicFramePr/>
                <a:graphic xmlns:a="http://schemas.openxmlformats.org/drawingml/2006/main">
                  <a:graphicData uri="http://schemas.microsoft.com/office/word/2010/wordprocessingShape">
                    <wps:wsp>
                      <wps:cNvCnPr/>
                      <wps:spPr>
                        <a:xfrm>
                          <a:off x="1828165" y="936625"/>
                          <a:ext cx="12700" cy="362585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19.75pt;margin-top:19.55pt;height:285.5pt;width:1pt;z-index:251703296;mso-width-relative:page;mso-height-relative:page;" filled="f" stroked="t" coordsize="21600,21600" o:gfxdata="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6QItR&#10;1wAAAAoBAAAPAAAAAAAAAAEAIAAAACIAAABkcnMvZG93bnJldi54bWxQSwECFAAUAAAACACHTuJA&#10;n9kJROkBAACrAwAADgAAAAAAAAABACAAAAAmAQAAZHJzL2Uyb0RvYy54bWxQSwUGAAAAAAYABgBZ&#10;AQAAgQUAAAAA&#10;">
                <v:fill on="f" focussize="0,0"/>
                <v:stroke weight="0.5pt" color="#000000 [3213]" joinstyle="round"/>
                <v:imagedata o:title=""/>
                <o:lock v:ext="edit" aspectratio="f"/>
              </v:lin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01248" behindDoc="0" locked="0" layoutInCell="1" allowOverlap="1">
                <wp:simplePos x="0" y="0"/>
                <wp:positionH relativeFrom="column">
                  <wp:posOffset>187325</wp:posOffset>
                </wp:positionH>
                <wp:positionV relativeFrom="paragraph">
                  <wp:posOffset>219710</wp:posOffset>
                </wp:positionV>
                <wp:extent cx="5842000" cy="3651250"/>
                <wp:effectExtent l="5080" t="4445" r="20320" b="20955"/>
                <wp:wrapNone/>
                <wp:docPr id="11" name="矩形 11"/>
                <wp:cNvGraphicFramePr/>
                <a:graphic xmlns:a="http://schemas.openxmlformats.org/drawingml/2006/main">
                  <a:graphicData uri="http://schemas.microsoft.com/office/word/2010/wordprocessingShape">
                    <wps:wsp>
                      <wps:cNvSpPr/>
                      <wps:spPr>
                        <a:xfrm>
                          <a:off x="907415" y="939800"/>
                          <a:ext cx="5842000" cy="365125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75pt;margin-top:17.3pt;height:287.5pt;width:460pt;z-index:251701248;v-text-anchor:middle;mso-width-relative:page;mso-height-relative:page;" filled="f" stroked="t" coordsize="21600,21600" o:gfxdata="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neFv01wAAAAkBAAAPAAAAAAAAAAEAIAAAACIAAABkcnMvZG93bnJldi54bWxQSwEC&#10;FAAUAAAACACHTuJAIUqZEWcCAADABAAADgAAAAAAAAABACAAAAAmAQAAZHJzL2Uyb0RvYy54bWxQ&#10;SwUGAAAAAAYABgBZAQAA/wUAAAAA&#10;">
                <v:fill on="f" focussize="0,0"/>
                <v:stroke weight="0.5pt" color="#000000 [3213]" joinstyle="round"/>
                <v:imagedata o:title=""/>
                <o:lock v:ext="edit" aspectratio="f"/>
              </v:rect>
            </w:pict>
          </mc:Fallback>
        </mc:AlternateContent>
      </w:r>
    </w:p>
    <w:p w14:paraId="60847FF6">
      <w:pPr>
        <w:pStyle w:val="4"/>
        <w:ind w:left="0" w:firstLine="0"/>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rPr>
        <mc:AlternateContent>
          <mc:Choice Requires="wps">
            <w:drawing>
              <wp:anchor distT="0" distB="0" distL="114300" distR="114300" simplePos="0" relativeHeight="251714560" behindDoc="0" locked="0" layoutInCell="1" allowOverlap="1">
                <wp:simplePos x="0" y="0"/>
                <wp:positionH relativeFrom="column">
                  <wp:posOffset>488315</wp:posOffset>
                </wp:positionH>
                <wp:positionV relativeFrom="paragraph">
                  <wp:posOffset>74295</wp:posOffset>
                </wp:positionV>
                <wp:extent cx="738505" cy="35750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73850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BA36E">
                            <w:pPr>
                              <w:rPr>
                                <w:sz w:val="24"/>
                              </w:rPr>
                            </w:pPr>
                            <w:r>
                              <w:rPr>
                                <w:rFonts w:hint="eastAsia"/>
                                <w:sz w:val="24"/>
                              </w:rPr>
                              <w:t>喷漆房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45pt;margin-top:5.85pt;height:28.15pt;width:58.15pt;z-index:251714560;mso-width-relative:page;mso-height-relative:page;" filled="f" stroked="f" coordsize="21600,21600" o:gfxdata="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PoHXf2QAAAAgBAAAPAAAAAAAAAAEAIAAAACIAAABkcnMv&#10;ZG93bnJldi54bWxQSwECFAAUAAAACACHTuJAYYpxhDsCAABnBAAADgAAAAAAAAABACAAAAAoAQAA&#10;ZHJzL2Uyb0RvYy54bWxQSwUGAAAAAAYABgBZAQAA1QUAAAAA&#10;">
                <v:fill on="f" focussize="0,0"/>
                <v:stroke on="f" weight="0.5pt"/>
                <v:imagedata o:title=""/>
                <o:lock v:ext="edit" aspectratio="f"/>
                <v:textbox>
                  <w:txbxContent>
                    <w:p w14:paraId="574BA36E">
                      <w:pPr>
                        <w:rPr>
                          <w:sz w:val="24"/>
                        </w:rPr>
                      </w:pPr>
                      <w:r>
                        <w:rPr>
                          <w:rFonts w:hint="eastAsia"/>
                          <w:sz w:val="24"/>
                        </w:rPr>
                        <w:t>喷漆房</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06368" behindDoc="0" locked="0" layoutInCell="1" allowOverlap="1">
                <wp:simplePos x="0" y="0"/>
                <wp:positionH relativeFrom="column">
                  <wp:posOffset>3131185</wp:posOffset>
                </wp:positionH>
                <wp:positionV relativeFrom="paragraph">
                  <wp:posOffset>96520</wp:posOffset>
                </wp:positionV>
                <wp:extent cx="1160780" cy="3429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160780" cy="342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6AFB7">
                            <w:pPr>
                              <w:rPr>
                                <w:sz w:val="24"/>
                              </w:rPr>
                            </w:pPr>
                            <w:r>
                              <w:rPr>
                                <w:rFonts w:hint="eastAsia"/>
                                <w:sz w:val="24"/>
                              </w:rPr>
                              <w:t>喷粉、烘烤区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6.55pt;margin-top:7.6pt;height:27pt;width:91.4pt;z-index:251706368;mso-width-relative:page;mso-height-relative:page;" filled="f" stroked="f" coordsize="21600,21600" o:gfxdata="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&#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QeuZzaAAAACQEAAA8AAAAAAAAAAQAgAAAAIgAAAGRy&#10;cy9kb3ducmV2LnhtbFBLAQIUABQAAAAIAIdO4kBLHRnoPAIAAGgEAAAOAAAAAAAAAAEAIAAAACkB&#10;AABkcnMvZTJvRG9jLnhtbFBLBQYAAAAABgAGAFkBAADXBQAAAAA=&#10;">
                <v:fill on="f" focussize="0,0"/>
                <v:stroke on="f" weight="0.5pt"/>
                <v:imagedata o:title=""/>
                <o:lock v:ext="edit" aspectratio="f"/>
                <v:textbox>
                  <w:txbxContent>
                    <w:p w14:paraId="4D56AFB7">
                      <w:pPr>
                        <w:rPr>
                          <w:sz w:val="24"/>
                        </w:rPr>
                      </w:pPr>
                      <w:r>
                        <w:rPr>
                          <w:rFonts w:hint="eastAsia"/>
                          <w:sz w:val="24"/>
                        </w:rPr>
                        <w:t>喷粉、烘烤区</w:t>
                      </w:r>
                    </w:p>
                  </w:txbxContent>
                </v:textbox>
              </v:shape>
            </w:pict>
          </mc:Fallback>
        </mc:AlternateContent>
      </w:r>
    </w:p>
    <w:p w14:paraId="562DF9FA">
      <w:pPr>
        <w:pStyle w:val="4"/>
        <w:ind w:left="0" w:firstLine="0"/>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rPr>
        <mc:AlternateContent>
          <mc:Choice Requires="wps">
            <w:drawing>
              <wp:anchor distT="0" distB="0" distL="114300" distR="114300" simplePos="0" relativeHeight="251702272" behindDoc="0" locked="0" layoutInCell="1" allowOverlap="1">
                <wp:simplePos x="0" y="0"/>
                <wp:positionH relativeFrom="column">
                  <wp:posOffset>187325</wp:posOffset>
                </wp:positionH>
                <wp:positionV relativeFrom="paragraph">
                  <wp:posOffset>286385</wp:posOffset>
                </wp:positionV>
                <wp:extent cx="5826125" cy="0"/>
                <wp:effectExtent l="0" t="4445" r="0" b="5080"/>
                <wp:wrapNone/>
                <wp:docPr id="12" name="直接连接符 12"/>
                <wp:cNvGraphicFramePr/>
                <a:graphic xmlns:a="http://schemas.openxmlformats.org/drawingml/2006/main">
                  <a:graphicData uri="http://schemas.microsoft.com/office/word/2010/wordprocessingShape">
                    <wps:wsp>
                      <wps:cNvCnPr/>
                      <wps:spPr>
                        <a:xfrm>
                          <a:off x="923290" y="1682750"/>
                          <a:ext cx="5826125" cy="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4.75pt;margin-top:22.55pt;height:0pt;width:458.75pt;z-index:251702272;mso-width-relative:page;mso-height-relative:page;" filled="f" stroked="t" coordsize="21600,21600" o:gfxdata="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Zp56I1AAAAAgB&#10;AAAPAAAAAAAAAAEAIAAAACIAAABkcnMvZG93bnJldi54bWxQSwECFAAUAAAACACHTuJA7gCtrOYB&#10;AACnAwAADgAAAAAAAAABACAAAAAjAQAAZHJzL2Uyb0RvYy54bWxQSwUGAAAAAAYABgBZAQAAewUA&#10;AAAA&#10;">
                <v:fill on="f" focussize="0,0"/>
                <v:stroke weight="0.5pt" color="#000000 [3213]" joinstyle="round"/>
                <v:imagedata o:title=""/>
                <o:lock v:ext="edit" aspectratio="f"/>
              </v:line>
            </w:pict>
          </mc:Fallback>
        </mc:AlternateContent>
      </w:r>
    </w:p>
    <w:p w14:paraId="3CDBBE18">
      <w:pPr>
        <w:pStyle w:val="4"/>
        <w:ind w:left="0" w:firstLine="0"/>
        <w:rPr>
          <w:rFonts w:hint="default" w:ascii="Times New Roman" w:hAnsi="Times New Roman" w:eastAsia="宋体" w:cs="Times New Roman"/>
          <w:color w:val="auto"/>
          <w:sz w:val="24"/>
          <w:szCs w:val="24"/>
          <w:highlight w:val="none"/>
        </w:rPr>
      </w:pPr>
    </w:p>
    <w:p w14:paraId="55186321">
      <w:pPr>
        <w:pStyle w:val="4"/>
        <w:ind w:left="0" w:firstLine="0"/>
        <w:rPr>
          <w:rFonts w:hint="default" w:ascii="Times New Roman" w:hAnsi="Times New Roman" w:eastAsia="宋体" w:cs="Times New Roman"/>
          <w:color w:val="auto"/>
          <w:sz w:val="24"/>
          <w:szCs w:val="24"/>
          <w:highlight w:val="none"/>
        </w:rPr>
      </w:pPr>
    </w:p>
    <w:p w14:paraId="239FBC9C">
      <w:pPr>
        <w:pStyle w:val="4"/>
        <w:ind w:left="0" w:firstLine="0"/>
        <w:rPr>
          <w:rFonts w:hint="default" w:ascii="Times New Roman" w:hAnsi="Times New Roman" w:eastAsia="宋体" w:cs="Times New Roman"/>
          <w:color w:val="auto"/>
          <w:sz w:val="24"/>
          <w:szCs w:val="24"/>
          <w:highlight w:val="none"/>
        </w:rPr>
      </w:pPr>
    </w:p>
    <w:p w14:paraId="42137B6C">
      <w:pPr>
        <w:pStyle w:val="4"/>
        <w:ind w:left="0" w:firstLine="0"/>
        <w:rPr>
          <w:rFonts w:hint="default" w:ascii="Times New Roman" w:hAnsi="Times New Roman" w:eastAsia="宋体" w:cs="Times New Roman"/>
          <w:color w:val="auto"/>
          <w:sz w:val="24"/>
          <w:szCs w:val="24"/>
          <w:highlight w:val="none"/>
        </w:rPr>
      </w:pPr>
    </w:p>
    <w:p w14:paraId="0072B468">
      <w:pPr>
        <w:pStyle w:val="4"/>
        <w:ind w:left="0" w:firstLine="0"/>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rPr>
        <mc:AlternateContent>
          <mc:Choice Requires="wps">
            <w:drawing>
              <wp:anchor distT="0" distB="0" distL="114300" distR="114300" simplePos="0" relativeHeight="251708416" behindDoc="0" locked="0" layoutInCell="1" allowOverlap="1">
                <wp:simplePos x="0" y="0"/>
                <wp:positionH relativeFrom="column">
                  <wp:posOffset>4600575</wp:posOffset>
                </wp:positionH>
                <wp:positionV relativeFrom="paragraph">
                  <wp:posOffset>202565</wp:posOffset>
                </wp:positionV>
                <wp:extent cx="846455" cy="357505"/>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84645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4F49A">
                            <w:pPr>
                              <w:rPr>
                                <w:sz w:val="24"/>
                              </w:rPr>
                            </w:pPr>
                            <w:r>
                              <w:rPr>
                                <w:rFonts w:hint="eastAsia"/>
                                <w:sz w:val="24"/>
                              </w:rPr>
                              <w:t>待喷区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25pt;margin-top:15.95pt;height:28.15pt;width:66.65pt;z-index:251708416;mso-width-relative:page;mso-height-relative:page;" filled="f" stroked="f" coordsize="21600,21600" o:gfxdata="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BphjdsAAAAJAQAADwAAAAAAAAABACAAAAAiAAAA&#10;ZHJzL2Rvd25yZXYueG1sUEsBAhQAFAAAAAgAh07iQIWyEjU9AgAAZwQAAA4AAAAAAAAAAQAgAAAA&#10;KgEAAGRycy9lMm9Eb2MueG1sUEsFBgAAAAAGAAYAWQEAANkFAAAAAA==&#10;">
                <v:fill on="f" focussize="0,0"/>
                <v:stroke on="f" weight="0.5pt"/>
                <v:imagedata o:title=""/>
                <o:lock v:ext="edit" aspectratio="f"/>
                <v:textbox>
                  <w:txbxContent>
                    <w:p w14:paraId="3C04F49A">
                      <w:pPr>
                        <w:rPr>
                          <w:sz w:val="24"/>
                        </w:rPr>
                      </w:pPr>
                      <w:r>
                        <w:rPr>
                          <w:rFonts w:hint="eastAsia"/>
                          <w:sz w:val="24"/>
                        </w:rPr>
                        <w:t>待喷区</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07392" behindDoc="0" locked="0" layoutInCell="1" allowOverlap="1">
                <wp:simplePos x="0" y="0"/>
                <wp:positionH relativeFrom="column">
                  <wp:posOffset>2396490</wp:posOffset>
                </wp:positionH>
                <wp:positionV relativeFrom="paragraph">
                  <wp:posOffset>147955</wp:posOffset>
                </wp:positionV>
                <wp:extent cx="738505" cy="357505"/>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73850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083B7">
                            <w:pPr>
                              <w:rPr>
                                <w:sz w:val="24"/>
                              </w:rPr>
                            </w:pPr>
                            <w:r>
                              <w:rPr>
                                <w:rFonts w:hint="eastAsia"/>
                                <w:sz w:val="24"/>
                              </w:rPr>
                              <w:t>成品区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7pt;margin-top:11.65pt;height:28.15pt;width:58.15pt;z-index:251707392;mso-width-relative:page;mso-height-relative:page;" filled="f" stroked="f" coordsize="21600,21600" o:gfxdata="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wp32N3AAAAAkBAAAPAAAAAAAAAAEAIAAAACIAAABk&#10;cnMvZG93bnJldi54bWxQSwECFAAUAAAACACHTuJANvYAvDsCAABnBAAADgAAAAAAAAABACAAAAAr&#10;AQAAZHJzL2Uyb0RvYy54bWxQSwUGAAAAAAYABgBZAQAA2AUAAAAA&#10;">
                <v:fill on="f" focussize="0,0"/>
                <v:stroke on="f" weight="0.5pt"/>
                <v:imagedata o:title=""/>
                <o:lock v:ext="edit" aspectratio="f"/>
                <v:textbox>
                  <w:txbxContent>
                    <w:p w14:paraId="1D2083B7">
                      <w:pPr>
                        <w:rPr>
                          <w:sz w:val="24"/>
                        </w:rPr>
                      </w:pPr>
                      <w:r>
                        <w:rPr>
                          <w:rFonts w:hint="eastAsia"/>
                          <w:sz w:val="24"/>
                        </w:rPr>
                        <w:t>成品区</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05344" behindDoc="0" locked="0" layoutInCell="1" allowOverlap="1">
                <wp:simplePos x="0" y="0"/>
                <wp:positionH relativeFrom="column">
                  <wp:posOffset>545465</wp:posOffset>
                </wp:positionH>
                <wp:positionV relativeFrom="paragraph">
                  <wp:posOffset>120650</wp:posOffset>
                </wp:positionV>
                <wp:extent cx="738505" cy="357505"/>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73850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E400EB">
                            <w:pPr>
                              <w:rPr>
                                <w:sz w:val="24"/>
                              </w:rPr>
                            </w:pPr>
                            <w:r>
                              <w:rPr>
                                <w:rFonts w:hint="eastAsia"/>
                                <w:sz w:val="24"/>
                              </w:rPr>
                              <w:t>风干房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95pt;margin-top:9.5pt;height:28.15pt;width:58.15pt;z-index:251705344;mso-width-relative:page;mso-height-relative:page;" filled="f" stroked="f" coordsize="21600,21600" o:gfxdata="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2gxmO2QAAAAgBAAAPAAAAAAAAAAEAIAAAACIAAABkcnMv&#10;ZG93bnJldi54bWxQSwECFAAUAAAACACHTuJAyHyL+jsCAABnBAAADgAAAAAAAAABACAAAAAoAQAA&#10;ZHJzL2Uyb0RvYy54bWxQSwUGAAAAAAYABgBZAQAA1QUAAAAA&#10;">
                <v:fill on="f" focussize="0,0"/>
                <v:stroke on="f" weight="0.5pt"/>
                <v:imagedata o:title=""/>
                <o:lock v:ext="edit" aspectratio="f"/>
                <v:textbox>
                  <w:txbxContent>
                    <w:p w14:paraId="0CE400EB">
                      <w:pPr>
                        <w:rPr>
                          <w:sz w:val="24"/>
                        </w:rPr>
                      </w:pPr>
                      <w:r>
                        <w:rPr>
                          <w:rFonts w:hint="eastAsia"/>
                          <w:sz w:val="24"/>
                        </w:rPr>
                        <w:t>风干房</w:t>
                      </w:r>
                    </w:p>
                  </w:txbxContent>
                </v:textbox>
              </v:shape>
            </w:pict>
          </mc:Fallback>
        </mc:AlternateContent>
      </w:r>
    </w:p>
    <w:p w14:paraId="4B7FA8E9">
      <w:pPr>
        <w:pStyle w:val="4"/>
        <w:ind w:left="0" w:firstLine="0"/>
        <w:rPr>
          <w:rFonts w:hint="default" w:ascii="Times New Roman" w:hAnsi="Times New Roman" w:eastAsia="宋体" w:cs="Times New Roman"/>
          <w:color w:val="auto"/>
          <w:sz w:val="24"/>
          <w:szCs w:val="24"/>
          <w:highlight w:val="none"/>
        </w:rPr>
      </w:pPr>
    </w:p>
    <w:p w14:paraId="7B7FD626">
      <w:pPr>
        <w:pStyle w:val="4"/>
        <w:ind w:left="0" w:firstLine="0"/>
        <w:rPr>
          <w:rFonts w:hint="default" w:ascii="Times New Roman" w:hAnsi="Times New Roman" w:eastAsia="宋体" w:cs="Times New Roman"/>
          <w:color w:val="auto"/>
          <w:sz w:val="24"/>
          <w:szCs w:val="24"/>
          <w:highlight w:val="none"/>
        </w:rPr>
      </w:pPr>
    </w:p>
    <w:p w14:paraId="72475D7F">
      <w:pPr>
        <w:pStyle w:val="4"/>
        <w:ind w:left="0" w:firstLine="0"/>
        <w:rPr>
          <w:rFonts w:hint="default" w:ascii="Times New Roman" w:hAnsi="Times New Roman" w:eastAsia="宋体" w:cs="Times New Roman"/>
          <w:color w:val="auto"/>
          <w:sz w:val="24"/>
          <w:szCs w:val="24"/>
          <w:highlight w:val="none"/>
        </w:rPr>
      </w:pPr>
    </w:p>
    <w:p w14:paraId="36DACE58">
      <w:pPr>
        <w:pStyle w:val="4"/>
        <w:ind w:left="0" w:firstLine="0"/>
        <w:rPr>
          <w:rFonts w:hint="default" w:ascii="Times New Roman" w:hAnsi="Times New Roman" w:eastAsia="宋体" w:cs="Times New Roman"/>
          <w:color w:val="auto"/>
          <w:sz w:val="24"/>
          <w:szCs w:val="24"/>
          <w:highlight w:val="none"/>
        </w:rPr>
      </w:pPr>
    </w:p>
    <w:p w14:paraId="032ACD88">
      <w:pPr>
        <w:pStyle w:val="4"/>
        <w:ind w:left="0" w:firstLine="0"/>
        <w:rPr>
          <w:rFonts w:hint="default" w:ascii="Times New Roman" w:hAnsi="Times New Roman" w:eastAsia="宋体" w:cs="Times New Roman"/>
          <w:color w:val="auto"/>
          <w:sz w:val="24"/>
          <w:szCs w:val="24"/>
          <w:highlight w:val="none"/>
        </w:rPr>
      </w:pPr>
    </w:p>
    <w:p w14:paraId="1C1B796E">
      <w:pPr>
        <w:pStyle w:val="4"/>
        <w:ind w:left="0" w:firstLine="0"/>
        <w:rPr>
          <w:rFonts w:hint="default" w:ascii="Times New Roman" w:hAnsi="Times New Roman" w:eastAsia="宋体" w:cs="Times New Roman"/>
          <w:color w:val="auto"/>
          <w:sz w:val="24"/>
          <w:szCs w:val="24"/>
          <w:highlight w:val="none"/>
        </w:rPr>
      </w:pPr>
    </w:p>
    <w:p w14:paraId="650E2C14">
      <w:pPr>
        <w:pStyle w:val="4"/>
        <w:ind w:left="0" w:firstLine="0"/>
        <w:rPr>
          <w:rFonts w:hint="default" w:ascii="Times New Roman" w:hAnsi="Times New Roman" w:eastAsia="宋体" w:cs="Times New Roman"/>
          <w:color w:val="auto"/>
          <w:sz w:val="24"/>
          <w:szCs w:val="24"/>
          <w:highlight w:val="none"/>
        </w:rPr>
      </w:pPr>
    </w:p>
    <w:p w14:paraId="6BBDF82B">
      <w:pPr>
        <w:pStyle w:val="4"/>
        <w:ind w:left="0" w:firstLine="0"/>
        <w:rPr>
          <w:rFonts w:hint="default" w:ascii="Times New Roman" w:hAnsi="Times New Roman" w:eastAsia="宋体" w:cs="Times New Roman"/>
          <w:color w:val="auto"/>
          <w:sz w:val="24"/>
          <w:szCs w:val="24"/>
          <w:highlight w:val="none"/>
        </w:rPr>
      </w:pPr>
    </w:p>
    <w:p w14:paraId="71E681F4">
      <w:pPr>
        <w:pStyle w:val="4"/>
        <w:ind w:left="0" w:firstLine="0"/>
        <w:rPr>
          <w:rFonts w:hint="default" w:ascii="Times New Roman" w:hAnsi="Times New Roman" w:eastAsia="宋体" w:cs="Times New Roman"/>
          <w:color w:val="auto"/>
          <w:sz w:val="24"/>
          <w:szCs w:val="24"/>
          <w:highlight w:val="none"/>
        </w:rPr>
      </w:pPr>
    </w:p>
    <w:p w14:paraId="3314630E">
      <w:pPr>
        <w:pStyle w:val="4"/>
        <w:ind w:left="0" w:firstLine="0"/>
        <w:rPr>
          <w:rFonts w:hint="default" w:ascii="Times New Roman" w:hAnsi="Times New Roman" w:eastAsia="宋体" w:cs="Times New Roman"/>
          <w:color w:val="auto"/>
          <w:sz w:val="24"/>
          <w:szCs w:val="24"/>
          <w:highlight w:val="none"/>
        </w:rPr>
      </w:pPr>
    </w:p>
    <w:p w14:paraId="3028DBD7">
      <w:pPr>
        <w:pStyle w:val="4"/>
        <w:ind w:left="0" w:firstLine="0"/>
        <w:rPr>
          <w:rFonts w:hint="default" w:ascii="Times New Roman" w:hAnsi="Times New Roman" w:eastAsia="宋体" w:cs="Times New Roman"/>
          <w:color w:val="auto"/>
          <w:sz w:val="24"/>
          <w:szCs w:val="24"/>
          <w:highlight w:val="none"/>
        </w:rPr>
      </w:pPr>
    </w:p>
    <w:p w14:paraId="2A869316">
      <w:pPr>
        <w:pStyle w:val="4"/>
        <w:ind w:left="0" w:firstLine="0"/>
        <w:rPr>
          <w:rFonts w:hint="default" w:ascii="Times New Roman" w:hAnsi="Times New Roman" w:eastAsia="宋体" w:cs="Times New Roman"/>
          <w:color w:val="auto"/>
          <w:sz w:val="24"/>
          <w:szCs w:val="24"/>
          <w:highlight w:val="none"/>
        </w:rPr>
      </w:pPr>
    </w:p>
    <w:p w14:paraId="07C56D84">
      <w:pPr>
        <w:pStyle w:val="4"/>
        <w:ind w:left="0" w:firstLine="0"/>
        <w:rPr>
          <w:rFonts w:hint="default" w:ascii="Times New Roman" w:hAnsi="Times New Roman" w:eastAsia="宋体" w:cs="Times New Roman"/>
          <w:color w:val="auto"/>
          <w:sz w:val="24"/>
          <w:szCs w:val="24"/>
          <w:highlight w:val="none"/>
        </w:rPr>
      </w:pPr>
    </w:p>
    <w:p w14:paraId="3C070F1C">
      <w:pPr>
        <w:pStyle w:val="4"/>
        <w:ind w:left="0" w:firstLine="0"/>
        <w:rPr>
          <w:rFonts w:hint="default" w:ascii="Times New Roman" w:hAnsi="Times New Roman" w:eastAsia="宋体" w:cs="Times New Roman"/>
          <w:color w:val="auto"/>
          <w:sz w:val="24"/>
          <w:szCs w:val="24"/>
          <w:highlight w:val="none"/>
        </w:rPr>
      </w:pPr>
    </w:p>
    <w:p w14:paraId="75DB7AD0">
      <w:pPr>
        <w:pStyle w:val="4"/>
        <w:ind w:left="0" w:firstLine="0"/>
        <w:rPr>
          <w:rFonts w:hint="default" w:ascii="Times New Roman" w:hAnsi="Times New Roman" w:eastAsia="宋体" w:cs="Times New Roman"/>
          <w:color w:val="auto"/>
          <w:sz w:val="24"/>
          <w:szCs w:val="24"/>
          <w:highlight w:val="none"/>
        </w:rPr>
      </w:pPr>
    </w:p>
    <w:p w14:paraId="00036F02">
      <w:pPr>
        <w:pStyle w:val="4"/>
        <w:ind w:left="0" w:firstLine="0"/>
        <w:rPr>
          <w:rFonts w:hint="default" w:ascii="Times New Roman" w:hAnsi="Times New Roman" w:eastAsia="宋体" w:cs="Times New Roman"/>
          <w:color w:val="auto"/>
          <w:sz w:val="24"/>
          <w:szCs w:val="24"/>
          <w:highlight w:val="none"/>
        </w:rPr>
      </w:pPr>
    </w:p>
    <w:p w14:paraId="1EC65381">
      <w:pPr>
        <w:pStyle w:val="4"/>
        <w:ind w:left="0" w:firstLine="0"/>
        <w:rPr>
          <w:rFonts w:hint="default" w:ascii="Times New Roman" w:hAnsi="Times New Roman" w:eastAsia="宋体" w:cs="Times New Roman"/>
          <w:color w:val="auto"/>
          <w:sz w:val="24"/>
          <w:szCs w:val="24"/>
          <w:highlight w:val="none"/>
        </w:rPr>
      </w:pPr>
    </w:p>
    <w:p w14:paraId="397E430C">
      <w:pPr>
        <w:pStyle w:val="4"/>
        <w:ind w:left="0" w:firstLine="0"/>
        <w:rPr>
          <w:rFonts w:hint="default" w:ascii="Times New Roman" w:hAnsi="Times New Roman" w:eastAsia="宋体" w:cs="Times New Roman"/>
          <w:color w:val="auto"/>
          <w:sz w:val="24"/>
          <w:szCs w:val="24"/>
          <w:highlight w:val="none"/>
        </w:rPr>
      </w:pPr>
    </w:p>
    <w:p w14:paraId="3BDEFA17">
      <w:pPr>
        <w:pStyle w:val="4"/>
        <w:ind w:left="0" w:firstLine="0"/>
        <w:rPr>
          <w:rFonts w:hint="default" w:ascii="Times New Roman" w:hAnsi="Times New Roman" w:eastAsia="宋体" w:cs="Times New Roman"/>
          <w:color w:val="auto"/>
          <w:sz w:val="24"/>
          <w:szCs w:val="24"/>
          <w:highlight w:val="none"/>
        </w:rPr>
      </w:pPr>
    </w:p>
    <w:p w14:paraId="742D1487">
      <w:pPr>
        <w:pStyle w:val="4"/>
        <w:ind w:left="0" w:firstLine="0"/>
        <w:rPr>
          <w:rFonts w:hint="default" w:ascii="Times New Roman" w:hAnsi="Times New Roman" w:eastAsia="宋体" w:cs="Times New Roman"/>
          <w:color w:val="auto"/>
          <w:sz w:val="24"/>
          <w:szCs w:val="24"/>
          <w:highlight w:val="none"/>
        </w:rPr>
      </w:pPr>
    </w:p>
    <w:p w14:paraId="00796686">
      <w:pPr>
        <w:pStyle w:val="4"/>
        <w:ind w:left="0" w:firstLine="0"/>
        <w:rPr>
          <w:rFonts w:hint="default" w:ascii="Times New Roman" w:hAnsi="Times New Roman" w:eastAsia="宋体" w:cs="Times New Roman"/>
          <w:color w:val="auto"/>
          <w:sz w:val="24"/>
          <w:szCs w:val="24"/>
          <w:highlight w:val="none"/>
        </w:rPr>
      </w:pPr>
    </w:p>
    <w:p w14:paraId="4C5ED050">
      <w:pPr>
        <w:pStyle w:val="4"/>
        <w:ind w:left="0" w:firstLine="0"/>
        <w:rPr>
          <w:rFonts w:hint="default" w:ascii="Times New Roman" w:hAnsi="Times New Roman" w:eastAsia="宋体" w:cs="Times New Roman"/>
          <w:color w:val="auto"/>
          <w:sz w:val="24"/>
          <w:szCs w:val="24"/>
          <w:highlight w:val="none"/>
        </w:rPr>
      </w:pPr>
    </w:p>
    <w:p w14:paraId="6C6A584A">
      <w:pPr>
        <w:pStyle w:val="4"/>
        <w:ind w:left="0" w:firstLine="0"/>
        <w:rPr>
          <w:rFonts w:hint="default" w:ascii="Times New Roman" w:hAnsi="Times New Roman" w:eastAsia="宋体" w:cs="Times New Roman"/>
          <w:color w:val="auto"/>
          <w:sz w:val="24"/>
          <w:szCs w:val="24"/>
          <w:highlight w:val="none"/>
        </w:rPr>
      </w:pPr>
    </w:p>
    <w:p w14:paraId="46CA0246">
      <w:pPr>
        <w:pStyle w:val="4"/>
        <w:ind w:left="0" w:firstLine="0"/>
        <w:rPr>
          <w:rFonts w:hint="default" w:ascii="Times New Roman" w:hAnsi="Times New Roman" w:eastAsia="宋体" w:cs="Times New Roman"/>
          <w:color w:val="auto"/>
          <w:sz w:val="24"/>
          <w:szCs w:val="24"/>
          <w:highlight w:val="none"/>
        </w:rPr>
      </w:pPr>
    </w:p>
    <w:p w14:paraId="4EC606C7">
      <w:pPr>
        <w:pStyle w:val="4"/>
        <w:ind w:left="0" w:firstLine="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szCs w:val="24"/>
          <w:highlight w:val="none"/>
        </w:rPr>
        <w:t>附图3 项目四至图</w:t>
      </w:r>
    </w:p>
    <w:p w14:paraId="1DFEE7D9">
      <w:pPr>
        <w:pStyle w:val="4"/>
        <w:ind w:left="0" w:firstLine="0"/>
        <w:jc w:val="center"/>
        <w:rPr>
          <w:rFonts w:hint="default" w:ascii="Times New Roman" w:hAnsi="Times New Roman" w:cs="Times New Roman"/>
          <w:color w:val="auto"/>
          <w:sz w:val="24"/>
          <w:szCs w:val="24"/>
          <w:highlight w:val="none"/>
        </w:rPr>
        <w:sectPr>
          <w:pgSz w:w="11906" w:h="16838"/>
          <w:pgMar w:top="1134" w:right="1134" w:bottom="1134" w:left="1134" w:header="851" w:footer="851" w:gutter="0"/>
          <w:cols w:space="720" w:num="1"/>
          <w:docGrid w:linePitch="312" w:charSpace="0"/>
        </w:sectPr>
      </w:pPr>
      <w:r>
        <w:rPr>
          <w:rFonts w:hint="default" w:ascii="Times New Roman" w:hAnsi="Times New Roman" w:cs="Times New Roman"/>
          <w:color w:val="auto"/>
          <w:sz w:val="30"/>
          <w:highlight w:val="none"/>
        </w:rPr>
        <mc:AlternateContent>
          <mc:Choice Requires="wps">
            <w:drawing>
              <wp:anchor distT="0" distB="0" distL="114300" distR="114300" simplePos="0" relativeHeight="251719680" behindDoc="0" locked="0" layoutInCell="1" allowOverlap="1">
                <wp:simplePos x="0" y="0"/>
                <wp:positionH relativeFrom="column">
                  <wp:posOffset>3260090</wp:posOffset>
                </wp:positionH>
                <wp:positionV relativeFrom="paragraph">
                  <wp:posOffset>1807210</wp:posOffset>
                </wp:positionV>
                <wp:extent cx="28575" cy="323850"/>
                <wp:effectExtent l="27940" t="0" r="57785" b="19050"/>
                <wp:wrapNone/>
                <wp:docPr id="98" name="直接箭头连接符 98"/>
                <wp:cNvGraphicFramePr/>
                <a:graphic xmlns:a="http://schemas.openxmlformats.org/drawingml/2006/main">
                  <a:graphicData uri="http://schemas.microsoft.com/office/word/2010/wordprocessingShape">
                    <wps:wsp>
                      <wps:cNvCnPr/>
                      <wps:spPr>
                        <a:xfrm flipV="1">
                          <a:off x="2551430" y="4165600"/>
                          <a:ext cx="28575" cy="323850"/>
                        </a:xfrm>
                        <a:prstGeom prst="straightConnector1">
                          <a:avLst/>
                        </a:prstGeom>
                        <a:ln w="6350">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56.7pt;margin-top:142.3pt;height:25.5pt;width:2.25pt;z-index:251719680;mso-width-relative:page;mso-height-relative:page;" filled="f" stroked="t" coordsize="21600,21600" o:gfxdata="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RVIH92wAAAAsBAAAPAAAA&#10;AAAAAAEAIAAAACIAAABkcnMvZG93bnJldi54bWxQSwECFAAUAAAACACHTuJAc0dHWxICAADiAwAA&#10;DgAAAAAAAAABACAAAAAqAQAAZHJzL2Uyb0RvYy54bWxQSwUGAAAAAAYABgBZAQAArgUAAAAA&#10;">
                <v:fill on="f" focussize="0,0"/>
                <v:stroke weight="0.5pt" color="#FFFF00 [3204]" joinstyle="round" endarrow="open"/>
                <v:imagedata o:title=""/>
                <o:lock v:ext="edit" aspectratio="f"/>
              </v:shape>
            </w:pict>
          </mc:Fallback>
        </mc:AlternateContent>
      </w:r>
      <w:r>
        <w:rPr>
          <w:rFonts w:hint="default" w:ascii="Times New Roman" w:hAnsi="Times New Roman" w:cs="Times New Roman"/>
          <w:color w:val="auto"/>
          <w:sz w:val="30"/>
          <w:highlight w:val="none"/>
        </w:rPr>
        <mc:AlternateContent>
          <mc:Choice Requires="wps">
            <w:drawing>
              <wp:anchor distT="0" distB="0" distL="114300" distR="114300" simplePos="0" relativeHeight="251718656" behindDoc="0" locked="0" layoutInCell="1" allowOverlap="1">
                <wp:simplePos x="0" y="0"/>
                <wp:positionH relativeFrom="column">
                  <wp:posOffset>2983865</wp:posOffset>
                </wp:positionH>
                <wp:positionV relativeFrom="paragraph">
                  <wp:posOffset>2026285</wp:posOffset>
                </wp:positionV>
                <wp:extent cx="867410" cy="295910"/>
                <wp:effectExtent l="0" t="0" r="8890" b="8890"/>
                <wp:wrapNone/>
                <wp:docPr id="91" name="文本框 91"/>
                <wp:cNvGraphicFramePr/>
                <a:graphic xmlns:a="http://schemas.openxmlformats.org/drawingml/2006/main">
                  <a:graphicData uri="http://schemas.microsoft.com/office/word/2010/wordprocessingShape">
                    <wps:wsp>
                      <wps:cNvSpPr txBox="1"/>
                      <wps:spPr>
                        <a:xfrm>
                          <a:off x="3789680" y="3136900"/>
                          <a:ext cx="86741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66882">
                            <w:pPr>
                              <w:rPr>
                                <w:rFonts w:hint="default" w:eastAsia="宋体"/>
                                <w:color w:val="FFFF00"/>
                                <w:sz w:val="18"/>
                                <w:szCs w:val="18"/>
                                <w:lang w:val="en-US" w:eastAsia="zh-CN"/>
                              </w:rPr>
                            </w:pPr>
                            <w:r>
                              <w:rPr>
                                <w:rFonts w:hint="eastAsia"/>
                                <w:color w:val="FFFF00"/>
                                <w:sz w:val="18"/>
                                <w:szCs w:val="18"/>
                                <w:lang w:val="en-US" w:eastAsia="zh-CN"/>
                              </w:rPr>
                              <w:t>本项目区域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95pt;margin-top:159.55pt;height:23.3pt;width:68.3pt;z-index:251718656;mso-width-relative:page;mso-height-relative:page;" filled="f" stroked="f" coordsize="21600,21600" o:gfxdata="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tMqxfcAAAACwEAAA8AAAAAAAAA&#10;AQAgAAAAIgAAAGRycy9kb3ducmV2LnhtbFBLAQIUABQAAAAIAIdO4kDVMGyqRgIAAHMEAAAOAAAA&#10;AAAAAAEAIAAAACsBAABkcnMvZTJvRG9jLnhtbFBLBQYAAAAABgAGAFkBAADjBQAAAAA=&#10;">
                <v:fill on="f" focussize="0,0"/>
                <v:stroke on="f" weight="0.5pt"/>
                <v:imagedata o:title=""/>
                <o:lock v:ext="edit" aspectratio="f"/>
                <v:textbox>
                  <w:txbxContent>
                    <w:p w14:paraId="09D66882">
                      <w:pPr>
                        <w:rPr>
                          <w:rFonts w:hint="default" w:eastAsia="宋体"/>
                          <w:color w:val="FFFF00"/>
                          <w:sz w:val="18"/>
                          <w:szCs w:val="18"/>
                          <w:lang w:val="en-US" w:eastAsia="zh-CN"/>
                        </w:rPr>
                      </w:pPr>
                      <w:r>
                        <w:rPr>
                          <w:rFonts w:hint="eastAsia"/>
                          <w:color w:val="FFFF00"/>
                          <w:sz w:val="18"/>
                          <w:szCs w:val="18"/>
                          <w:lang w:val="en-US" w:eastAsia="zh-CN"/>
                        </w:rPr>
                        <w:t>本项目区域</w:t>
                      </w:r>
                    </w:p>
                  </w:txbxContent>
                </v:textbox>
              </v:shape>
            </w:pict>
          </mc:Fallback>
        </mc:AlternateContent>
      </w:r>
      <w:r>
        <w:rPr>
          <w:rFonts w:hint="default" w:ascii="Times New Roman" w:hAnsi="Times New Roman" w:cs="Times New Roman"/>
          <w:color w:val="auto"/>
          <w:sz w:val="30"/>
          <w:highlight w:val="none"/>
        </w:rPr>
        <mc:AlternateContent>
          <mc:Choice Requires="wps">
            <w:drawing>
              <wp:anchor distT="0" distB="0" distL="114300" distR="114300" simplePos="0" relativeHeight="251717632" behindDoc="0" locked="0" layoutInCell="1" allowOverlap="1">
                <wp:simplePos x="0" y="0"/>
                <wp:positionH relativeFrom="column">
                  <wp:posOffset>3100705</wp:posOffset>
                </wp:positionH>
                <wp:positionV relativeFrom="paragraph">
                  <wp:posOffset>1659890</wp:posOffset>
                </wp:positionV>
                <wp:extent cx="262255" cy="179070"/>
                <wp:effectExtent l="4445" t="4445" r="19050" b="6985"/>
                <wp:wrapNone/>
                <wp:docPr id="83" name="任意多边形 83"/>
                <wp:cNvGraphicFramePr/>
                <a:graphic xmlns:a="http://schemas.openxmlformats.org/drawingml/2006/main">
                  <a:graphicData uri="http://schemas.microsoft.com/office/word/2010/wordprocessingShape">
                    <wps:wsp>
                      <wps:cNvSpPr/>
                      <wps:spPr>
                        <a:xfrm>
                          <a:off x="3820795" y="2694305"/>
                          <a:ext cx="262255" cy="179070"/>
                        </a:xfrm>
                        <a:custGeom>
                          <a:avLst/>
                          <a:gdLst>
                            <a:gd name="connisteX0" fmla="*/ 0 w 280035"/>
                            <a:gd name="connsiteY0" fmla="*/ 30480 h 179070"/>
                            <a:gd name="connisteX1" fmla="*/ 12065 w 280035"/>
                            <a:gd name="connsiteY1" fmla="*/ 179070 h 179070"/>
                            <a:gd name="connisteX2" fmla="*/ 280035 w 280035"/>
                            <a:gd name="connsiteY2" fmla="*/ 149225 h 179070"/>
                            <a:gd name="connisteX3" fmla="*/ 262255 w 280035"/>
                            <a:gd name="connsiteY3" fmla="*/ 0 h 179070"/>
                            <a:gd name="connisteX4" fmla="*/ 0 w 280035"/>
                            <a:gd name="connsiteY4" fmla="*/ 30480 h 17907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80035" h="179070">
                              <a:moveTo>
                                <a:pt x="0" y="30480"/>
                              </a:moveTo>
                              <a:lnTo>
                                <a:pt x="12065" y="179070"/>
                              </a:lnTo>
                              <a:lnTo>
                                <a:pt x="280035" y="149225"/>
                              </a:lnTo>
                              <a:lnTo>
                                <a:pt x="262255" y="0"/>
                              </a:lnTo>
                              <a:lnTo>
                                <a:pt x="0" y="30480"/>
                              </a:lnTo>
                              <a:close/>
                            </a:path>
                          </a:pathLst>
                        </a:custGeom>
                        <a:noFill/>
                        <a:ln w="635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44.15pt;margin-top:130.7pt;height:14.1pt;width:20.65pt;z-index:251717632;mso-width-relative:page;mso-height-relative:page;" filled="f" stroked="t" coordsize="280035,179070" o:gfxdata="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4dNtj2gAAAAsBAAAPAAAAAAAAAAEAIAAAACIAAABkcnMvZG93bnJldi54&#10;bWxQSwECFAAUAAAACACHTuJAlLlqdRUDAAAwCAAADgAAAAAAAAABACAAAAApAQAAZHJzL2Uyb0Rv&#10;Yy54bWxQSwUGAAAAAAYABgBZAQAAsAYAAAAA&#10;" path="m0,30480l12065,179070,280035,149225,262255,0,0,30480xe">
                <v:path o:connectlocs="0,30480;11298,179070;262255,149225;245603,0;0,30480" o:connectangles="0,0,0,0,0"/>
                <v:fill on="f" focussize="0,0"/>
                <v:stroke weight="0.5pt" color="#FFFF00 [2404]" joinstyle="round"/>
                <v:imagedata o:title=""/>
                <o:lock v:ext="edit" aspectratio="f"/>
              </v:shape>
            </w:pict>
          </mc:Fallback>
        </mc:AlternateContent>
      </w:r>
      <w:r>
        <w:rPr>
          <w:rFonts w:hint="default" w:ascii="Times New Roman" w:hAnsi="Times New Roman" w:cs="Times New Roman"/>
          <w:color w:val="auto"/>
          <w:highlight w:val="none"/>
        </w:rPr>
        <mc:AlternateContent>
          <mc:Choice Requires="wpg">
            <w:drawing>
              <wp:anchor distT="0" distB="0" distL="114300" distR="114300" simplePos="0" relativeHeight="251675648" behindDoc="0" locked="0" layoutInCell="1" allowOverlap="1">
                <wp:simplePos x="0" y="0"/>
                <wp:positionH relativeFrom="column">
                  <wp:posOffset>250190</wp:posOffset>
                </wp:positionH>
                <wp:positionV relativeFrom="paragraph">
                  <wp:posOffset>41910</wp:posOffset>
                </wp:positionV>
                <wp:extent cx="5621020" cy="4749165"/>
                <wp:effectExtent l="0" t="0" r="0" b="13970"/>
                <wp:wrapNone/>
                <wp:docPr id="56" name="组合 56"/>
                <wp:cNvGraphicFramePr/>
                <a:graphic xmlns:a="http://schemas.openxmlformats.org/drawingml/2006/main">
                  <a:graphicData uri="http://schemas.microsoft.com/office/word/2010/wordprocessingGroup">
                    <wpg:wgp>
                      <wpg:cNvGrpSpPr/>
                      <wpg:grpSpPr>
                        <a:xfrm>
                          <a:off x="0" y="0"/>
                          <a:ext cx="5621020" cy="4749165"/>
                          <a:chOff x="7027" y="2068185"/>
                          <a:chExt cx="8852" cy="7479"/>
                        </a:xfrm>
                      </wpg:grpSpPr>
                      <pic:pic xmlns:pic="http://schemas.openxmlformats.org/drawingml/2006/picture">
                        <pic:nvPicPr>
                          <pic:cNvPr id="26" name="图片 26" descr="C:\Users\ADMINI~1\AppData\Local\Temp\ksohtml2636\wps8.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rot="20572635">
                            <a:off x="15317" y="2068680"/>
                            <a:ext cx="435" cy="943"/>
                          </a:xfrm>
                          <a:prstGeom prst="rect">
                            <a:avLst/>
                          </a:prstGeom>
                          <a:noFill/>
                          <a:ln>
                            <a:noFill/>
                          </a:ln>
                        </pic:spPr>
                      </pic:pic>
                      <wps:wsp>
                        <wps:cNvPr id="8" name="文本框 2"/>
                        <wps:cNvSpPr txBox="1">
                          <a:spLocks noChangeArrowheads="1"/>
                        </wps:cNvSpPr>
                        <wps:spPr bwMode="auto">
                          <a:xfrm>
                            <a:off x="10351" y="2069446"/>
                            <a:ext cx="1564" cy="770"/>
                          </a:xfrm>
                          <a:prstGeom prst="rect">
                            <a:avLst/>
                          </a:prstGeom>
                          <a:noFill/>
                          <a:ln w="9525">
                            <a:noFill/>
                            <a:miter lim="800000"/>
                          </a:ln>
                          <a:effectLst/>
                        </wps:spPr>
                        <wps:txbx>
                          <w:txbxContent>
                            <w:p w14:paraId="0927B199">
                              <w:pPr>
                                <w:rPr>
                                  <w:color w:val="FFFF00"/>
                                  <w:sz w:val="24"/>
                                </w:rPr>
                              </w:pPr>
                              <w:r>
                                <w:rPr>
                                  <w:rFonts w:hint="eastAsia"/>
                                  <w:color w:val="FFFF00"/>
                                  <w:sz w:val="24"/>
                                </w:rPr>
                                <w:t>上海韶冶华南分公司</w:t>
                              </w:r>
                            </w:p>
                          </w:txbxContent>
                        </wps:txbx>
                        <wps:bodyPr rot="0" vert="horz" wrap="square" lIns="91440" tIns="45720" rIns="91440" bIns="45720" anchor="t" anchorCtr="0">
                          <a:noAutofit/>
                        </wps:bodyPr>
                      </wps:wsp>
                      <wps:wsp>
                        <wps:cNvPr id="35" name="文本框 2"/>
                        <wps:cNvSpPr txBox="1">
                          <a:spLocks noChangeArrowheads="1"/>
                        </wps:cNvSpPr>
                        <wps:spPr bwMode="auto">
                          <a:xfrm>
                            <a:off x="12671" y="2070296"/>
                            <a:ext cx="1984" cy="770"/>
                          </a:xfrm>
                          <a:prstGeom prst="rect">
                            <a:avLst/>
                          </a:prstGeom>
                          <a:noFill/>
                          <a:ln w="9525">
                            <a:noFill/>
                            <a:miter lim="800000"/>
                          </a:ln>
                          <a:effectLst/>
                        </wps:spPr>
                        <wps:txbx>
                          <w:txbxContent>
                            <w:p w14:paraId="4CC09280">
                              <w:pPr>
                                <w:rPr>
                                  <w:color w:val="FFFF00"/>
                                  <w:sz w:val="24"/>
                                </w:rPr>
                              </w:pPr>
                              <w:r>
                                <w:rPr>
                                  <w:rFonts w:hint="eastAsia"/>
                                  <w:color w:val="FFFF00"/>
                                  <w:sz w:val="24"/>
                                </w:rPr>
                                <w:t>利生源生物饲料</w:t>
                              </w:r>
                            </w:p>
                          </w:txbxContent>
                        </wps:txbx>
                        <wps:bodyPr rot="0" vert="horz" wrap="square" lIns="91440" tIns="45720" rIns="91440" bIns="45720" anchor="t" anchorCtr="0">
                          <a:noAutofit/>
                        </wps:bodyPr>
                      </wps:wsp>
                      <wps:wsp>
                        <wps:cNvPr id="37" name="文本框 2"/>
                        <wps:cNvSpPr txBox="1">
                          <a:spLocks noChangeArrowheads="1"/>
                        </wps:cNvSpPr>
                        <wps:spPr bwMode="auto">
                          <a:xfrm>
                            <a:off x="11156" y="2072873"/>
                            <a:ext cx="1564" cy="770"/>
                          </a:xfrm>
                          <a:prstGeom prst="rect">
                            <a:avLst/>
                          </a:prstGeom>
                          <a:noFill/>
                          <a:ln w="9525">
                            <a:noFill/>
                            <a:miter lim="800000"/>
                          </a:ln>
                          <a:effectLst/>
                        </wps:spPr>
                        <wps:txbx>
                          <w:txbxContent>
                            <w:p w14:paraId="1673080D">
                              <w:pPr>
                                <w:rPr>
                                  <w:color w:val="FFFF00"/>
                                  <w:sz w:val="24"/>
                                </w:rPr>
                              </w:pPr>
                              <w:r>
                                <w:rPr>
                                  <w:rFonts w:hint="eastAsia"/>
                                  <w:color w:val="FFFF00"/>
                                  <w:sz w:val="24"/>
                                </w:rPr>
                                <w:t>春燕齿轮</w:t>
                              </w:r>
                            </w:p>
                          </w:txbxContent>
                        </wps:txbx>
                        <wps:bodyPr rot="0" vert="horz" wrap="square" lIns="91440" tIns="45720" rIns="91440" bIns="45720" anchor="t" anchorCtr="0">
                          <a:noAutofit/>
                        </wps:bodyPr>
                      </wps:wsp>
                      <wps:wsp>
                        <wps:cNvPr id="38" name="文本框 2"/>
                        <wps:cNvSpPr txBox="1">
                          <a:spLocks noChangeArrowheads="1"/>
                        </wps:cNvSpPr>
                        <wps:spPr bwMode="auto">
                          <a:xfrm>
                            <a:off x="8693" y="2071097"/>
                            <a:ext cx="1564" cy="770"/>
                          </a:xfrm>
                          <a:prstGeom prst="rect">
                            <a:avLst/>
                          </a:prstGeom>
                          <a:noFill/>
                          <a:ln w="9525">
                            <a:noFill/>
                            <a:miter lim="800000"/>
                          </a:ln>
                          <a:effectLst/>
                        </wps:spPr>
                        <wps:txbx>
                          <w:txbxContent>
                            <w:p w14:paraId="255A5D20">
                              <w:pPr>
                                <w:rPr>
                                  <w:color w:val="FFFF00"/>
                                  <w:sz w:val="24"/>
                                </w:rPr>
                              </w:pPr>
                              <w:r>
                                <w:rPr>
                                  <w:rFonts w:hint="eastAsia"/>
                                  <w:color w:val="FFFF00"/>
                                  <w:sz w:val="24"/>
                                </w:rPr>
                                <w:t>俊耀电子</w:t>
                              </w:r>
                            </w:p>
                          </w:txbxContent>
                        </wps:txbx>
                        <wps:bodyPr rot="0" vert="horz" wrap="square" lIns="91440" tIns="45720" rIns="91440" bIns="45720" anchor="t" anchorCtr="0">
                          <a:noAutofit/>
                        </wps:bodyPr>
                      </wps:wsp>
                      <wps:wsp>
                        <wps:cNvPr id="39" name="文本框 2"/>
                        <wps:cNvSpPr txBox="1">
                          <a:spLocks noChangeArrowheads="1"/>
                        </wps:cNvSpPr>
                        <wps:spPr bwMode="auto">
                          <a:xfrm>
                            <a:off x="10643" y="2071034"/>
                            <a:ext cx="1564" cy="769"/>
                          </a:xfrm>
                          <a:prstGeom prst="rect">
                            <a:avLst/>
                          </a:prstGeom>
                          <a:noFill/>
                          <a:ln w="9525">
                            <a:noFill/>
                            <a:miter lim="800000"/>
                          </a:ln>
                          <a:effectLst/>
                        </wps:spPr>
                        <wps:txbx>
                          <w:txbxContent>
                            <w:p w14:paraId="7BFAE466">
                              <w:pPr>
                                <w:rPr>
                                  <w:color w:val="FF0000"/>
                                  <w:sz w:val="24"/>
                                </w:rPr>
                              </w:pPr>
                              <w:r>
                                <w:rPr>
                                  <w:rFonts w:hint="eastAsia"/>
                                  <w:color w:val="FF0000"/>
                                  <w:sz w:val="24"/>
                                </w:rPr>
                                <w:t>博尔兹</w:t>
                              </w:r>
                            </w:p>
                          </w:txbxContent>
                        </wps:txbx>
                        <wps:bodyPr rot="0" vert="horz" wrap="square" lIns="91440" tIns="45720" rIns="91440" bIns="45720" anchor="t" anchorCtr="0">
                          <a:noAutofit/>
                        </wps:bodyPr>
                      </wps:wsp>
                      <wps:wsp>
                        <wps:cNvPr id="44" name="文本框 2"/>
                        <wps:cNvSpPr txBox="1">
                          <a:spLocks noChangeArrowheads="1"/>
                        </wps:cNvSpPr>
                        <wps:spPr bwMode="auto">
                          <a:xfrm>
                            <a:off x="15264" y="2068185"/>
                            <a:ext cx="615" cy="570"/>
                          </a:xfrm>
                          <a:prstGeom prst="rect">
                            <a:avLst/>
                          </a:prstGeom>
                          <a:noFill/>
                          <a:ln w="9525">
                            <a:noFill/>
                            <a:miter lim="800000"/>
                          </a:ln>
                          <a:effectLst/>
                        </wps:spPr>
                        <wps:txbx>
                          <w:txbxContent>
                            <w:p w14:paraId="56C6303D">
                              <w:pPr>
                                <w:rPr>
                                  <w:color w:val="FFFF00"/>
                                  <w:sz w:val="24"/>
                                </w:rPr>
                              </w:pPr>
                              <w:r>
                                <w:rPr>
                                  <w:rFonts w:hint="eastAsia"/>
                                  <w:color w:val="FFFF00"/>
                                  <w:sz w:val="24"/>
                                </w:rPr>
                                <w:t>北</w:t>
                              </w:r>
                            </w:p>
                          </w:txbxContent>
                        </wps:txbx>
                        <wps:bodyPr rot="0" vert="horz" wrap="square" lIns="91440" tIns="45720" rIns="91440" bIns="45720" anchor="t" anchorCtr="0">
                          <a:noAutofit/>
                        </wps:bodyPr>
                      </wps:wsp>
                      <wps:wsp>
                        <wps:cNvPr id="50" name="任意多边形 119"/>
                        <wps:cNvSpPr/>
                        <wps:spPr>
                          <a:xfrm>
                            <a:off x="10377" y="2072147"/>
                            <a:ext cx="2640" cy="1965"/>
                          </a:xfrm>
                          <a:custGeom>
                            <a:avLst/>
                            <a:gdLst/>
                            <a:ahLst/>
                            <a:cxnLst/>
                            <a:rect l="0" t="0" r="0" b="0"/>
                            <a:pathLst>
                              <a:path w="2640" h="1965">
                                <a:moveTo>
                                  <a:pt x="0" y="390"/>
                                </a:moveTo>
                                <a:lnTo>
                                  <a:pt x="435" y="1965"/>
                                </a:lnTo>
                                <a:lnTo>
                                  <a:pt x="2640" y="1635"/>
                                </a:lnTo>
                                <a:lnTo>
                                  <a:pt x="2400" y="0"/>
                                </a:lnTo>
                                <a:lnTo>
                                  <a:pt x="0" y="390"/>
                                </a:lnTo>
                                <a:close/>
                              </a:path>
                            </a:pathLst>
                          </a:custGeom>
                          <a:solidFill>
                            <a:srgbClr val="FFC000">
                              <a:alpha val="25000"/>
                            </a:srgbClr>
                          </a:solidFill>
                          <a:ln w="9525" cap="flat" cmpd="sng">
                            <a:solidFill>
                              <a:srgbClr val="FFC000"/>
                            </a:solidFill>
                            <a:prstDash val="solid"/>
                            <a:headEnd type="none" w="med" len="med"/>
                            <a:tailEnd type="none" w="med" len="med"/>
                          </a:ln>
                        </wps:spPr>
                        <wps:bodyPr upright="1"/>
                      </wps:wsp>
                      <wps:wsp>
                        <wps:cNvPr id="51" name="任意多边形 121"/>
                        <wps:cNvSpPr/>
                        <wps:spPr>
                          <a:xfrm>
                            <a:off x="8622" y="2070563"/>
                            <a:ext cx="1695" cy="1755"/>
                          </a:xfrm>
                          <a:custGeom>
                            <a:avLst/>
                            <a:gdLst/>
                            <a:ahLst/>
                            <a:cxnLst/>
                            <a:rect l="0" t="0" r="0" b="0"/>
                            <a:pathLst>
                              <a:path w="1695" h="1755">
                                <a:moveTo>
                                  <a:pt x="0" y="300"/>
                                </a:moveTo>
                                <a:lnTo>
                                  <a:pt x="375" y="1755"/>
                                </a:lnTo>
                                <a:lnTo>
                                  <a:pt x="1695" y="1530"/>
                                </a:lnTo>
                                <a:lnTo>
                                  <a:pt x="1290" y="0"/>
                                </a:lnTo>
                                <a:lnTo>
                                  <a:pt x="0" y="300"/>
                                </a:lnTo>
                                <a:close/>
                              </a:path>
                            </a:pathLst>
                          </a:custGeom>
                          <a:solidFill>
                            <a:srgbClr val="FFC000">
                              <a:alpha val="23999"/>
                            </a:srgbClr>
                          </a:solidFill>
                          <a:ln w="9525" cap="flat" cmpd="sng">
                            <a:solidFill>
                              <a:srgbClr val="FFC000"/>
                            </a:solidFill>
                            <a:prstDash val="solid"/>
                            <a:headEnd type="none" w="med" len="med"/>
                            <a:tailEnd type="none" w="med" len="med"/>
                          </a:ln>
                        </wps:spPr>
                        <wps:bodyPr upright="1"/>
                      </wps:wsp>
                      <wps:wsp>
                        <wps:cNvPr id="52" name="任意多边形 122"/>
                        <wps:cNvSpPr/>
                        <wps:spPr>
                          <a:xfrm>
                            <a:off x="9867" y="2069183"/>
                            <a:ext cx="2250" cy="1395"/>
                          </a:xfrm>
                          <a:custGeom>
                            <a:avLst/>
                            <a:gdLst/>
                            <a:ahLst/>
                            <a:cxnLst/>
                            <a:rect l="0" t="0" r="0" b="0"/>
                            <a:pathLst>
                              <a:path w="2250" h="1395">
                                <a:moveTo>
                                  <a:pt x="0" y="405"/>
                                </a:moveTo>
                                <a:lnTo>
                                  <a:pt x="150" y="1395"/>
                                </a:lnTo>
                                <a:lnTo>
                                  <a:pt x="2250" y="1155"/>
                                </a:lnTo>
                                <a:lnTo>
                                  <a:pt x="2145" y="0"/>
                                </a:lnTo>
                                <a:lnTo>
                                  <a:pt x="0" y="405"/>
                                </a:lnTo>
                                <a:close/>
                              </a:path>
                            </a:pathLst>
                          </a:custGeom>
                          <a:solidFill>
                            <a:srgbClr val="FFC000">
                              <a:alpha val="23999"/>
                            </a:srgbClr>
                          </a:solidFill>
                          <a:ln w="9525" cap="flat" cmpd="sng">
                            <a:solidFill>
                              <a:srgbClr val="FFC000"/>
                            </a:solidFill>
                            <a:prstDash val="solid"/>
                            <a:headEnd type="none" w="med" len="med"/>
                            <a:tailEnd type="none" w="med" len="med"/>
                          </a:ln>
                        </wps:spPr>
                        <wps:bodyPr upright="1"/>
                      </wps:wsp>
                      <wps:wsp>
                        <wps:cNvPr id="53" name="任意多边形 120"/>
                        <wps:cNvSpPr/>
                        <wps:spPr>
                          <a:xfrm>
                            <a:off x="12117" y="2068926"/>
                            <a:ext cx="2745" cy="2925"/>
                          </a:xfrm>
                          <a:custGeom>
                            <a:avLst/>
                            <a:gdLst/>
                            <a:ahLst/>
                            <a:cxnLst/>
                            <a:rect l="0" t="0" r="0" b="0"/>
                            <a:pathLst>
                              <a:path w="2745" h="2925">
                                <a:moveTo>
                                  <a:pt x="0" y="360"/>
                                </a:moveTo>
                                <a:lnTo>
                                  <a:pt x="750" y="2925"/>
                                </a:lnTo>
                                <a:lnTo>
                                  <a:pt x="2745" y="2610"/>
                                </a:lnTo>
                                <a:lnTo>
                                  <a:pt x="2115" y="0"/>
                                </a:lnTo>
                                <a:lnTo>
                                  <a:pt x="0" y="360"/>
                                </a:lnTo>
                                <a:close/>
                              </a:path>
                            </a:pathLst>
                          </a:custGeom>
                          <a:solidFill>
                            <a:srgbClr val="FFC000">
                              <a:alpha val="23999"/>
                            </a:srgbClr>
                          </a:solidFill>
                          <a:ln w="9525" cap="flat" cmpd="sng">
                            <a:solidFill>
                              <a:srgbClr val="FFC000"/>
                            </a:solidFill>
                            <a:prstDash val="solid"/>
                            <a:headEnd type="none" w="med" len="med"/>
                            <a:tailEnd type="none" w="med" len="med"/>
                          </a:ln>
                        </wps:spPr>
                        <wps:bodyPr upright="1"/>
                      </wps:wsp>
                      <pic:pic xmlns:pic="http://schemas.openxmlformats.org/drawingml/2006/picture">
                        <pic:nvPicPr>
                          <pic:cNvPr id="54" name="图片 54" descr="e3c833df-3faf-4964-b4d9-c69f36347f50"/>
                          <pic:cNvPicPr>
                            <a:picLocks noChangeAspect="1"/>
                          </pic:cNvPicPr>
                        </pic:nvPicPr>
                        <pic:blipFill>
                          <a:blip r:embed="rId37"/>
                          <a:stretch>
                            <a:fillRect/>
                          </a:stretch>
                        </pic:blipFill>
                        <pic:spPr>
                          <a:xfrm>
                            <a:off x="7027" y="2075079"/>
                            <a:ext cx="525" cy="585"/>
                          </a:xfrm>
                          <a:prstGeom prst="rect">
                            <a:avLst/>
                          </a:prstGeom>
                        </pic:spPr>
                      </pic:pic>
                    </wpg:wgp>
                  </a:graphicData>
                </a:graphic>
              </wp:anchor>
            </w:drawing>
          </mc:Choice>
          <mc:Fallback>
            <w:pict>
              <v:group id="_x0000_s1026" o:spid="_x0000_s1026" o:spt="203" style="position:absolute;left:0pt;margin-left:19.7pt;margin-top:3.3pt;height:373.95pt;width:442.6pt;z-index:251675648;mso-width-relative:page;mso-height-relative:page;" coordorigin="7027,2068185" coordsize="8852,7479" o:gfxdata="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C5s8AC/AAAApQEAABkA&#10;AABkcnMvX3JlbHMvZTJvRG9jLnhtbC5yZWxzvZDBisIwEIbvC/sOYe7btD0sspj2IoJXcR9gSKZp&#10;sJmEJIq+vYFlQUHw5nFm+L//Y9bjxS/iTCm7wAq6pgVBrINxbBX8HrZfKxC5IBtcApOCK2UYh8+P&#10;9Z4WLDWUZxezqBTOCuZS4o+UWc/kMTchEtfLFJLHUsdkZUR9REuyb9tvme4ZMDwwxc4oSDvTgzhc&#10;Y21+zQ7T5DRtgj554vKkQjpfuysQk6WiwJNx+Lfsm8gW5HOH7j0O3b+DfHjucAN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">
                <o:lock v:ext="edit" aspectratio="f"/>
                <v:shape id="_x0000_s1026" o:spid="_x0000_s1026" o:spt="75" alt="C:\Users\ADMINI~1\AppData\Local\Temp\ksohtml2636\wps8.png" type="#_x0000_t75" style="position:absolute;left:15317;top:2068680;height:943;width:435;rotation:-1122157f;" filled="f" o:preferrelative="t" stroked="f" coordsize="21600,21600" o:gfxdata="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c6jPvQAA&#10;ANsAAAAPAAAAAAAAAAEAIAAAACIAAABkcnMvZG93bnJldi54bWxQSwECFAAUAAAACACHTuJAMy8F&#10;njsAAAA5AAAAEAAAAAAAAAABACAAAAAMAQAAZHJzL3NoYXBleG1sLnhtbFBLBQYAAAAABgAGAFsB&#10;AAC2AwAAAAA=&#10;">
                  <v:fill on="f" focussize="0,0"/>
                  <v:stroke on="f"/>
                  <v:imagedata r:id="rId36" o:title=""/>
                  <o:lock v:ext="edit" aspectratio="t"/>
                </v:shape>
                <v:shape id="文本框 2" o:spid="_x0000_s1026" o:spt="202" type="#_x0000_t202" style="position:absolute;left:10351;top:2069446;height:770;width:1564;" filled="f" stroked="f" coordsize="21600,21600" o:gfxdata="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lBQkbgAAADaAAAA&#10;DwAAAAAAAAABACAAAAAiAAAAZHJzL2Rvd25yZXYueG1sUEsBAhQAFAAAAAgAh07iQDMvBZ47AAAA&#10;OQAAABAAAAAAAAAAAQAgAAAABwEAAGRycy9zaGFwZXhtbC54bWxQSwUGAAAAAAYABgBbAQAAsQMA&#10;AAAA&#10;">
                  <v:fill on="f" focussize="0,0"/>
                  <v:stroke on="f" miterlimit="8" joinstyle="miter"/>
                  <v:imagedata o:title=""/>
                  <o:lock v:ext="edit" aspectratio="f"/>
                  <v:textbox>
                    <w:txbxContent>
                      <w:p w14:paraId="0927B199">
                        <w:pPr>
                          <w:rPr>
                            <w:color w:val="FFFF00"/>
                            <w:sz w:val="24"/>
                          </w:rPr>
                        </w:pPr>
                        <w:r>
                          <w:rPr>
                            <w:rFonts w:hint="eastAsia"/>
                            <w:color w:val="FFFF00"/>
                            <w:sz w:val="24"/>
                          </w:rPr>
                          <w:t>上海韶冶华南分公司</w:t>
                        </w:r>
                      </w:p>
                    </w:txbxContent>
                  </v:textbox>
                </v:shape>
                <v:shape id="文本框 2" o:spid="_x0000_s1026" o:spt="202" type="#_x0000_t202" style="position:absolute;left:12671;top:2070296;height:770;width:1984;" filled="f" stroked="f" coordsize="21600,21600" o:gfxdata="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cXkOvQAA&#10;ANs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14:paraId="4CC09280">
                        <w:pPr>
                          <w:rPr>
                            <w:color w:val="FFFF00"/>
                            <w:sz w:val="24"/>
                          </w:rPr>
                        </w:pPr>
                        <w:r>
                          <w:rPr>
                            <w:rFonts w:hint="eastAsia"/>
                            <w:color w:val="FFFF00"/>
                            <w:sz w:val="24"/>
                          </w:rPr>
                          <w:t>利生源生物饲料</w:t>
                        </w:r>
                      </w:p>
                    </w:txbxContent>
                  </v:textbox>
                </v:shape>
                <v:shape id="文本框 2" o:spid="_x0000_s1026" o:spt="202" type="#_x0000_t202" style="position:absolute;left:11156;top:2072873;height:770;width:1564;" filled="f" stroked="f" coordsize="21600,21600" o:gfxdata="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vQuK8AAAA&#10;2w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w:txbxContent>
                      <w:p w14:paraId="1673080D">
                        <w:pPr>
                          <w:rPr>
                            <w:color w:val="FFFF00"/>
                            <w:sz w:val="24"/>
                          </w:rPr>
                        </w:pPr>
                        <w:r>
                          <w:rPr>
                            <w:rFonts w:hint="eastAsia"/>
                            <w:color w:val="FFFF00"/>
                            <w:sz w:val="24"/>
                          </w:rPr>
                          <w:t>春燕齿轮</w:t>
                        </w:r>
                      </w:p>
                    </w:txbxContent>
                  </v:textbox>
                </v:shape>
                <v:shape id="文本框 2" o:spid="_x0000_s1026" o:spt="202" type="#_x0000_t202" style="position:absolute;left:8693;top:2071097;height:770;width:1564;" filled="f" stroked="f" coordsize="21600,21600" o:gfxdata="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Zw1pC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w:txbxContent>
                      <w:p w14:paraId="255A5D20">
                        <w:pPr>
                          <w:rPr>
                            <w:color w:val="FFFF00"/>
                            <w:sz w:val="24"/>
                          </w:rPr>
                        </w:pPr>
                        <w:r>
                          <w:rPr>
                            <w:rFonts w:hint="eastAsia"/>
                            <w:color w:val="FFFF00"/>
                            <w:sz w:val="24"/>
                          </w:rPr>
                          <w:t>俊耀电子</w:t>
                        </w:r>
                      </w:p>
                    </w:txbxContent>
                  </v:textbox>
                </v:shape>
                <v:shape id="文本框 2" o:spid="_x0000_s1026" o:spt="202" type="#_x0000_t202" style="position:absolute;left:10643;top:2071034;height:769;width:1564;" filled="f" stroked="f" coordsize="21600,21600" o:gfxdata="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PHMLvQAA&#10;ANs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14:paraId="7BFAE466">
                        <w:pPr>
                          <w:rPr>
                            <w:color w:val="FF0000"/>
                            <w:sz w:val="24"/>
                          </w:rPr>
                        </w:pPr>
                        <w:r>
                          <w:rPr>
                            <w:rFonts w:hint="eastAsia"/>
                            <w:color w:val="FF0000"/>
                            <w:sz w:val="24"/>
                          </w:rPr>
                          <w:t>博尔兹</w:t>
                        </w:r>
                      </w:p>
                    </w:txbxContent>
                  </v:textbox>
                </v:shape>
                <v:shape id="文本框 2" o:spid="_x0000_s1026" o:spt="202" type="#_x0000_t202" style="position:absolute;left:15264;top:2068185;height:570;width:615;" filled="f" stroked="f" coordsize="21600,21600" o:gfxdata="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O6/ovQAA&#10;ANs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14:paraId="56C6303D">
                        <w:pPr>
                          <w:rPr>
                            <w:color w:val="FFFF00"/>
                            <w:sz w:val="24"/>
                          </w:rPr>
                        </w:pPr>
                        <w:r>
                          <w:rPr>
                            <w:rFonts w:hint="eastAsia"/>
                            <w:color w:val="FFFF00"/>
                            <w:sz w:val="24"/>
                          </w:rPr>
                          <w:t>北</w:t>
                        </w:r>
                      </w:p>
                    </w:txbxContent>
                  </v:textbox>
                </v:shape>
                <v:shape id="任意多边形 119" o:spid="_x0000_s1026" o:spt="100" style="position:absolute;left:10377;top:2072147;height:1965;width:2640;" fillcolor="#FFC000" filled="t" stroked="t" coordsize="2640,1965" o:gfxdata="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7dibsAAADb&#10;AAAADwAAAAAAAAABACAAAAAiAAAAZHJzL2Rvd25yZXYueG1sUEsBAhQAFAAAAAgAh07iQDMvBZ47&#10;AAAAOQAAABAAAAAAAAAAAQAgAAAACgEAAGRycy9zaGFwZXhtbC54bWxQSwUGAAAAAAYABgBbAQAA&#10;tAMAAAAA&#10;" path="m0,390l435,1965,2640,1635,2400,0,0,390xe">
                  <v:fill on="t" opacity="16384f" focussize="0,0"/>
                  <v:stroke color="#FFC000" joinstyle="round"/>
                  <v:imagedata o:title=""/>
                  <o:lock v:ext="edit" aspectratio="f"/>
                </v:shape>
                <v:shape id="任意多边形 121" o:spid="_x0000_s1026" o:spt="100" style="position:absolute;left:8622;top:2070563;height:1755;width:1695;" fillcolor="#FFC000" filled="t" stroked="t" coordsize="1695,1755" o:gfxdata="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SC2Or4A&#10;AADbAAAADwAAAAAAAAABACAAAAAiAAAAZHJzL2Rvd25yZXYueG1sUEsBAhQAFAAAAAgAh07iQDMv&#10;BZ47AAAAOQAAABAAAAAAAAAAAQAgAAAADQEAAGRycy9zaGFwZXhtbC54bWxQSwUGAAAAAAYABgBb&#10;AQAAtwMAAAAA&#10;" path="m0,300l375,1755,1695,1530,1290,0,0,300xe">
                  <v:fill on="t" opacity="15727f" focussize="0,0"/>
                  <v:stroke color="#FFC000" joinstyle="round"/>
                  <v:imagedata o:title=""/>
                  <o:lock v:ext="edit" aspectratio="f"/>
                </v:shape>
                <v:shape id="任意多边形 122" o:spid="_x0000_s1026" o:spt="100" style="position:absolute;left:9867;top:2069183;height:1395;width:2250;" fillcolor="#FFC000" filled="t" stroked="t" coordsize="2250,1395" o:gfxdata="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8N23vQAA&#10;ANsAAAAPAAAAAAAAAAEAIAAAACIAAABkcnMvZG93bnJldi54bWxQSwECFAAUAAAACACHTuJAMy8F&#10;njsAAAA5AAAAEAAAAAAAAAABACAAAAAMAQAAZHJzL3NoYXBleG1sLnhtbFBLBQYAAAAABgAGAFsB&#10;AAC2AwAAAAA=&#10;" path="m0,405l150,1395,2250,1155,2145,0,0,405xe">
                  <v:fill on="t" opacity="15727f" focussize="0,0"/>
                  <v:stroke color="#FFC000" joinstyle="round"/>
                  <v:imagedata o:title=""/>
                  <o:lock v:ext="edit" aspectratio="f"/>
                </v:shape>
                <v:shape id="任意多边形 120" o:spid="_x0000_s1026" o:spt="100" style="position:absolute;left:12117;top:2068926;height:2925;width:2745;" fillcolor="#FFC000" filled="t" stroked="t" coordsize="2745,2925" o:gfxdata="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WwUNq5AAAA2wAA&#10;AA8AAAAAAAAAAQAgAAAAIgAAAGRycy9kb3ducmV2LnhtbFBLAQIUABQAAAAIAIdO4kAzLwWeOwAA&#10;ADkAAAAQAAAAAAAAAAEAIAAAAAgBAABkcnMvc2hhcGV4bWwueG1sUEsFBgAAAAAGAAYAWwEAALID&#10;AAAAAA==&#10;" path="m0,360l750,2925,2745,2610,2115,0,0,360xe">
                  <v:fill on="t" opacity="15727f" focussize="0,0"/>
                  <v:stroke color="#FFC000" joinstyle="round"/>
                  <v:imagedata o:title=""/>
                  <o:lock v:ext="edit" aspectratio="f"/>
                </v:shape>
                <v:shape id="_x0000_s1026" o:spid="_x0000_s1026" o:spt="75" alt="e3c833df-3faf-4964-b4d9-c69f36347f50" type="#_x0000_t75" style="position:absolute;left:7027;top:2075079;height:585;width:525;" filled="f" o:preferrelative="t" stroked="f" coordsize="21600,21600" o:gfxdata="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iJVjvQAA&#10;ANsAAAAPAAAAAAAAAAEAIAAAACIAAABkcnMvZG93bnJldi54bWxQSwECFAAUAAAACACHTuJAMy8F&#10;njsAAAA5AAAAEAAAAAAAAAABACAAAAAMAQAAZHJzL3NoYXBleG1sLnhtbFBLBQYAAAAABgAGAFsB&#10;AAC2AwAAAAA=&#10;">
                  <v:fill on="f" focussize="0,0"/>
                  <v:stroke on="f"/>
                  <v:imagedata r:id="rId37" o:title=""/>
                  <o:lock v:ext="edit" aspectratio="t"/>
                </v:shape>
              </v:group>
            </w:pict>
          </mc:Fallback>
        </mc:AlternateContent>
      </w:r>
      <w:r>
        <w:rPr>
          <w:rFonts w:hint="default" w:ascii="Times New Roman" w:hAnsi="Times New Roman" w:cs="Times New Roman"/>
          <w:color w:val="auto"/>
          <w:sz w:val="24"/>
          <w:szCs w:val="24"/>
          <w:highlight w:val="none"/>
        </w:rPr>
        <w:drawing>
          <wp:inline distT="0" distB="0" distL="114300" distR="114300">
            <wp:extent cx="6067425" cy="4905375"/>
            <wp:effectExtent l="0" t="0" r="9525" b="9525"/>
            <wp:docPr id="1" name="图片 1" descr="ea0dcffd-775f-48df-95b2-97b765ca0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a0dcffd-775f-48df-95b2-97b765ca0859"/>
                    <pic:cNvPicPr>
                      <a:picLocks noChangeAspect="1"/>
                    </pic:cNvPicPr>
                  </pic:nvPicPr>
                  <pic:blipFill>
                    <a:blip r:embed="rId38"/>
                    <a:stretch>
                      <a:fillRect/>
                    </a:stretch>
                  </pic:blipFill>
                  <pic:spPr>
                    <a:xfrm>
                      <a:off x="0" y="0"/>
                      <a:ext cx="6067425" cy="4905375"/>
                    </a:xfrm>
                    <a:prstGeom prst="rect">
                      <a:avLst/>
                    </a:prstGeom>
                  </pic:spPr>
                </pic:pic>
              </a:graphicData>
            </a:graphic>
          </wp:inline>
        </w:drawing>
      </w:r>
    </w:p>
    <w:p w14:paraId="5711245B">
      <w:pPr>
        <w:pStyle w:val="4"/>
        <w:ind w:left="0" w:firstLine="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附图4 项目周边环境分布图</w:t>
      </w:r>
    </w:p>
    <w:p w14:paraId="47AC9D8F">
      <w:pPr>
        <w:pStyle w:val="4"/>
        <w:ind w:left="0" w:firstLine="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723776" behindDoc="0" locked="0" layoutInCell="1" allowOverlap="1">
                <wp:simplePos x="0" y="0"/>
                <wp:positionH relativeFrom="column">
                  <wp:posOffset>3703320</wp:posOffset>
                </wp:positionH>
                <wp:positionV relativeFrom="paragraph">
                  <wp:posOffset>2374265</wp:posOffset>
                </wp:positionV>
                <wp:extent cx="560705" cy="31623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560705" cy="3162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CE857">
                            <w:pPr>
                              <w:rPr>
                                <w:color w:val="FFFF00"/>
                              </w:rPr>
                            </w:pPr>
                            <w:r>
                              <w:rPr>
                                <w:rFonts w:hint="eastAsia"/>
                                <w:color w:val="FFFF00"/>
                                <w:lang w:val="en-US" w:eastAsia="zh-CN"/>
                              </w:rPr>
                              <w:t>474</w:t>
                            </w:r>
                            <w:r>
                              <w:rPr>
                                <w:rFonts w:hint="eastAsia"/>
                                <w:color w:val="FFFF00"/>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6pt;margin-top:186.95pt;height:24.9pt;width:44.15pt;z-index:251723776;mso-width-relative:page;mso-height-relative:page;" filled="f" stroked="f" coordsize="21600,21600" o:gfxdata="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fxiKn3QAAAAsBAAAPAAAAAAAAAAEAIAAAACIA&#10;AABkcnMvZG93bnJldi54bWxQSwECFAAUAAAACACHTuJAgtSkqz0CAABpBAAADgAAAAAAAAABACAA&#10;AAAsAQAAZHJzL2Uyb0RvYy54bWxQSwUGAAAAAAYABgBZAQAA2wUAAAAA&#10;">
                <v:fill on="f" focussize="0,0"/>
                <v:stroke on="f" weight="0.5pt"/>
                <v:imagedata o:title=""/>
                <o:lock v:ext="edit" aspectratio="f"/>
                <v:textbox>
                  <w:txbxContent>
                    <w:p w14:paraId="588CE857">
                      <w:pPr>
                        <w:rPr>
                          <w:color w:val="FFFF00"/>
                        </w:rPr>
                      </w:pPr>
                      <w:r>
                        <w:rPr>
                          <w:rFonts w:hint="eastAsia"/>
                          <w:color w:val="FFFF00"/>
                          <w:lang w:val="en-US" w:eastAsia="zh-CN"/>
                        </w:rPr>
                        <w:t>474</w:t>
                      </w:r>
                      <w:r>
                        <w:rPr>
                          <w:rFonts w:hint="eastAsia"/>
                          <w:color w:val="FFFF00"/>
                        </w:rPr>
                        <w:t>m</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22752" behindDoc="0" locked="0" layoutInCell="1" allowOverlap="1">
                <wp:simplePos x="0" y="0"/>
                <wp:positionH relativeFrom="column">
                  <wp:posOffset>3387725</wp:posOffset>
                </wp:positionH>
                <wp:positionV relativeFrom="paragraph">
                  <wp:posOffset>2294890</wp:posOffset>
                </wp:positionV>
                <wp:extent cx="777875" cy="173355"/>
                <wp:effectExtent l="0" t="29210" r="3175" b="45085"/>
                <wp:wrapNone/>
                <wp:docPr id="105" name="直接箭头连接符 105"/>
                <wp:cNvGraphicFramePr/>
                <a:graphic xmlns:a="http://schemas.openxmlformats.org/drawingml/2006/main">
                  <a:graphicData uri="http://schemas.microsoft.com/office/word/2010/wordprocessingShape">
                    <wps:wsp>
                      <wps:cNvCnPr>
                        <a:endCxn id="109" idx="3"/>
                      </wps:cNvCnPr>
                      <wps:spPr>
                        <a:xfrm flipV="1">
                          <a:off x="0" y="0"/>
                          <a:ext cx="777875" cy="173355"/>
                        </a:xfrm>
                        <a:prstGeom prst="straightConnector1">
                          <a:avLst/>
                        </a:prstGeom>
                        <a:ln w="6350">
                          <a:solidFill>
                            <a:srgbClr val="FFFF00"/>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66.75pt;margin-top:180.7pt;height:13.65pt;width:61.25pt;z-index:251722752;mso-width-relative:page;mso-height-relative:page;" filled="f" stroked="t" coordsize="21600,21600" o:gfxdata="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G+SU&#10;CtkAAAALAQAADwAAAAAAAAABACAAAAAiAAAAZHJzL2Rvd25yZXYueG1sUEsBAhQAFAAAAAgAh07i&#10;QGRtevwhAgAAGwQAAA4AAAAAAAAAAQAgAAAAKAEAAGRycy9lMm9Eb2MueG1sUEsFBgAAAAAGAAYA&#10;WQEAALsFAAAAAA==&#10;">
                <v:fill on="f" focussize="0,0"/>
                <v:stroke weight="0.5pt" color="#FFFF00 [3204]" joinstyle="round" startarrow="open" endarrow="open"/>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724800" behindDoc="0" locked="0" layoutInCell="1" allowOverlap="1">
                <wp:simplePos x="0" y="0"/>
                <wp:positionH relativeFrom="column">
                  <wp:posOffset>3604895</wp:posOffset>
                </wp:positionH>
                <wp:positionV relativeFrom="paragraph">
                  <wp:posOffset>2136775</wp:posOffset>
                </wp:positionV>
                <wp:extent cx="560705" cy="31623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560705" cy="3162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3689A9">
                            <w:pPr>
                              <w:rPr>
                                <w:color w:val="FFFF00"/>
                              </w:rPr>
                            </w:pPr>
                            <w:r>
                              <w:rPr>
                                <w:rFonts w:hint="eastAsia"/>
                                <w:color w:val="FFFF00"/>
                                <w:lang w:val="en-US" w:eastAsia="zh-CN"/>
                              </w:rPr>
                              <w:t>173</w:t>
                            </w:r>
                            <w:r>
                              <w:rPr>
                                <w:rFonts w:hint="eastAsia"/>
                                <w:color w:val="FFFF00"/>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3.85pt;margin-top:168.25pt;height:24.9pt;width:44.15pt;z-index:251724800;mso-width-relative:page;mso-height-relative:page;" filled="f" stroked="f" coordsize="21600,21600" o:gfxdata="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C6iNX3AAAAAsBAAAPAAAAAAAAAAEAIAAAACIA&#10;AABkcnMvZG93bnJldi54bWxQSwECFAAUAAAACACHTuJACIBdQj4CAABpBAAADgAAAAAAAAABACAA&#10;AAArAQAAZHJzL2Uyb0RvYy54bWxQSwUGAAAAAAYABgBZAQAA2wUAAAAA&#10;">
                <v:fill on="f" focussize="0,0"/>
                <v:stroke on="f" weight="0.5pt"/>
                <v:imagedata o:title=""/>
                <o:lock v:ext="edit" aspectratio="f"/>
                <v:textbox>
                  <w:txbxContent>
                    <w:p w14:paraId="333689A9">
                      <w:pPr>
                        <w:rPr>
                          <w:color w:val="FFFF00"/>
                        </w:rPr>
                      </w:pPr>
                      <w:r>
                        <w:rPr>
                          <w:rFonts w:hint="eastAsia"/>
                          <w:color w:val="FFFF00"/>
                          <w:lang w:val="en-US" w:eastAsia="zh-CN"/>
                        </w:rPr>
                        <w:t>173</w:t>
                      </w:r>
                      <w:r>
                        <w:rPr>
                          <w:rFonts w:hint="eastAsia"/>
                          <w:color w:val="FFFF00"/>
                        </w:rPr>
                        <w:t>m</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725824" behindDoc="0" locked="0" layoutInCell="1" allowOverlap="1">
                <wp:simplePos x="0" y="0"/>
                <wp:positionH relativeFrom="column">
                  <wp:posOffset>3571875</wp:posOffset>
                </wp:positionH>
                <wp:positionV relativeFrom="paragraph">
                  <wp:posOffset>1904365</wp:posOffset>
                </wp:positionV>
                <wp:extent cx="560705" cy="31623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560705" cy="3162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9CC0D">
                            <w:pPr>
                              <w:rPr>
                                <w:color w:val="FFFF00"/>
                              </w:rPr>
                            </w:pPr>
                            <w:r>
                              <w:rPr>
                                <w:rFonts w:hint="eastAsia"/>
                                <w:color w:val="FFFF00"/>
                                <w:lang w:val="en-US" w:eastAsia="zh-CN"/>
                              </w:rPr>
                              <w:t>261</w:t>
                            </w:r>
                            <w:r>
                              <w:rPr>
                                <w:rFonts w:hint="eastAsia"/>
                                <w:color w:val="FFFF00"/>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1.25pt;margin-top:149.95pt;height:24.9pt;width:44.15pt;z-index:251725824;mso-width-relative:page;mso-height-relative:page;" filled="f" stroked="f" coordsize="21600,21600" o:gfxdata="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6bL7ncAAAACwEAAA8AAAAAAAAAAQAgAAAAIgAA&#10;AGRycy9kb3ducmV2LnhtbFBLAQIUABQAAAAIAIdO4kAkDfvgPQIAAGkEAAAOAAAAAAAAAAEAIAAA&#10;ACsBAABkcnMvZTJvRG9jLnhtbFBLBQYAAAAABgAGAFkBAADaBQAAAAA=&#10;">
                <v:fill on="f" focussize="0,0"/>
                <v:stroke on="f" weight="0.5pt"/>
                <v:imagedata o:title=""/>
                <o:lock v:ext="edit" aspectratio="f"/>
                <v:textbox>
                  <w:txbxContent>
                    <w:p w14:paraId="0089CC0D">
                      <w:pPr>
                        <w:rPr>
                          <w:color w:val="FFFF00"/>
                        </w:rPr>
                      </w:pPr>
                      <w:r>
                        <w:rPr>
                          <w:rFonts w:hint="eastAsia"/>
                          <w:color w:val="FFFF00"/>
                          <w:lang w:val="en-US" w:eastAsia="zh-CN"/>
                        </w:rPr>
                        <w:t>261</w:t>
                      </w:r>
                      <w:r>
                        <w:rPr>
                          <w:rFonts w:hint="eastAsia"/>
                          <w:color w:val="FFFF00"/>
                        </w:rPr>
                        <w:t>m</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21728" behindDoc="0" locked="0" layoutInCell="1" allowOverlap="1">
                <wp:simplePos x="0" y="0"/>
                <wp:positionH relativeFrom="column">
                  <wp:posOffset>3477895</wp:posOffset>
                </wp:positionH>
                <wp:positionV relativeFrom="paragraph">
                  <wp:posOffset>2411730</wp:posOffset>
                </wp:positionV>
                <wp:extent cx="1775460" cy="189865"/>
                <wp:effectExtent l="0" t="40005" r="15240" b="55880"/>
                <wp:wrapNone/>
                <wp:docPr id="104" name="直接箭头连接符 104"/>
                <wp:cNvGraphicFramePr/>
                <a:graphic xmlns:a="http://schemas.openxmlformats.org/drawingml/2006/main">
                  <a:graphicData uri="http://schemas.microsoft.com/office/word/2010/wordprocessingShape">
                    <wps:wsp>
                      <wps:cNvCnPr/>
                      <wps:spPr>
                        <a:xfrm flipV="1">
                          <a:off x="0" y="0"/>
                          <a:ext cx="1775460" cy="189865"/>
                        </a:xfrm>
                        <a:prstGeom prst="straightConnector1">
                          <a:avLst/>
                        </a:prstGeom>
                        <a:ln w="6350">
                          <a:solidFill>
                            <a:srgbClr val="FFFF00"/>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73.85pt;margin-top:189.9pt;height:14.95pt;width:139.8pt;z-index:251721728;mso-width-relative:page;mso-height-relative:page;" filled="f" stroked="t" coordsize="21600,21600" o:gfxdata="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nO0LQ2gAAAAsBAAAPAAAAAAAA&#10;AAEAIAAAACIAAABkcnMvZG93bnJldi54bWxQSwECFAAUAAAACACHTuJAGaFh2BACAADzAwAADgAA&#10;AAAAAAABACAAAAApAQAAZHJzL2Uyb0RvYy54bWxQSwUGAAAAAAYABgBZAQAAqwUAAAAA&#10;">
                <v:fill on="f" focussize="0,0"/>
                <v:stroke weight="0.5pt" color="#FFFF00 [3204]" joinstyle="round" startarrow="open" endarrow="open"/>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20704" behindDoc="0" locked="0" layoutInCell="1" allowOverlap="1">
                <wp:simplePos x="0" y="0"/>
                <wp:positionH relativeFrom="column">
                  <wp:posOffset>3356610</wp:posOffset>
                </wp:positionH>
                <wp:positionV relativeFrom="paragraph">
                  <wp:posOffset>2021840</wp:posOffset>
                </wp:positionV>
                <wp:extent cx="943610" cy="224790"/>
                <wp:effectExtent l="0" t="27940" r="8890" b="33020"/>
                <wp:wrapNone/>
                <wp:docPr id="103" name="直接箭头连接符 103"/>
                <wp:cNvGraphicFramePr/>
                <a:graphic xmlns:a="http://schemas.openxmlformats.org/drawingml/2006/main">
                  <a:graphicData uri="http://schemas.microsoft.com/office/word/2010/wordprocessingShape">
                    <wps:wsp>
                      <wps:cNvCnPr/>
                      <wps:spPr>
                        <a:xfrm flipV="1">
                          <a:off x="4076700" y="3281045"/>
                          <a:ext cx="943610" cy="224790"/>
                        </a:xfrm>
                        <a:prstGeom prst="straightConnector1">
                          <a:avLst/>
                        </a:prstGeom>
                        <a:ln w="6350">
                          <a:solidFill>
                            <a:srgbClr val="FFFF00"/>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64.3pt;margin-top:159.2pt;height:17.7pt;width:74.3pt;z-index:251720704;mso-width-relative:page;mso-height-relative:page;" filled="f" stroked="t" coordsize="21600,21600" o:gfxdata="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a7aDjaAAAA&#10;CwEAAA8AAAAAAAAAAQAgAAAAIgAAAGRycy9kb3ducmV2LnhtbFBLAQIUABQAAAAIAIdO4kBKAO3S&#10;GwIAAP4DAAAOAAAAAAAAAAEAIAAAACkBAABkcnMvZTJvRG9jLnhtbFBLBQYAAAAABgAGAFkBAAC2&#10;BQAAAAA=&#10;">
                <v:fill on="f" focussize="0,0"/>
                <v:stroke weight="0.5pt" color="#FFFF00 [3204]" joinstyle="round" startarrow="open" endarrow="open"/>
                <v:imagedata o:title=""/>
                <o:lock v:ext="edit" aspectratio="f"/>
              </v:shape>
            </w:pict>
          </mc:Fallback>
        </mc:AlternateContent>
      </w:r>
      <w:r>
        <w:rPr>
          <w:rFonts w:hint="default" w:ascii="Times New Roman" w:hAnsi="Times New Roman" w:cs="Times New Roman"/>
          <w:color w:val="auto"/>
          <w:sz w:val="24"/>
          <w:highlight w:val="none"/>
        </w:rPr>
        <mc:AlternateContent>
          <mc:Choice Requires="wpg">
            <w:drawing>
              <wp:anchor distT="0" distB="0" distL="114300" distR="114300" simplePos="0" relativeHeight="251700224" behindDoc="0" locked="0" layoutInCell="1" allowOverlap="1">
                <wp:simplePos x="0" y="0"/>
                <wp:positionH relativeFrom="column">
                  <wp:posOffset>702945</wp:posOffset>
                </wp:positionH>
                <wp:positionV relativeFrom="paragraph">
                  <wp:posOffset>127635</wp:posOffset>
                </wp:positionV>
                <wp:extent cx="5276215" cy="4886325"/>
                <wp:effectExtent l="0" t="0" r="635" b="9525"/>
                <wp:wrapNone/>
                <wp:docPr id="55" name="组合 55"/>
                <wp:cNvGraphicFramePr/>
                <a:graphic xmlns:a="http://schemas.openxmlformats.org/drawingml/2006/main">
                  <a:graphicData uri="http://schemas.microsoft.com/office/word/2010/wordprocessingGroup">
                    <wpg:wgp>
                      <wpg:cNvGrpSpPr/>
                      <wpg:grpSpPr>
                        <a:xfrm>
                          <a:off x="0" y="0"/>
                          <a:ext cx="5276215" cy="4886325"/>
                          <a:chOff x="6699" y="2193099"/>
                          <a:chExt cx="8309" cy="7695"/>
                        </a:xfrm>
                      </wpg:grpSpPr>
                      <pic:pic xmlns:pic="http://schemas.openxmlformats.org/drawingml/2006/picture">
                        <pic:nvPicPr>
                          <pic:cNvPr id="24" name="图片 13"/>
                          <pic:cNvPicPr>
                            <a:picLocks noChangeAspect="1" noChangeArrowheads="1"/>
                          </pic:cNvPicPr>
                        </pic:nvPicPr>
                        <pic:blipFill>
                          <a:blip r:embed="rId39" cstate="print"/>
                          <a:srcRect l="13979"/>
                          <a:stretch>
                            <a:fillRect/>
                          </a:stretch>
                        </pic:blipFill>
                        <pic:spPr>
                          <a:xfrm>
                            <a:off x="14548" y="2193099"/>
                            <a:ext cx="460" cy="926"/>
                          </a:xfrm>
                          <a:prstGeom prst="rect">
                            <a:avLst/>
                          </a:prstGeom>
                          <a:noFill/>
                          <a:ln w="9525">
                            <a:noFill/>
                            <a:miter lim="800000"/>
                            <a:headEnd/>
                            <a:tailEnd/>
                          </a:ln>
                        </pic:spPr>
                      </pic:pic>
                      <pic:pic xmlns:pic="http://schemas.openxmlformats.org/drawingml/2006/picture">
                        <pic:nvPicPr>
                          <pic:cNvPr id="285" name="图片 285" descr="1739764060446"/>
                          <pic:cNvPicPr>
                            <a:picLocks noChangeAspect="1"/>
                          </pic:cNvPicPr>
                        </pic:nvPicPr>
                        <pic:blipFill>
                          <a:blip r:embed="rId40"/>
                          <a:stretch>
                            <a:fillRect/>
                          </a:stretch>
                        </pic:blipFill>
                        <pic:spPr>
                          <a:xfrm>
                            <a:off x="14229" y="2200284"/>
                            <a:ext cx="705" cy="510"/>
                          </a:xfrm>
                          <a:prstGeom prst="rect">
                            <a:avLst/>
                          </a:prstGeom>
                        </pic:spPr>
                      </pic:pic>
                      <wps:wsp>
                        <wps:cNvPr id="5" name="文本框 5"/>
                        <wps:cNvSpPr txBox="1"/>
                        <wps:spPr>
                          <a:xfrm>
                            <a:off x="6699" y="2194729"/>
                            <a:ext cx="883" cy="49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5DE7D">
                              <w:pPr>
                                <w:rPr>
                                  <w:color w:val="FF0000"/>
                                </w:rPr>
                              </w:pPr>
                              <w:r>
                                <w:rPr>
                                  <w:rFonts w:hint="eastAsia"/>
                                  <w:color w:val="FF0000"/>
                                </w:rPr>
                                <w:t>500m</w:t>
                              </w:r>
                              <w:r>
                                <w:rPr>
                                  <w:color w:val="FF0000"/>
                                </w:rPr>
                                <w:drawing>
                                  <wp:inline distT="0" distB="0" distL="114300" distR="114300">
                                    <wp:extent cx="296545" cy="217805"/>
                                    <wp:effectExtent l="0" t="0" r="8255" b="10795"/>
                                    <wp:docPr id="7" name="图片 7" descr="174176362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41763625212"/>
                                            <pic:cNvPicPr>
                                              <a:picLocks noChangeAspect="1"/>
                                            </pic:cNvPicPr>
                                          </pic:nvPicPr>
                                          <pic:blipFill>
                                            <a:blip r:embed="rId41"/>
                                            <a:stretch>
                                              <a:fillRect/>
                                            </a:stretch>
                                          </pic:blipFill>
                                          <pic:spPr>
                                            <a:xfrm>
                                              <a:off x="0" y="0"/>
                                              <a:ext cx="296545" cy="2178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 name="文本框 10"/>
                        <wps:cNvSpPr txBox="1"/>
                        <wps:spPr>
                          <a:xfrm>
                            <a:off x="9357" y="2196001"/>
                            <a:ext cx="883" cy="49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29FFF">
                              <w:pPr>
                                <w:rPr>
                                  <w:color w:val="FFFF00"/>
                                </w:rPr>
                              </w:pPr>
                              <w:r>
                                <w:rPr>
                                  <w:rFonts w:hint="eastAsia"/>
                                  <w:color w:val="FFFF00"/>
                                </w:rPr>
                                <w:t>50m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 name="文本框 40"/>
                        <wps:cNvSpPr txBox="1"/>
                        <wps:spPr>
                          <a:xfrm>
                            <a:off x="9971" y="2196552"/>
                            <a:ext cx="1046" cy="44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F7595D">
                              <w:pPr>
                                <w:rPr>
                                  <w:color w:val="FF0000"/>
                                </w:rPr>
                              </w:pPr>
                              <w:r>
                                <w:rPr>
                                  <w:rFonts w:hint="eastAsia"/>
                                  <w:color w:val="FF0000"/>
                                </w:rPr>
                                <w:t>博尔兹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 name="文本框 42"/>
                        <wps:cNvSpPr txBox="1"/>
                        <wps:spPr>
                          <a:xfrm>
                            <a:off x="11943" y="2194842"/>
                            <a:ext cx="1236" cy="37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D28F3">
                              <w:pPr>
                                <w:rPr>
                                  <w:color w:val="FFFF00"/>
                                </w:rPr>
                              </w:pPr>
                              <w:r>
                                <w:rPr>
                                  <w:rFonts w:hint="eastAsia"/>
                                  <w:color w:val="FFFF00"/>
                                </w:rPr>
                                <w:t>乐园小学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文本框 43"/>
                        <wps:cNvSpPr txBox="1"/>
                        <wps:spPr>
                          <a:xfrm>
                            <a:off x="13480" y="2197592"/>
                            <a:ext cx="1454" cy="48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AC06F">
                              <w:pPr>
                                <w:rPr>
                                  <w:color w:val="FFFF00"/>
                                </w:rPr>
                              </w:pPr>
                              <w:r>
                                <w:rPr>
                                  <w:rFonts w:hint="eastAsia"/>
                                  <w:color w:val="FFFF00"/>
                                </w:rPr>
                                <w:t>乐园幼儿园</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文本框 45"/>
                        <wps:cNvSpPr txBox="1"/>
                        <wps:spPr>
                          <a:xfrm>
                            <a:off x="12042" y="2198009"/>
                            <a:ext cx="1454" cy="48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F106E1">
                              <w:pPr>
                                <w:rPr>
                                  <w:color w:val="FFFF00"/>
                                </w:rPr>
                              </w:pPr>
                              <w:r>
                                <w:rPr>
                                  <w:rFonts w:hint="eastAsia"/>
                                  <w:color w:val="FFFF00"/>
                                </w:rPr>
                                <w:t>金德乐小区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直接箭头连接符 46"/>
                        <wps:cNvCnPr/>
                        <wps:spPr>
                          <a:xfrm flipV="1">
                            <a:off x="12712" y="2197670"/>
                            <a:ext cx="136" cy="436"/>
                          </a:xfrm>
                          <a:prstGeom prst="straightConnector1">
                            <a:avLst/>
                          </a:prstGeom>
                          <a:ln w="952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wps:wsp>
                        <wps:cNvPr id="48" name="直接箭头连接符 48"/>
                        <wps:cNvCnPr/>
                        <wps:spPr>
                          <a:xfrm flipH="1" flipV="1">
                            <a:off x="14152" y="2197188"/>
                            <a:ext cx="210" cy="509"/>
                          </a:xfrm>
                          <a:prstGeom prst="straightConnector1">
                            <a:avLst/>
                          </a:prstGeom>
                          <a:ln w="952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wps:wsp>
                        <wps:cNvPr id="49" name="直接箭头连接符 49"/>
                        <wps:cNvCnPr/>
                        <wps:spPr>
                          <a:xfrm flipH="1" flipV="1">
                            <a:off x="12441" y="2195124"/>
                            <a:ext cx="210" cy="509"/>
                          </a:xfrm>
                          <a:prstGeom prst="straightConnector1">
                            <a:avLst/>
                          </a:prstGeom>
                          <a:ln w="9525">
                            <a:solidFill>
                              <a:srgbClr val="FFFF00"/>
                            </a:solidFill>
                            <a:headEnd type="arrow" w="med" len="med"/>
                            <a:tailEnd type="none"/>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55.35pt;margin-top:10.05pt;height:384.75pt;width:415.45pt;z-index:251700224;mso-width-relative:page;mso-height-relative:page;" coordorigin="6699,2193099" coordsize="8309,7695" o:gfxdata="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">
                <o:lock v:ext="edit" aspectratio="f"/>
                <v:shape id="图片 13" o:spid="_x0000_s1026" o:spt="75" type="#_x0000_t75" style="position:absolute;left:14548;top:2193099;height:926;width:460;" filled="f" o:preferrelative="t" stroked="f" coordsize="21600,21600" o:gfxdata="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G3VvQAA&#10;ANsAAAAPAAAAAAAAAAEAIAAAACIAAABkcnMvZG93bnJldi54bWxQSwECFAAUAAAACACHTuJAMy8F&#10;njsAAAA5AAAAEAAAAAAAAAABACAAAAAMAQAAZHJzL3NoYXBleG1sLnhtbFBLBQYAAAAABgAGAFsB&#10;AAC2AwAAAAA=&#10;">
                  <v:fill on="f" focussize="0,0"/>
                  <v:stroke on="f" miterlimit="8" joinstyle="miter"/>
                  <v:imagedata r:id="rId39" cropleft="9161f" o:title=""/>
                  <o:lock v:ext="edit" aspectratio="t"/>
                </v:shape>
                <v:shape id="_x0000_s1026" o:spid="_x0000_s1026" o:spt="75" alt="1739764060446" type="#_x0000_t75" style="position:absolute;left:14229;top:2200284;height:510;width:705;" filled="f" o:preferrelative="t" stroked="f" coordsize="21600,21600" o:gfxdata="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ohgBr4A&#10;AADcAAAADwAAAAAAAAABACAAAAAiAAAAZHJzL2Rvd25yZXYueG1sUEsBAhQAFAAAAAgAh07iQDMv&#10;BZ47AAAAOQAAABAAAAAAAAAAAQAgAAAADQEAAGRycy9zaGFwZXhtbC54bWxQSwUGAAAAAAYABgBb&#10;AQAAtwMAAAAA&#10;">
                  <v:fill on="f" focussize="0,0"/>
                  <v:stroke on="f"/>
                  <v:imagedata r:id="rId40" o:title=""/>
                  <o:lock v:ext="edit" aspectratio="t"/>
                </v:shape>
                <v:shape id="_x0000_s1026" o:spid="_x0000_s1026" o:spt="202" type="#_x0000_t202" style="position:absolute;left:6699;top:2194729;height:498;width:883;" filled="f" stroked="f" coordsize="21600,21600"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995DE7D">
                        <w:pPr>
                          <w:rPr>
                            <w:color w:val="FF0000"/>
                          </w:rPr>
                        </w:pPr>
                        <w:r>
                          <w:rPr>
                            <w:rFonts w:hint="eastAsia"/>
                            <w:color w:val="FF0000"/>
                          </w:rPr>
                          <w:t>500m</w:t>
                        </w:r>
                        <w:r>
                          <w:rPr>
                            <w:color w:val="FF0000"/>
                          </w:rPr>
                          <w:drawing>
                            <wp:inline distT="0" distB="0" distL="114300" distR="114300">
                              <wp:extent cx="296545" cy="217805"/>
                              <wp:effectExtent l="0" t="0" r="8255" b="10795"/>
                              <wp:docPr id="7" name="图片 7" descr="174176362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41763625212"/>
                                      <pic:cNvPicPr>
                                        <a:picLocks noChangeAspect="1"/>
                                      </pic:cNvPicPr>
                                    </pic:nvPicPr>
                                    <pic:blipFill>
                                      <a:blip r:embed="rId41"/>
                                      <a:stretch>
                                        <a:fillRect/>
                                      </a:stretch>
                                    </pic:blipFill>
                                    <pic:spPr>
                                      <a:xfrm>
                                        <a:off x="0" y="0"/>
                                        <a:ext cx="296545" cy="217805"/>
                                      </a:xfrm>
                                      <a:prstGeom prst="rect">
                                        <a:avLst/>
                                      </a:prstGeom>
                                    </pic:spPr>
                                  </pic:pic>
                                </a:graphicData>
                              </a:graphic>
                            </wp:inline>
                          </w:drawing>
                        </w:r>
                      </w:p>
                    </w:txbxContent>
                  </v:textbox>
                </v:shape>
                <v:shape id="_x0000_s1026" o:spid="_x0000_s1026" o:spt="202" type="#_x0000_t202" style="position:absolute;left:9357;top:2196001;height:498;width:883;" filled="f" stroked="f" coordsize="21600,21600" o:gfxdata="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kSY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5529FFF">
                        <w:pPr>
                          <w:rPr>
                            <w:color w:val="FFFF00"/>
                          </w:rPr>
                        </w:pPr>
                        <w:r>
                          <w:rPr>
                            <w:rFonts w:hint="eastAsia"/>
                            <w:color w:val="FFFF00"/>
                          </w:rPr>
                          <w:t>50m</w:t>
                        </w:r>
                      </w:p>
                    </w:txbxContent>
                  </v:textbox>
                </v:shape>
                <v:shape id="_x0000_s1026" o:spid="_x0000_s1026" o:spt="202" type="#_x0000_t202" style="position:absolute;left:9971;top:2196552;height:446;width:1046;" filled="f" stroked="f" coordsize="21600,21600" o:gfxdata="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Jdmnb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3FF7595D">
                        <w:pPr>
                          <w:rPr>
                            <w:color w:val="FF0000"/>
                          </w:rPr>
                        </w:pPr>
                        <w:r>
                          <w:rPr>
                            <w:rFonts w:hint="eastAsia"/>
                            <w:color w:val="FF0000"/>
                          </w:rPr>
                          <w:t>博尔兹</w:t>
                        </w:r>
                      </w:p>
                    </w:txbxContent>
                  </v:textbox>
                </v:shape>
                <v:shape id="_x0000_s1026" o:spid="_x0000_s1026" o:spt="202" type="#_x0000_t202" style="position:absolute;left:11943;top:2194842;height:378;width:1236;" filled="f" stroked="f" coordsize="21600,21600" o:gfxdata="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wldc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289D28F3">
                        <w:pPr>
                          <w:rPr>
                            <w:color w:val="FFFF00"/>
                          </w:rPr>
                        </w:pPr>
                        <w:r>
                          <w:rPr>
                            <w:rFonts w:hint="eastAsia"/>
                            <w:color w:val="FFFF00"/>
                          </w:rPr>
                          <w:t>乐园小学</w:t>
                        </w:r>
                      </w:p>
                    </w:txbxContent>
                  </v:textbox>
                </v:shape>
                <v:shape id="_x0000_s1026" o:spid="_x0000_s1026" o:spt="202" type="#_x0000_t202" style="position:absolute;left:13480;top:2197592;height:488;width:1454;" filled="f" stroked="f" coordsize="21600,21600" o:gfxdata="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EX46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97AC06F">
                        <w:pPr>
                          <w:rPr>
                            <w:color w:val="FFFF00"/>
                          </w:rPr>
                        </w:pPr>
                        <w:r>
                          <w:rPr>
                            <w:rFonts w:hint="eastAsia"/>
                            <w:color w:val="FFFF00"/>
                          </w:rPr>
                          <w:t>乐园幼儿园</w:t>
                        </w:r>
                      </w:p>
                    </w:txbxContent>
                  </v:textbox>
                </v:shape>
                <v:shape id="_x0000_s1026" o:spid="_x0000_s1026" o:spt="202" type="#_x0000_t202" style="position:absolute;left:12042;top:2198009;height:488;width:1454;" filled="f" stroked="f" coordsize="21600,21600" o:gfxdata="UEsDBAoAAAAAAIdO4kAAAAAAAAAAAAAAAAAEAAAAZHJzL1BLAwQUAAAACACHTuJAyODFBb8AAADb&#10;AAAADwAAAGRycy9kb3ducmV2LnhtbEWPQWvCQBSE7wX/w/IEb3UTaY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gxQW/&#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0F106E1">
                        <w:pPr>
                          <w:rPr>
                            <w:color w:val="FFFF00"/>
                          </w:rPr>
                        </w:pPr>
                        <w:r>
                          <w:rPr>
                            <w:rFonts w:hint="eastAsia"/>
                            <w:color w:val="FFFF00"/>
                          </w:rPr>
                          <w:t>金德乐小区</w:t>
                        </w:r>
                      </w:p>
                    </w:txbxContent>
                  </v:textbox>
                </v:shape>
                <v:shape id="_x0000_s1026" o:spid="_x0000_s1026" o:spt="32" type="#_x0000_t32" style="position:absolute;left:12712;top:2197670;flip:y;height:436;width:136;" filled="f" stroked="t" coordsize="21600,21600" o:gfxdata="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EhSAG8AAAA&#10;2wAAAA8AAAAAAAAAAQAgAAAAIgAAAGRycy9kb3ducmV2LnhtbFBLAQIUABQAAAAIAIdO4kAzLwWe&#10;OwAAADkAAAAQAAAAAAAAAAEAIAAAAAsBAABkcnMvc2hhcGV4bWwueG1sUEsFBgAAAAAGAAYAWwEA&#10;ALUDAAAAAA==&#10;">
                  <v:fill on="f" focussize="0,0"/>
                  <v:stroke color="#FFFF00 [3204]" joinstyle="round" endarrow="open"/>
                  <v:imagedata o:title=""/>
                  <o:lock v:ext="edit" aspectratio="f"/>
                </v:shape>
                <v:shape id="_x0000_s1026" o:spid="_x0000_s1026" o:spt="32" type="#_x0000_t32" style="position:absolute;left:14152;top:2197188;flip:x y;height:509;width:210;" filled="f" stroked="t" coordsize="21600,21600" o:gfxdata="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UCCVLsAAADb&#10;AAAADwAAAAAAAAABACAAAAAiAAAAZHJzL2Rvd25yZXYueG1sUEsBAhQAFAAAAAgAh07iQDMvBZ47&#10;AAAAOQAAABAAAAAAAAAAAQAgAAAACgEAAGRycy9zaGFwZXhtbC54bWxQSwUGAAAAAAYABgBbAQAA&#10;tAMAAAAA&#10;">
                  <v:fill on="f" focussize="0,0"/>
                  <v:stroke color="#FFFF00 [3204]" joinstyle="round" endarrow="open"/>
                  <v:imagedata o:title=""/>
                  <o:lock v:ext="edit" aspectratio="f"/>
                </v:shape>
                <v:shape id="_x0000_s1026" o:spid="_x0000_s1026" o:spt="32" type="#_x0000_t32" style="position:absolute;left:12441;top:2195124;flip:x y;height:509;width:210;" filled="f" stroked="t" coordsize="21600,21600" o:gfxdata="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MP3WrsAAADb&#10;AAAADwAAAAAAAAABACAAAAAiAAAAZHJzL2Rvd25yZXYueG1sUEsBAhQAFAAAAAgAh07iQDMvBZ47&#10;AAAAOQAAABAAAAAAAAAAAQAgAAAACgEAAGRycy9zaGFwZXhtbC54bWxQSwUGAAAAAAYABgBbAQAA&#10;tAMAAAAA&#10;">
                  <v:fill on="f" focussize="0,0"/>
                  <v:stroke color="#FFFF00 [3204]" joinstyle="round" startarrow="open"/>
                  <v:imagedata o:title=""/>
                  <o:lock v:ext="edit" aspectratio="f"/>
                </v:shape>
              </v:group>
            </w:pict>
          </mc:Fallback>
        </mc:AlternateContent>
      </w:r>
      <w:r>
        <w:rPr>
          <w:rFonts w:hint="default" w:ascii="Times New Roman" w:hAnsi="Times New Roman" w:cs="Times New Roman"/>
          <w:color w:val="auto"/>
          <w:sz w:val="24"/>
          <w:szCs w:val="24"/>
          <w:highlight w:val="none"/>
        </w:rPr>
        <w:drawing>
          <wp:inline distT="0" distB="0" distL="114300" distR="114300">
            <wp:extent cx="6118860" cy="5045710"/>
            <wp:effectExtent l="0" t="0" r="15240" b="2540"/>
            <wp:docPr id="36" name="图片 36" descr="2e3518ba-5930-40ea-a6a7-6cf9dfe236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e3518ba-5930-40ea-a6a7-6cf9dfe236c9"/>
                    <pic:cNvPicPr>
                      <a:picLocks noChangeAspect="1"/>
                    </pic:cNvPicPr>
                  </pic:nvPicPr>
                  <pic:blipFill>
                    <a:blip r:embed="rId42"/>
                    <a:stretch>
                      <a:fillRect/>
                    </a:stretch>
                  </pic:blipFill>
                  <pic:spPr>
                    <a:xfrm>
                      <a:off x="0" y="0"/>
                      <a:ext cx="6118860" cy="5045710"/>
                    </a:xfrm>
                    <a:prstGeom prst="rect">
                      <a:avLst/>
                    </a:prstGeom>
                  </pic:spPr>
                </pic:pic>
              </a:graphicData>
            </a:graphic>
          </wp:inline>
        </w:drawing>
      </w:r>
    </w:p>
    <w:p w14:paraId="4425635F">
      <w:pPr>
        <w:pStyle w:val="4"/>
        <w:ind w:left="0" w:firstLine="0"/>
        <w:rPr>
          <w:rFonts w:hint="default" w:ascii="Times New Roman" w:hAnsi="Times New Roman" w:eastAsia="宋体" w:cs="Times New Roman"/>
          <w:color w:val="auto"/>
          <w:sz w:val="24"/>
          <w:szCs w:val="24"/>
          <w:highlight w:val="none"/>
        </w:rPr>
      </w:pPr>
    </w:p>
    <w:p w14:paraId="696206FB">
      <w:pPr>
        <w:pStyle w:val="4"/>
        <w:ind w:left="0" w:firstLine="0"/>
        <w:rPr>
          <w:rFonts w:hint="default" w:ascii="Times New Roman" w:hAnsi="Times New Roman" w:eastAsia="宋体" w:cs="Times New Roman"/>
          <w:color w:val="auto"/>
          <w:sz w:val="24"/>
          <w:szCs w:val="24"/>
          <w:highlight w:val="none"/>
        </w:rPr>
      </w:pPr>
    </w:p>
    <w:p w14:paraId="70B2B25B">
      <w:pPr>
        <w:pStyle w:val="4"/>
        <w:ind w:left="0" w:firstLine="0"/>
        <w:rPr>
          <w:rFonts w:hint="default" w:ascii="Times New Roman" w:hAnsi="Times New Roman" w:eastAsia="宋体" w:cs="Times New Roman"/>
          <w:color w:val="auto"/>
          <w:sz w:val="24"/>
          <w:szCs w:val="24"/>
          <w:highlight w:val="none"/>
        </w:rPr>
      </w:pPr>
    </w:p>
    <w:p w14:paraId="127151D6">
      <w:pPr>
        <w:pStyle w:val="4"/>
        <w:ind w:left="0" w:firstLine="0"/>
        <w:rPr>
          <w:rFonts w:hint="default" w:ascii="Times New Roman" w:hAnsi="Times New Roman" w:eastAsia="宋体" w:cs="Times New Roman"/>
          <w:color w:val="auto"/>
          <w:sz w:val="24"/>
          <w:szCs w:val="24"/>
          <w:highlight w:val="none"/>
        </w:rPr>
      </w:pPr>
    </w:p>
    <w:p w14:paraId="205D2D20">
      <w:pPr>
        <w:pStyle w:val="4"/>
        <w:ind w:left="0" w:firstLine="0"/>
        <w:rPr>
          <w:rFonts w:hint="default" w:ascii="Times New Roman" w:hAnsi="Times New Roman" w:eastAsia="宋体" w:cs="Times New Roman"/>
          <w:color w:val="auto"/>
          <w:sz w:val="24"/>
          <w:szCs w:val="24"/>
          <w:highlight w:val="none"/>
        </w:rPr>
      </w:pPr>
    </w:p>
    <w:p w14:paraId="3198E8D0">
      <w:pPr>
        <w:pStyle w:val="4"/>
        <w:ind w:left="0" w:firstLine="0"/>
        <w:rPr>
          <w:rFonts w:hint="default" w:ascii="Times New Roman" w:hAnsi="Times New Roman" w:eastAsia="宋体" w:cs="Times New Roman"/>
          <w:color w:val="auto"/>
          <w:sz w:val="24"/>
          <w:szCs w:val="24"/>
          <w:highlight w:val="none"/>
        </w:rPr>
      </w:pPr>
    </w:p>
    <w:p w14:paraId="52283247">
      <w:pPr>
        <w:pStyle w:val="4"/>
        <w:ind w:left="0" w:firstLine="0"/>
        <w:rPr>
          <w:rFonts w:hint="default" w:ascii="Times New Roman" w:hAnsi="Times New Roman" w:eastAsia="宋体" w:cs="Times New Roman"/>
          <w:color w:val="auto"/>
          <w:sz w:val="24"/>
          <w:szCs w:val="24"/>
          <w:highlight w:val="none"/>
        </w:rPr>
      </w:pPr>
    </w:p>
    <w:p w14:paraId="6B1DA8E7">
      <w:pPr>
        <w:pStyle w:val="4"/>
        <w:ind w:left="0" w:firstLine="0"/>
        <w:rPr>
          <w:rFonts w:hint="default" w:ascii="Times New Roman" w:hAnsi="Times New Roman" w:eastAsia="宋体" w:cs="Times New Roman"/>
          <w:color w:val="auto"/>
          <w:sz w:val="24"/>
          <w:szCs w:val="24"/>
          <w:highlight w:val="none"/>
        </w:rPr>
      </w:pPr>
    </w:p>
    <w:p w14:paraId="6BE5A153">
      <w:pPr>
        <w:pStyle w:val="4"/>
        <w:ind w:left="0" w:firstLine="0"/>
        <w:rPr>
          <w:rFonts w:hint="default" w:ascii="Times New Roman" w:hAnsi="Times New Roman" w:eastAsia="宋体" w:cs="Times New Roman"/>
          <w:color w:val="auto"/>
          <w:sz w:val="24"/>
          <w:szCs w:val="24"/>
          <w:highlight w:val="none"/>
        </w:rPr>
      </w:pPr>
    </w:p>
    <w:p w14:paraId="636ACD49">
      <w:pPr>
        <w:pStyle w:val="4"/>
        <w:ind w:left="0" w:firstLine="0"/>
        <w:rPr>
          <w:rFonts w:hint="default" w:ascii="Times New Roman" w:hAnsi="Times New Roman" w:eastAsia="宋体" w:cs="Times New Roman"/>
          <w:color w:val="auto"/>
          <w:sz w:val="24"/>
          <w:szCs w:val="24"/>
          <w:highlight w:val="none"/>
        </w:rPr>
      </w:pPr>
    </w:p>
    <w:p w14:paraId="13524529">
      <w:pPr>
        <w:pStyle w:val="4"/>
        <w:ind w:left="0" w:firstLine="0"/>
        <w:rPr>
          <w:rFonts w:hint="default" w:ascii="Times New Roman" w:hAnsi="Times New Roman" w:eastAsia="宋体" w:cs="Times New Roman"/>
          <w:color w:val="auto"/>
          <w:sz w:val="24"/>
          <w:szCs w:val="24"/>
          <w:highlight w:val="none"/>
        </w:rPr>
      </w:pPr>
    </w:p>
    <w:p w14:paraId="5633EEFD">
      <w:pPr>
        <w:rPr>
          <w:rFonts w:hint="default" w:ascii="Times New Roman" w:hAnsi="Times New Roman" w:cs="Times New Roman"/>
          <w:color w:val="auto"/>
          <w:highlight w:val="none"/>
        </w:rPr>
      </w:pPr>
    </w:p>
    <w:p w14:paraId="2164497C">
      <w:pPr>
        <w:pStyle w:val="4"/>
        <w:ind w:left="0" w:firstLine="0"/>
        <w:rPr>
          <w:rFonts w:hint="default" w:ascii="Times New Roman" w:hAnsi="Times New Roman" w:eastAsia="宋体" w:cs="Times New Roman"/>
          <w:color w:val="auto"/>
          <w:sz w:val="24"/>
          <w:szCs w:val="24"/>
          <w:highlight w:val="none"/>
        </w:rPr>
      </w:pPr>
    </w:p>
    <w:p w14:paraId="1F63F144">
      <w:pPr>
        <w:pStyle w:val="4"/>
        <w:ind w:left="0" w:firstLine="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附图5 监测点位图</w:t>
      </w:r>
    </w:p>
    <w:p w14:paraId="582B81A9">
      <w:pPr>
        <w:pStyle w:val="4"/>
        <w:ind w:left="0" w:firstLine="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highlight w:val="none"/>
        </w:rPr>
        <mc:AlternateContent>
          <mc:Choice Requires="wpg">
            <w:drawing>
              <wp:anchor distT="0" distB="0" distL="114300" distR="114300" simplePos="0" relativeHeight="251699200" behindDoc="0" locked="0" layoutInCell="1" allowOverlap="1">
                <wp:simplePos x="0" y="0"/>
                <wp:positionH relativeFrom="column">
                  <wp:posOffset>2098040</wp:posOffset>
                </wp:positionH>
                <wp:positionV relativeFrom="paragraph">
                  <wp:posOffset>170815</wp:posOffset>
                </wp:positionV>
                <wp:extent cx="3679825" cy="4028440"/>
                <wp:effectExtent l="0" t="0" r="15875" b="10160"/>
                <wp:wrapNone/>
                <wp:docPr id="34" name="组合 34"/>
                <wp:cNvGraphicFramePr/>
                <a:graphic xmlns:a="http://schemas.openxmlformats.org/drawingml/2006/main">
                  <a:graphicData uri="http://schemas.microsoft.com/office/word/2010/wordprocessingGroup">
                    <wpg:wgp>
                      <wpg:cNvGrpSpPr/>
                      <wpg:grpSpPr>
                        <a:xfrm>
                          <a:off x="0" y="0"/>
                          <a:ext cx="3679825" cy="4028440"/>
                          <a:chOff x="7284" y="2205787"/>
                          <a:chExt cx="5795" cy="6344"/>
                        </a:xfrm>
                      </wpg:grpSpPr>
                      <wps:wsp>
                        <wps:cNvPr id="41" name="直接箭头连接符 41"/>
                        <wps:cNvCnPr/>
                        <wps:spPr>
                          <a:xfrm>
                            <a:off x="7284" y="2208840"/>
                            <a:ext cx="3244" cy="469"/>
                          </a:xfrm>
                          <a:prstGeom prst="straightConnector1">
                            <a:avLst/>
                          </a:prstGeom>
                          <a:ln w="9525">
                            <a:solidFill>
                              <a:srgbClr val="FF0000"/>
                            </a:solidFill>
                            <a:headEnd type="arrow"/>
                            <a:tailEnd type="arrow"/>
                          </a:ln>
                        </wps:spPr>
                        <wps:style>
                          <a:lnRef idx="2">
                            <a:schemeClr val="accent1"/>
                          </a:lnRef>
                          <a:fillRef idx="0">
                            <a:srgbClr val="FFFFFF"/>
                          </a:fillRef>
                          <a:effectRef idx="0">
                            <a:srgbClr val="FFFFFF"/>
                          </a:effectRef>
                          <a:fontRef idx="minor">
                            <a:schemeClr val="tx1"/>
                          </a:fontRef>
                        </wps:style>
                        <wps:bodyPr/>
                      </wps:wsp>
                      <wps:wsp>
                        <wps:cNvPr id="47" name="文本框 47"/>
                        <wps:cNvSpPr txBox="1"/>
                        <wps:spPr>
                          <a:xfrm>
                            <a:off x="8121" y="2209033"/>
                            <a:ext cx="1020" cy="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C274C">
                              <w:pPr>
                                <w:rPr>
                                  <w:color w:val="FF0000"/>
                                </w:rPr>
                              </w:pPr>
                              <w:r>
                                <w:rPr>
                                  <w:rFonts w:hint="eastAsia"/>
                                  <w:color w:val="FF0000"/>
                                </w:rPr>
                                <w:t>467m</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90" name="图片 13"/>
                          <pic:cNvPicPr>
                            <a:picLocks noChangeAspect="1" noChangeArrowheads="1"/>
                          </pic:cNvPicPr>
                        </pic:nvPicPr>
                        <pic:blipFill>
                          <a:blip r:embed="rId39" cstate="print"/>
                          <a:srcRect l="13979"/>
                          <a:stretch>
                            <a:fillRect/>
                          </a:stretch>
                        </pic:blipFill>
                        <pic:spPr>
                          <a:xfrm>
                            <a:off x="12619" y="2205787"/>
                            <a:ext cx="460" cy="926"/>
                          </a:xfrm>
                          <a:prstGeom prst="rect">
                            <a:avLst/>
                          </a:prstGeom>
                          <a:noFill/>
                          <a:ln w="9525">
                            <a:noFill/>
                            <a:miter lim="800000"/>
                            <a:headEnd/>
                            <a:tailEnd/>
                          </a:ln>
                        </pic:spPr>
                      </pic:pic>
                      <pic:pic xmlns:pic="http://schemas.openxmlformats.org/drawingml/2006/picture">
                        <pic:nvPicPr>
                          <pic:cNvPr id="31" name="图片 31" descr="30f015b0-bb26-4dd0-96e4-fc264b58e300"/>
                          <pic:cNvPicPr>
                            <a:picLocks noChangeAspect="1"/>
                          </pic:cNvPicPr>
                        </pic:nvPicPr>
                        <pic:blipFill>
                          <a:blip r:embed="rId43"/>
                          <a:stretch>
                            <a:fillRect/>
                          </a:stretch>
                        </pic:blipFill>
                        <pic:spPr>
                          <a:xfrm>
                            <a:off x="12048" y="2211577"/>
                            <a:ext cx="765" cy="555"/>
                          </a:xfrm>
                          <a:prstGeom prst="rect">
                            <a:avLst/>
                          </a:prstGeom>
                        </pic:spPr>
                      </pic:pic>
                    </wpg:wgp>
                  </a:graphicData>
                </a:graphic>
              </wp:anchor>
            </w:drawing>
          </mc:Choice>
          <mc:Fallback>
            <w:pict>
              <v:group id="_x0000_s1026" o:spid="_x0000_s1026" o:spt="203" style="position:absolute;left:0pt;margin-left:165.2pt;margin-top:13.45pt;height:317.2pt;width:289.75pt;z-index:251699200;mso-width-relative:page;mso-height-relative:page;" coordorigin="7284,2205787" coordsize="5795,6344" o:gfxdata="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">
                <o:lock v:ext="edit" aspectratio="f"/>
                <v:shape id="_x0000_s1026" o:spid="_x0000_s1026" o:spt="32" type="#_x0000_t32" style="position:absolute;left:7284;top:2208840;height:469;width:3244;" filled="f" stroked="t" coordsize="21600,21600" o:gfxdata="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xqivQAA&#10;ANsAAAAPAAAAAAAAAAEAIAAAACIAAABkcnMvZG93bnJldi54bWxQSwECFAAUAAAACACHTuJAMy8F&#10;njsAAAA5AAAAEAAAAAAAAAABACAAAAAMAQAAZHJzL3NoYXBleG1sLnhtbFBLBQYAAAAABgAGAFsB&#10;AAC2AwAAAAA=&#10;">
                  <v:fill on="f" focussize="0,0"/>
                  <v:stroke color="#FF0000 [3204]" joinstyle="round" startarrow="open" endarrow="open"/>
                  <v:imagedata o:title=""/>
                  <o:lock v:ext="edit" aspectratio="f"/>
                </v:shape>
                <v:shape id="_x0000_s1026" o:spid="_x0000_s1026" o:spt="202" type="#_x0000_t202" style="position:absolute;left:8121;top:2209033;height:495;width:1020;" filled="f" stroked="f" coordsize="21600,21600" o:gfxdata="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37+6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2A0C274C">
                        <w:pPr>
                          <w:rPr>
                            <w:color w:val="FF0000"/>
                          </w:rPr>
                        </w:pPr>
                        <w:r>
                          <w:rPr>
                            <w:rFonts w:hint="eastAsia"/>
                            <w:color w:val="FF0000"/>
                          </w:rPr>
                          <w:t>467m</w:t>
                        </w:r>
                      </w:p>
                    </w:txbxContent>
                  </v:textbox>
                </v:shape>
                <v:shape id="图片 13" o:spid="_x0000_s1026" o:spt="75" type="#_x0000_t75" style="position:absolute;left:12619;top:2205787;height:926;width:460;" filled="f" o:preferrelative="t" stroked="f" coordsize="21600,21600" o:gfxdata="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LMojG5AAAA2wAA&#10;AA8AAAAAAAAAAQAgAAAAIgAAAGRycy9kb3ducmV2LnhtbFBLAQIUABQAAAAIAIdO4kAzLwWeOwAA&#10;ADkAAAAQAAAAAAAAAAEAIAAAAAgBAABkcnMvc2hhcGV4bWwueG1sUEsFBgAAAAAGAAYAWwEAALID&#10;AAAAAA==&#10;">
                  <v:fill on="f" focussize="0,0"/>
                  <v:stroke on="f" miterlimit="8" joinstyle="miter"/>
                  <v:imagedata r:id="rId39" cropleft="9161f" o:title=""/>
                  <o:lock v:ext="edit" aspectratio="t"/>
                </v:shape>
                <v:shape id="_x0000_s1026" o:spid="_x0000_s1026" o:spt="75" alt="30f015b0-bb26-4dd0-96e4-fc264b58e300" type="#_x0000_t75" style="position:absolute;left:12048;top:2211577;height:555;width:765;" filled="f" o:preferrelative="t" stroked="f" coordsize="21600,21600" o:gfxdata="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OLNKvQAA&#10;ANsAAAAPAAAAAAAAAAEAIAAAACIAAABkcnMvZG93bnJldi54bWxQSwECFAAUAAAACACHTuJAMy8F&#10;njsAAAA5AAAAEAAAAAAAAAABACAAAAAMAQAAZHJzL3NoYXBleG1sLnhtbFBLBQYAAAAABgAGAFsB&#10;AAC2AwAAAAA=&#10;">
                  <v:fill on="f" focussize="0,0"/>
                  <v:stroke on="f"/>
                  <v:imagedata r:id="rId43" o:title=""/>
                  <o:lock v:ext="edit" aspectratio="t"/>
                </v:shape>
              </v:group>
            </w:pict>
          </mc:Fallback>
        </mc:AlternateContent>
      </w:r>
      <w:r>
        <w:rPr>
          <w:rFonts w:hint="default" w:ascii="Times New Roman" w:hAnsi="Times New Roman" w:cs="Times New Roman"/>
          <w:color w:val="auto"/>
          <w:sz w:val="24"/>
          <w:szCs w:val="24"/>
          <w:highlight w:val="none"/>
        </w:rPr>
        <w:drawing>
          <wp:inline distT="0" distB="0" distL="114300" distR="114300">
            <wp:extent cx="5724525" cy="4286250"/>
            <wp:effectExtent l="0" t="0" r="9525" b="0"/>
            <wp:docPr id="30" name="图片 30" descr="57c76166-2fc7-4d40-b93c-02075f1b05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57c76166-2fc7-4d40-b93c-02075f1b05fc"/>
                    <pic:cNvPicPr>
                      <a:picLocks noChangeAspect="1"/>
                    </pic:cNvPicPr>
                  </pic:nvPicPr>
                  <pic:blipFill>
                    <a:blip r:embed="rId44"/>
                    <a:stretch>
                      <a:fillRect/>
                    </a:stretch>
                  </pic:blipFill>
                  <pic:spPr>
                    <a:xfrm>
                      <a:off x="0" y="0"/>
                      <a:ext cx="5724525" cy="4286250"/>
                    </a:xfrm>
                    <a:prstGeom prst="rect">
                      <a:avLst/>
                    </a:prstGeom>
                  </pic:spPr>
                </pic:pic>
              </a:graphicData>
            </a:graphic>
          </wp:inline>
        </w:drawing>
      </w:r>
    </w:p>
    <w:p w14:paraId="181A26EF">
      <w:pPr>
        <w:rPr>
          <w:rFonts w:hint="default" w:ascii="Times New Roman" w:hAnsi="Times New Roman" w:cs="Times New Roman"/>
          <w:b/>
          <w:bCs/>
          <w:color w:val="auto"/>
          <w:sz w:val="24"/>
          <w:highlight w:val="none"/>
        </w:rPr>
      </w:pPr>
    </w:p>
    <w:p w14:paraId="3E545FF0">
      <w:pPr>
        <w:pStyle w:val="7"/>
        <w:ind w:firstLine="482"/>
        <w:rPr>
          <w:rFonts w:hint="default" w:ascii="Times New Roman" w:hAnsi="Times New Roman" w:cs="Times New Roman"/>
          <w:b/>
          <w:bCs/>
          <w:color w:val="auto"/>
          <w:sz w:val="24"/>
          <w:highlight w:val="none"/>
        </w:rPr>
      </w:pPr>
    </w:p>
    <w:p w14:paraId="45F14E1B">
      <w:pPr>
        <w:pStyle w:val="7"/>
        <w:ind w:firstLine="482"/>
        <w:rPr>
          <w:rFonts w:hint="default" w:ascii="Times New Roman" w:hAnsi="Times New Roman" w:cs="Times New Roman"/>
          <w:b/>
          <w:bCs/>
          <w:color w:val="auto"/>
          <w:sz w:val="24"/>
          <w:highlight w:val="none"/>
        </w:rPr>
      </w:pPr>
    </w:p>
    <w:p w14:paraId="554E4C6E">
      <w:pPr>
        <w:jc w:val="center"/>
        <w:rPr>
          <w:rFonts w:hint="default" w:ascii="Times New Roman" w:hAnsi="Times New Roman" w:cs="Times New Roman"/>
          <w:color w:val="auto"/>
          <w:highlight w:val="none"/>
        </w:rPr>
        <w:sectPr>
          <w:pgSz w:w="11906" w:h="16838"/>
          <w:pgMar w:top="1134" w:right="1134" w:bottom="1134" w:left="1134" w:header="851" w:footer="851" w:gutter="0"/>
          <w:cols w:space="720" w:num="1"/>
          <w:docGrid w:linePitch="312" w:charSpace="0"/>
        </w:sectPr>
      </w:pPr>
      <w:r>
        <w:rPr>
          <w:rFonts w:hint="default" w:ascii="Times New Roman" w:hAnsi="Times New Roman" w:cs="Times New Roman"/>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6534785</wp:posOffset>
                </wp:positionH>
                <wp:positionV relativeFrom="paragraph">
                  <wp:posOffset>884555</wp:posOffset>
                </wp:positionV>
                <wp:extent cx="69215" cy="111125"/>
                <wp:effectExtent l="3810" t="2540" r="22225" b="19685"/>
                <wp:wrapNone/>
                <wp:docPr id="27" name="Line 148"/>
                <wp:cNvGraphicFramePr/>
                <a:graphic xmlns:a="http://schemas.openxmlformats.org/drawingml/2006/main">
                  <a:graphicData uri="http://schemas.microsoft.com/office/word/2010/wordprocessingShape">
                    <wps:wsp>
                      <wps:cNvCnPr>
                        <a:cxnSpLocks noChangeShapeType="1"/>
                      </wps:cNvCnPr>
                      <wps:spPr bwMode="auto">
                        <a:xfrm flipH="1" flipV="1">
                          <a:off x="7254875" y="2209800"/>
                          <a:ext cx="69215" cy="111125"/>
                        </a:xfrm>
                        <a:prstGeom prst="line">
                          <a:avLst/>
                        </a:prstGeom>
                        <a:noFill/>
                        <a:ln w="9525">
                          <a:solidFill>
                            <a:srgbClr val="000000"/>
                          </a:solidFill>
                          <a:round/>
                        </a:ln>
                      </wps:spPr>
                      <wps:bodyPr/>
                    </wps:wsp>
                  </a:graphicData>
                </a:graphic>
              </wp:anchor>
            </w:drawing>
          </mc:Choice>
          <mc:Fallback>
            <w:pict>
              <v:line id="Line 148" o:spid="_x0000_s1026" o:spt="20" style="position:absolute;left:0pt;flip:x y;margin-left:514.55pt;margin-top:69.65pt;height:8.75pt;width:5.45pt;z-index:251664384;mso-width-relative:page;mso-height-relative:page;" filled="f" stroked="t" coordsize="21600,21600" o:gfxdata="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tSbgzVAAAADQEA&#10;AA8AAAAAAAAAAQAgAAAAIgAAAGRycy9kb3ducmV2LnhtbFBLAQIUABQAAAAIAIdO4kBeMcnk5AEA&#10;AMUDAAAOAAAAAAAAAAEAIAAAACQBAABkcnMvZTJvRG9jLnhtbFBLBQYAAAAABgAGAFkBAAB6BQAA&#10;AAA=&#10;">
                <v:fill on="f" focussize="0,0"/>
                <v:stroke color="#000000" joinstyle="round"/>
                <v:imagedata o:title=""/>
                <o:lock v:ext="edit" aspectratio="f"/>
              </v:line>
            </w:pict>
          </mc:Fallback>
        </mc:AlternateContent>
      </w:r>
    </w:p>
    <w:p w14:paraId="37D70402">
      <w:pPr>
        <w:jc w:val="center"/>
        <w:rPr>
          <w:rFonts w:hint="default" w:ascii="Times New Roman" w:hAnsi="Times New Roman" w:cs="Times New Roman"/>
          <w:b/>
          <w:bCs/>
          <w:color w:val="auto"/>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3274695</wp:posOffset>
                </wp:positionH>
                <wp:positionV relativeFrom="paragraph">
                  <wp:posOffset>2334895</wp:posOffset>
                </wp:positionV>
                <wp:extent cx="873760" cy="417830"/>
                <wp:effectExtent l="0" t="0" r="0" b="0"/>
                <wp:wrapNone/>
                <wp:docPr id="33" name="Text Box 431"/>
                <wp:cNvGraphicFramePr/>
                <a:graphic xmlns:a="http://schemas.openxmlformats.org/drawingml/2006/main">
                  <a:graphicData uri="http://schemas.microsoft.com/office/word/2010/wordprocessingShape">
                    <wps:wsp>
                      <wps:cNvSpPr txBox="1">
                        <a:spLocks noChangeArrowheads="1"/>
                      </wps:cNvSpPr>
                      <wps:spPr bwMode="auto">
                        <a:xfrm>
                          <a:off x="3994785" y="3660140"/>
                          <a:ext cx="873760" cy="417830"/>
                        </a:xfrm>
                        <a:prstGeom prst="rect">
                          <a:avLst/>
                        </a:prstGeom>
                        <a:noFill/>
                        <a:ln>
                          <a:noFill/>
                        </a:ln>
                      </wps:spPr>
                      <wps:txbx>
                        <w:txbxContent>
                          <w:p w14:paraId="1F084FB4">
                            <w:pPr>
                              <w:rPr>
                                <w:b/>
                                <w:bCs/>
                                <w:color w:val="FFFFFF" w:themeColor="background1"/>
                                <w:sz w:val="24"/>
                                <w14:textFill>
                                  <w14:solidFill>
                                    <w14:schemeClr w14:val="bg1"/>
                                  </w14:solidFill>
                                </w14:textFill>
                              </w:rPr>
                            </w:pPr>
                            <w:r>
                              <w:rPr>
                                <w:rFonts w:hint="eastAsia"/>
                                <w:b/>
                                <w:bCs/>
                                <w:color w:val="FFFFFF" w:themeColor="background1"/>
                                <w:sz w:val="24"/>
                                <w14:textFill>
                                  <w14:solidFill>
                                    <w14:schemeClr w14:val="bg1"/>
                                  </w14:solidFill>
                                </w14:textFill>
                              </w:rPr>
                              <w:t>456米</w:t>
                            </w:r>
                          </w:p>
                        </w:txbxContent>
                      </wps:txbx>
                      <wps:bodyPr rot="0" vert="horz" wrap="square" lIns="91440" tIns="45720" rIns="91440" bIns="45720" anchor="t" anchorCtr="0" upright="1">
                        <a:noAutofit/>
                      </wps:bodyPr>
                    </wps:wsp>
                  </a:graphicData>
                </a:graphic>
              </wp:anchor>
            </w:drawing>
          </mc:Choice>
          <mc:Fallback>
            <w:pict>
              <v:shape id="Text Box 431" o:spid="_x0000_s1026" o:spt="202" type="#_x0000_t202" style="position:absolute;left:0pt;margin-left:257.85pt;margin-top:183.85pt;height:32.9pt;width:68.8pt;z-index:251663360;mso-width-relative:page;mso-height-relative:page;" filled="f" stroked="f" coordsize="21600,21600" o:gfxdata="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T2NOjYAAAACwEAAA8AAAAA&#10;AAAAAQAgAAAAIgAAAGRycy9kb3ducmV2LnhtbFBLAQIUABQAAAAIAIdO4kCyPpz/FAIAACIEAAAO&#10;AAAAAAAAAAEAIAAAACcBAABkcnMvZTJvRG9jLnhtbFBLBQYAAAAABgAGAFkBAACtBQAAAAA=&#10;">
                <v:fill on="f" focussize="0,0"/>
                <v:stroke on="f"/>
                <v:imagedata o:title=""/>
                <o:lock v:ext="edit" aspectratio="f"/>
                <v:textbox>
                  <w:txbxContent>
                    <w:p w14:paraId="1F084FB4">
                      <w:pPr>
                        <w:rPr>
                          <w:b/>
                          <w:bCs/>
                          <w:color w:val="FFFFFF" w:themeColor="background1"/>
                          <w:sz w:val="24"/>
                          <w14:textFill>
                            <w14:solidFill>
                              <w14:schemeClr w14:val="bg1"/>
                            </w14:solidFill>
                          </w14:textFill>
                        </w:rPr>
                      </w:pPr>
                      <w:r>
                        <w:rPr>
                          <w:rFonts w:hint="eastAsia"/>
                          <w:b/>
                          <w:bCs/>
                          <w:color w:val="FFFFFF" w:themeColor="background1"/>
                          <w:sz w:val="24"/>
                          <w14:textFill>
                            <w14:solidFill>
                              <w14:schemeClr w14:val="bg1"/>
                            </w14:solidFill>
                          </w14:textFill>
                        </w:rPr>
                        <w:t>456米</w:t>
                      </w:r>
                    </w:p>
                  </w:txbxContent>
                </v:textbox>
              </v:shape>
            </w:pict>
          </mc:Fallback>
        </mc:AlternateContent>
      </w:r>
    </w:p>
    <w:p w14:paraId="4EC197B8">
      <w:pPr>
        <w:pStyle w:val="23"/>
        <w:adjustRightInd w:val="0"/>
        <w:snapToGrid w:val="0"/>
        <w:spacing w:before="0" w:beforeAutospacing="0" w:after="0" w:afterAutospacing="0"/>
        <w:outlineLvl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附图6 本项目位置与广东省“三线一单”平台叠置图</w:t>
      </w:r>
    </w:p>
    <w:p w14:paraId="73E64342">
      <w:pPr>
        <w:jc w:val="center"/>
        <w:rPr>
          <w:rFonts w:hint="default" w:ascii="Times New Roman" w:hAnsi="Times New Roman" w:cs="Times New Roman"/>
          <w:color w:val="auto"/>
          <w:highlight w:val="none"/>
        </w:rPr>
      </w:pPr>
    </w:p>
    <w:p w14:paraId="63AF3DE0">
      <w:pPr>
        <w:jc w:val="center"/>
        <w:rPr>
          <w:rFonts w:hint="default" w:ascii="Times New Roman" w:hAnsi="Times New Roman" w:cs="Times New Roman"/>
          <w:color w:val="auto"/>
          <w:sz w:val="24"/>
          <w:highlight w:val="none"/>
        </w:rPr>
        <w:sectPr>
          <w:pgSz w:w="16838" w:h="11906" w:orient="landscape"/>
          <w:pgMar w:top="1134" w:right="1134" w:bottom="1134" w:left="1134" w:header="851" w:footer="851" w:gutter="0"/>
          <w:cols w:space="720" w:num="1"/>
          <w:docGrid w:linePitch="312" w:charSpace="0"/>
        </w:sectPr>
      </w:pPr>
      <w:r>
        <w:rPr>
          <w:rFonts w:hint="default" w:ascii="Times New Roman" w:hAnsi="Times New Roman" w:cs="Times New Roman"/>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7089775</wp:posOffset>
                </wp:positionH>
                <wp:positionV relativeFrom="paragraph">
                  <wp:posOffset>3046095</wp:posOffset>
                </wp:positionV>
                <wp:extent cx="941705" cy="293370"/>
                <wp:effectExtent l="90170" t="382270" r="15875" b="10160"/>
                <wp:wrapNone/>
                <wp:docPr id="66" name="圆角矩形标注 382"/>
                <wp:cNvGraphicFramePr/>
                <a:graphic xmlns:a="http://schemas.openxmlformats.org/drawingml/2006/main">
                  <a:graphicData uri="http://schemas.microsoft.com/office/word/2010/wordprocessingShape">
                    <wps:wsp>
                      <wps:cNvSpPr/>
                      <wps:spPr>
                        <a:xfrm>
                          <a:off x="7947660" y="5565775"/>
                          <a:ext cx="941705" cy="293370"/>
                        </a:xfrm>
                        <a:prstGeom prst="wedgeRoundRectCallout">
                          <a:avLst>
                            <a:gd name="adj1" fmla="val -55799"/>
                            <a:gd name="adj2" fmla="val -166883"/>
                            <a:gd name="adj3" fmla="val 16667"/>
                          </a:avLst>
                        </a:prstGeom>
                        <a:solidFill>
                          <a:srgbClr val="FFFFFF"/>
                        </a:solidFill>
                        <a:ln w="19050" cap="flat" cmpd="sng">
                          <a:solidFill>
                            <a:srgbClr val="FF0000"/>
                          </a:solidFill>
                          <a:prstDash val="solid"/>
                          <a:miter/>
                          <a:headEnd type="none" w="med" len="med"/>
                          <a:tailEnd type="none" w="med" len="med"/>
                        </a:ln>
                      </wps:spPr>
                      <wps:txbx>
                        <w:txbxContent>
                          <w:p w14:paraId="518A84AF">
                            <w:pPr>
                              <w:rPr>
                                <w:b/>
                                <w:color w:val="FF0000"/>
                              </w:rPr>
                            </w:pPr>
                            <w:r>
                              <w:rPr>
                                <w:rFonts w:hint="eastAsia"/>
                                <w:b/>
                                <w:color w:val="FF0000"/>
                              </w:rPr>
                              <w:t xml:space="preserve">项目所在地            </w:t>
                            </w:r>
                          </w:p>
                        </w:txbxContent>
                      </wps:txbx>
                      <wps:bodyPr upright="1"/>
                    </wps:wsp>
                  </a:graphicData>
                </a:graphic>
              </wp:anchor>
            </w:drawing>
          </mc:Choice>
          <mc:Fallback>
            <w:pict>
              <v:shape id="圆角矩形标注 382" o:spid="_x0000_s1026" o:spt="62" type="#_x0000_t62" style="position:absolute;left:0pt;margin-left:558.25pt;margin-top:239.85pt;height:23.1pt;width:74.15pt;z-index:251661312;mso-width-relative:page;mso-height-relative:page;" fillcolor="#FFFFFF" filled="t" stroked="t" coordsize="21600,21600" o:gfxdata="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4we5Gd0AAAANAQAADwAAAAAAAAABACAAAAAiAAAAZHJzL2Rvd25yZXYueG1sUEsB&#10;AhQAFAAAAAgAh07iQHmEPrxiAgAAzQQAAA4AAAAAAAAAAQAgAAAALAEAAGRycy9lMm9Eb2MueG1s&#10;UEsFBgAAAAAGAAYAWQEAAAAGAAAAAA==&#10;" adj="-1253,-25247,14400">
                <v:fill on="t" focussize="0,0"/>
                <v:stroke weight="1.5pt" color="#FF0000" joinstyle="miter"/>
                <v:imagedata o:title=""/>
                <o:lock v:ext="edit" aspectratio="f"/>
                <v:textbox>
                  <w:txbxContent>
                    <w:p w14:paraId="518A84AF">
                      <w:pPr>
                        <w:rPr>
                          <w:b/>
                          <w:color w:val="FF0000"/>
                        </w:rPr>
                      </w:pPr>
                      <w:r>
                        <w:rPr>
                          <w:rFonts w:hint="eastAsia"/>
                          <w:b/>
                          <w:color w:val="FF0000"/>
                        </w:rPr>
                        <w:t xml:space="preserve">项目所在地            </w:t>
                      </w:r>
                    </w:p>
                  </w:txbxContent>
                </v:textbox>
              </v:shape>
            </w:pict>
          </mc:Fallback>
        </mc:AlternateContent>
      </w:r>
      <w:r>
        <w:rPr>
          <w:rFonts w:hint="default" w:ascii="Times New Roman" w:hAnsi="Times New Roman" w:cs="Times New Roman"/>
          <w:color w:val="auto"/>
          <w:sz w:val="30"/>
          <w:highlight w:val="none"/>
        </w:rPr>
        <w:drawing>
          <wp:anchor distT="0" distB="0" distL="114300" distR="114300" simplePos="0" relativeHeight="251669504" behindDoc="0" locked="0" layoutInCell="1" allowOverlap="1">
            <wp:simplePos x="0" y="0"/>
            <wp:positionH relativeFrom="column">
              <wp:posOffset>8649335</wp:posOffset>
            </wp:positionH>
            <wp:positionV relativeFrom="paragraph">
              <wp:posOffset>144145</wp:posOffset>
            </wp:positionV>
            <wp:extent cx="292100" cy="588010"/>
            <wp:effectExtent l="0" t="0" r="12700" b="2540"/>
            <wp:wrapNone/>
            <wp:docPr id="9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3"/>
                    <pic:cNvPicPr>
                      <a:picLocks noChangeAspect="1" noChangeArrowheads="1"/>
                    </pic:cNvPicPr>
                  </pic:nvPicPr>
                  <pic:blipFill>
                    <a:blip r:embed="rId39" cstate="print"/>
                    <a:srcRect l="13979"/>
                    <a:stretch>
                      <a:fillRect/>
                    </a:stretch>
                  </pic:blipFill>
                  <pic:spPr>
                    <a:xfrm>
                      <a:off x="0" y="0"/>
                      <a:ext cx="292100" cy="588010"/>
                    </a:xfrm>
                    <a:prstGeom prst="rect">
                      <a:avLst/>
                    </a:prstGeom>
                    <a:noFill/>
                    <a:ln w="9525">
                      <a:noFill/>
                      <a:miter lim="800000"/>
                      <a:headEnd/>
                      <a:tailEnd/>
                    </a:ln>
                  </pic:spPr>
                </pic:pic>
              </a:graphicData>
            </a:graphic>
          </wp:anchor>
        </w:drawing>
      </w:r>
      <w:r>
        <w:rPr>
          <w:rFonts w:hint="default" w:ascii="Times New Roman" w:hAnsi="Times New Roman" w:cs="Times New Roman"/>
          <w:color w:val="auto"/>
          <w:sz w:val="24"/>
          <w:highlight w:val="none"/>
        </w:rPr>
        <w:drawing>
          <wp:inline distT="0" distB="0" distL="114300" distR="114300">
            <wp:extent cx="9241155" cy="4947920"/>
            <wp:effectExtent l="0" t="0" r="17145" b="5080"/>
            <wp:docPr id="100" name="图片 100" descr="f238afb5-5fb7-40d9-8395-88f2e2b17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f238afb5-5fb7-40d9-8395-88f2e2b17931"/>
                    <pic:cNvPicPr>
                      <a:picLocks noChangeAspect="1"/>
                    </pic:cNvPicPr>
                  </pic:nvPicPr>
                  <pic:blipFill>
                    <a:blip r:embed="rId45"/>
                    <a:stretch>
                      <a:fillRect/>
                    </a:stretch>
                  </pic:blipFill>
                  <pic:spPr>
                    <a:xfrm>
                      <a:off x="0" y="0"/>
                      <a:ext cx="9241155" cy="4947920"/>
                    </a:xfrm>
                    <a:prstGeom prst="rect">
                      <a:avLst/>
                    </a:prstGeom>
                  </pic:spPr>
                </pic:pic>
              </a:graphicData>
            </a:graphic>
          </wp:inline>
        </w:drawing>
      </w:r>
    </w:p>
    <w:p w14:paraId="54E5A0CD">
      <w:pPr>
        <w:pStyle w:val="23"/>
        <w:adjustRightInd w:val="0"/>
        <w:snapToGrid w:val="0"/>
        <w:spacing w:before="0" w:beforeAutospacing="0" w:after="0" w:afterAutospacing="0"/>
        <w:outlineLvl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附图7 项目周边水系图</w:t>
      </w:r>
    </w:p>
    <w:p w14:paraId="0856BDEE">
      <w:pPr>
        <w:pStyle w:val="23"/>
        <w:adjustRightInd w:val="0"/>
        <w:snapToGrid w:val="0"/>
        <w:spacing w:before="0" w:beforeAutospacing="0" w:after="0" w:afterAutospacing="0"/>
        <w:jc w:val="center"/>
        <w:outlineLvl w:val="0"/>
        <w:rPr>
          <w:rFonts w:hint="default" w:ascii="Times New Roman" w:hAnsi="Times New Roman" w:eastAsia="黑体" w:cs="Times New Roman"/>
          <w:color w:val="auto"/>
          <w:highlight w:val="none"/>
        </w:rPr>
      </w:pPr>
      <w:r>
        <w:rPr>
          <w:rFonts w:hint="default" w:ascii="Times New Roman" w:hAnsi="Times New Roman" w:cs="Times New Roman"/>
          <w:color w:val="auto"/>
          <w:highlight w:val="none"/>
        </w:rPr>
        <mc:AlternateContent>
          <mc:Choice Requires="wpg">
            <w:drawing>
              <wp:anchor distT="0" distB="0" distL="114300" distR="114300" simplePos="0" relativeHeight="251662336" behindDoc="0" locked="0" layoutInCell="1" allowOverlap="1">
                <wp:simplePos x="0" y="0"/>
                <wp:positionH relativeFrom="column">
                  <wp:posOffset>2738755</wp:posOffset>
                </wp:positionH>
                <wp:positionV relativeFrom="paragraph">
                  <wp:posOffset>1090295</wp:posOffset>
                </wp:positionV>
                <wp:extent cx="1473835" cy="680085"/>
                <wp:effectExtent l="12700" t="9525" r="18415" b="15240"/>
                <wp:wrapNone/>
                <wp:docPr id="278" name="组合 278"/>
                <wp:cNvGraphicFramePr/>
                <a:graphic xmlns:a="http://schemas.openxmlformats.org/drawingml/2006/main">
                  <a:graphicData uri="http://schemas.microsoft.com/office/word/2010/wordprocessingGroup">
                    <wpg:wgp>
                      <wpg:cNvGrpSpPr/>
                      <wpg:grpSpPr>
                        <a:xfrm>
                          <a:off x="0" y="0"/>
                          <a:ext cx="1473835" cy="680085"/>
                          <a:chOff x="8139" y="1195091"/>
                          <a:chExt cx="2321" cy="1071"/>
                        </a:xfrm>
                      </wpg:grpSpPr>
                      <wps:wsp>
                        <wps:cNvPr id="382" name="圆角矩形标注 382"/>
                        <wps:cNvSpPr/>
                        <wps:spPr>
                          <a:xfrm>
                            <a:off x="8978" y="1195091"/>
                            <a:ext cx="1483" cy="462"/>
                          </a:xfrm>
                          <a:prstGeom prst="wedgeRoundRectCallout">
                            <a:avLst>
                              <a:gd name="adj1" fmla="val -93963"/>
                              <a:gd name="adj2" fmla="val 161255"/>
                              <a:gd name="adj3" fmla="val 16667"/>
                            </a:avLst>
                          </a:prstGeom>
                          <a:solidFill>
                            <a:srgbClr val="FFFFFF"/>
                          </a:solidFill>
                          <a:ln w="19050" cap="flat" cmpd="sng">
                            <a:solidFill>
                              <a:srgbClr val="FF0000"/>
                            </a:solidFill>
                            <a:prstDash val="solid"/>
                            <a:miter/>
                            <a:headEnd type="none" w="med" len="med"/>
                            <a:tailEnd type="none" w="med" len="med"/>
                          </a:ln>
                        </wps:spPr>
                        <wps:txbx>
                          <w:txbxContent>
                            <w:p w14:paraId="0BE00D77">
                              <w:pPr>
                                <w:rPr>
                                  <w:b/>
                                  <w:color w:val="FF0000"/>
                                </w:rPr>
                              </w:pPr>
                              <w:r>
                                <w:rPr>
                                  <w:rFonts w:hint="eastAsia"/>
                                  <w:b/>
                                  <w:color w:val="FF0000"/>
                                </w:rPr>
                                <w:t xml:space="preserve">项目所在地            </w:t>
                              </w:r>
                            </w:p>
                          </w:txbxContent>
                        </wps:txbx>
                        <wps:bodyPr upright="1"/>
                      </wps:wsp>
                      <wps:wsp>
                        <wps:cNvPr id="269" name="五角星 269"/>
                        <wps:cNvSpPr/>
                        <wps:spPr>
                          <a:xfrm>
                            <a:off x="8139" y="1196000"/>
                            <a:ext cx="150" cy="163"/>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15.65pt;margin-top:85.85pt;height:53.55pt;width:116.05pt;z-index:251662336;mso-width-relative:page;mso-height-relative:page;" coordorigin="8139,1195091" coordsize="2321,1071" o:gfxdata="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">
                <o:lock v:ext="edit" aspectratio="f"/>
                <v:shape id="_x0000_s1026" o:spid="_x0000_s1026" o:spt="62" type="#_x0000_t62" style="position:absolute;left:8978;top:1195091;height:462;width:1483;" fillcolor="#FFFFFF" filled="t" stroked="t" coordsize="21600,21600" o:gfxdata="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Csde8AAAA&#10;3AAAAA8AAAAAAAAAAQAgAAAAIgAAAGRycy9kb3ducmV2LnhtbFBLAQIUABQAAAAIAIdO4kAzLwWe&#10;OwAAADkAAAAQAAAAAAAAAAEAIAAAAAsBAABkcnMvc2hhcGV4bWwueG1sUEsFBgAAAAAGAAYAWwEA&#10;ALUDAAAAAA==&#10;" adj="-9496,45631,14400">
                  <v:fill on="t" focussize="0,0"/>
                  <v:stroke weight="1.5pt" color="#FF0000" joinstyle="miter"/>
                  <v:imagedata o:title=""/>
                  <o:lock v:ext="edit" aspectratio="f"/>
                  <v:textbox>
                    <w:txbxContent>
                      <w:p w14:paraId="0BE00D77">
                        <w:pPr>
                          <w:rPr>
                            <w:b/>
                            <w:color w:val="FF0000"/>
                          </w:rPr>
                        </w:pPr>
                        <w:r>
                          <w:rPr>
                            <w:rFonts w:hint="eastAsia"/>
                            <w:b/>
                            <w:color w:val="FF0000"/>
                          </w:rPr>
                          <w:t xml:space="preserve">项目所在地            </w:t>
                        </w:r>
                      </w:p>
                    </w:txbxContent>
                  </v:textbox>
                </v:shape>
                <v:shape id="_x0000_s1026" o:spid="_x0000_s1026" style="position:absolute;left:8139;top:1196000;height:163;width:150;v-text-anchor:middle;" fillcolor="#FF0000" filled="t" stroked="t" coordsize="150,163" o:gfxdata="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DGYgG5AAAA3AAA&#10;AA8AAAAAAAAAAQAgAAAAIgAAAGRycy9kb3ducmV2LnhtbFBLAQIUABQAAAAIAIdO4kAzLwWeOwAA&#10;ADkAAAAQAAAAAAAAAAEAIAAAAAgBAABkcnMvc2hhcGV4bWwueG1sUEsFBgAAAAAGAAYAWwEAALID&#10;AAAAAA==&#10;" path="m0,62l57,62,75,0,92,62,149,62,103,100,121,162,75,124,28,162,46,100xe">
                  <v:path o:connectlocs="75,0;0,62;28,162;121,162;149,62" o:connectangles="247,164,82,82,0"/>
                  <v:fill on="t" focussize="0,0"/>
                  <v:stroke weight="2pt" color="#FF0000 [2404]" joinstyle="round"/>
                  <v:imagedata o:title=""/>
                  <o:lock v:ext="edit" aspectratio="f"/>
                </v:shape>
              </v:group>
            </w:pict>
          </mc:Fallback>
        </mc:AlternateContent>
      </w:r>
      <w:r>
        <w:rPr>
          <w:rFonts w:hint="default" w:ascii="Times New Roman" w:hAnsi="Times New Roman" w:eastAsia="黑体" w:cs="Times New Roman"/>
          <w:color w:val="auto"/>
          <w:highlight w:val="none"/>
        </w:rPr>
        <w:drawing>
          <wp:inline distT="0" distB="0" distL="0" distR="0">
            <wp:extent cx="7556500" cy="5370195"/>
            <wp:effectExtent l="0" t="0" r="6350" b="1905"/>
            <wp:docPr id="379" name="图片 379" descr="页面提取自－附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379" descr="页面提取自－附件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7556500" cy="5370195"/>
                    </a:xfrm>
                    <a:prstGeom prst="rect">
                      <a:avLst/>
                    </a:prstGeom>
                    <a:noFill/>
                    <a:ln>
                      <a:noFill/>
                    </a:ln>
                  </pic:spPr>
                </pic:pic>
              </a:graphicData>
            </a:graphic>
          </wp:inline>
        </w:drawing>
      </w:r>
    </w:p>
    <w:p w14:paraId="02C104B1">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41DDBABD">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7251C697">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463C8F35">
      <w:pPr>
        <w:pStyle w:val="23"/>
        <w:adjustRightInd w:val="0"/>
        <w:snapToGrid w:val="0"/>
        <w:spacing w:before="0" w:beforeAutospacing="0" w:after="0" w:afterAutospacing="0"/>
        <w:outlineLvl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附图8 韶关市大气环境功能区划图</w:t>
      </w:r>
    </w:p>
    <w:p w14:paraId="1C4EC3F1">
      <w:pPr>
        <w:pStyle w:val="23"/>
        <w:adjustRightInd w:val="0"/>
        <w:snapToGrid w:val="0"/>
        <w:spacing w:before="0" w:beforeAutospacing="0" w:after="0" w:afterAutospacing="0"/>
        <w:jc w:val="center"/>
        <w:outlineLvl w:val="0"/>
        <w:rPr>
          <w:rFonts w:hint="default" w:ascii="Times New Roman" w:hAnsi="Times New Roman" w:eastAsia="黑体" w:cs="Times New Roman"/>
          <w:color w:val="auto"/>
          <w:highlight w:val="none"/>
        </w:rPr>
      </w:pPr>
      <w:r>
        <w:rPr>
          <w:rFonts w:hint="default" w:ascii="Times New Roman" w:hAnsi="Times New Roman" w:cs="Times New Roman"/>
          <w:color w:val="auto"/>
          <w:highlight w:val="none"/>
        </w:rPr>
        <mc:AlternateContent>
          <mc:Choice Requires="wpg">
            <w:drawing>
              <wp:anchor distT="0" distB="0" distL="114300" distR="114300" simplePos="0" relativeHeight="251668480" behindDoc="0" locked="0" layoutInCell="1" allowOverlap="1">
                <wp:simplePos x="0" y="0"/>
                <wp:positionH relativeFrom="column">
                  <wp:posOffset>2754630</wp:posOffset>
                </wp:positionH>
                <wp:positionV relativeFrom="paragraph">
                  <wp:posOffset>1663065</wp:posOffset>
                </wp:positionV>
                <wp:extent cx="1217295" cy="699135"/>
                <wp:effectExtent l="12700" t="12700" r="27305" b="12065"/>
                <wp:wrapNone/>
                <wp:docPr id="277" name="组合 277"/>
                <wp:cNvGraphicFramePr/>
                <a:graphic xmlns:a="http://schemas.openxmlformats.org/drawingml/2006/main">
                  <a:graphicData uri="http://schemas.microsoft.com/office/word/2010/wordprocessingGroup">
                    <wpg:wgp>
                      <wpg:cNvGrpSpPr/>
                      <wpg:grpSpPr>
                        <a:xfrm>
                          <a:off x="0" y="0"/>
                          <a:ext cx="1217295" cy="699135"/>
                          <a:chOff x="8139" y="1208189"/>
                          <a:chExt cx="1917" cy="1101"/>
                        </a:xfrm>
                      </wpg:grpSpPr>
                      <wps:wsp>
                        <wps:cNvPr id="385" name="圆角矩形标注 385"/>
                        <wps:cNvSpPr/>
                        <wps:spPr>
                          <a:xfrm>
                            <a:off x="8574" y="1208828"/>
                            <a:ext cx="1483" cy="462"/>
                          </a:xfrm>
                          <a:prstGeom prst="wedgeRoundRectCallout">
                            <a:avLst>
                              <a:gd name="adj1" fmla="val -71037"/>
                              <a:gd name="adj2" fmla="val -160824"/>
                              <a:gd name="adj3" fmla="val 16667"/>
                            </a:avLst>
                          </a:prstGeom>
                          <a:solidFill>
                            <a:srgbClr val="FFFFFF"/>
                          </a:solidFill>
                          <a:ln w="19050" cap="flat" cmpd="sng">
                            <a:solidFill>
                              <a:srgbClr val="FF0000"/>
                            </a:solidFill>
                            <a:prstDash val="solid"/>
                            <a:miter/>
                            <a:headEnd type="none" w="med" len="med"/>
                            <a:tailEnd type="none" w="med" len="med"/>
                          </a:ln>
                        </wps:spPr>
                        <wps:txbx>
                          <w:txbxContent>
                            <w:p w14:paraId="6E821C72">
                              <w:pPr>
                                <w:rPr>
                                  <w:b/>
                                  <w:color w:val="FF0000"/>
                                </w:rPr>
                              </w:pPr>
                              <w:r>
                                <w:rPr>
                                  <w:rFonts w:hint="eastAsia"/>
                                  <w:b/>
                                  <w:color w:val="FF0000"/>
                                </w:rPr>
                                <w:t xml:space="preserve">项目所在地            </w:t>
                              </w:r>
                            </w:p>
                          </w:txbxContent>
                        </wps:txbx>
                        <wps:bodyPr upright="1"/>
                      </wps:wsp>
                      <wps:wsp>
                        <wps:cNvPr id="270" name="五角星 270"/>
                        <wps:cNvSpPr/>
                        <wps:spPr>
                          <a:xfrm>
                            <a:off x="8139" y="1208189"/>
                            <a:ext cx="150" cy="163"/>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16.9pt;margin-top:130.95pt;height:55.05pt;width:95.85pt;z-index:251668480;mso-width-relative:page;mso-height-relative:page;" coordorigin="8139,1208189" coordsize="1917,1101" o:gfxdata="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">
                <o:lock v:ext="edit" aspectratio="f"/>
                <v:shape id="_x0000_s1026" o:spid="_x0000_s1026" o:spt="62" type="#_x0000_t62" style="position:absolute;left:8574;top:1208828;height:462;width:1483;" fillcolor="#FFFFFF" filled="t" stroked="t" coordsize="21600,21600" o:gfxdata="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FiqWvQAA&#10;ANwAAAAPAAAAAAAAAAEAIAAAACIAAABkcnMvZG93bnJldi54bWxQSwECFAAUAAAACACHTuJAMy8F&#10;njsAAAA5AAAAEAAAAAAAAAABACAAAAAMAQAAZHJzL3NoYXBleG1sLnhtbFBLBQYAAAAABgAGAFsB&#10;AAC2AwAAAAA=&#10;" adj="-4544,-23938,14400">
                  <v:fill on="t" focussize="0,0"/>
                  <v:stroke weight="1.5pt" color="#FF0000" joinstyle="miter"/>
                  <v:imagedata o:title=""/>
                  <o:lock v:ext="edit" aspectratio="f"/>
                  <v:textbox>
                    <w:txbxContent>
                      <w:p w14:paraId="6E821C72">
                        <w:pPr>
                          <w:rPr>
                            <w:b/>
                            <w:color w:val="FF0000"/>
                          </w:rPr>
                        </w:pPr>
                        <w:r>
                          <w:rPr>
                            <w:rFonts w:hint="eastAsia"/>
                            <w:b/>
                            <w:color w:val="FF0000"/>
                          </w:rPr>
                          <w:t xml:space="preserve">项目所在地            </w:t>
                        </w:r>
                      </w:p>
                    </w:txbxContent>
                  </v:textbox>
                </v:shape>
                <v:shape id="_x0000_s1026" o:spid="_x0000_s1026" style="position:absolute;left:8139;top:1208189;height:163;width:150;v-text-anchor:middle;" fillcolor="#FF0000" filled="t" stroked="t" coordsize="150,163" o:gfxdata="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QlXUG2AAAA3AAAAA8A&#10;AAAAAAAAAQAgAAAAIgAAAGRycy9kb3ducmV2LnhtbFBLAQIUABQAAAAIAIdO4kAzLwWeOwAAADkA&#10;AAAQAAAAAAAAAAEAIAAAAAUBAABkcnMvc2hhcGV4bWwueG1sUEsFBgAAAAAGAAYAWwEAAK8DAAAA&#10;AA==&#10;" path="m0,62l57,62,75,0,92,62,149,62,103,100,121,162,75,124,28,162,46,100xe">
                  <v:path o:connectlocs="75,0;0,62;28,162;121,162;149,62" o:connectangles="247,164,82,82,0"/>
                  <v:fill on="t" focussize="0,0"/>
                  <v:stroke weight="2pt" color="#FF0000 [2404]" joinstyle="round"/>
                  <v:imagedata o:title=""/>
                  <o:lock v:ext="edit" aspectratio="f"/>
                </v:shape>
              </v:group>
            </w:pict>
          </mc:Fallback>
        </mc:AlternateContent>
      </w:r>
      <w:r>
        <w:rPr>
          <w:rFonts w:hint="default" w:ascii="Times New Roman" w:hAnsi="Times New Roman" w:eastAsia="黑体" w:cs="Times New Roman"/>
          <w:color w:val="auto"/>
          <w:highlight w:val="none"/>
        </w:rPr>
        <w:drawing>
          <wp:inline distT="0" distB="0" distL="0" distR="0">
            <wp:extent cx="7597775" cy="5361940"/>
            <wp:effectExtent l="0" t="0" r="3175" b="10160"/>
            <wp:docPr id="380" name="图片 380" descr="页面提取自－附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80" descr="页面提取自－附件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7597775" cy="5361940"/>
                    </a:xfrm>
                    <a:prstGeom prst="rect">
                      <a:avLst/>
                    </a:prstGeom>
                    <a:noFill/>
                    <a:ln>
                      <a:noFill/>
                    </a:ln>
                  </pic:spPr>
                </pic:pic>
              </a:graphicData>
            </a:graphic>
          </wp:inline>
        </w:drawing>
      </w:r>
    </w:p>
    <w:p w14:paraId="14BFA64E">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175BC931">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374221E3">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7F1AC712">
      <w:pPr>
        <w:pStyle w:val="23"/>
        <w:adjustRightInd w:val="0"/>
        <w:snapToGrid w:val="0"/>
        <w:spacing w:before="0" w:beforeAutospacing="0" w:after="0" w:afterAutospacing="0"/>
        <w:outlineLvl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附图9 韶关市生态保护红线分布图</w:t>
      </w:r>
    </w:p>
    <w:p w14:paraId="4153F3ED">
      <w:pPr>
        <w:pStyle w:val="23"/>
        <w:adjustRightInd w:val="0"/>
        <w:snapToGrid w:val="0"/>
        <w:spacing w:before="0" w:beforeAutospacing="0" w:after="0" w:afterAutospacing="0"/>
        <w:jc w:val="center"/>
        <w:outlineLvl w:val="0"/>
        <w:rPr>
          <w:rFonts w:hint="default" w:ascii="Times New Roman" w:hAnsi="Times New Roman" w:eastAsia="黑体" w:cs="Times New Roman"/>
          <w:color w:val="auto"/>
          <w:highlight w:val="none"/>
        </w:rPr>
      </w:pPr>
      <w:r>
        <w:rPr>
          <w:rFonts w:hint="default" w:ascii="Times New Roman" w:hAnsi="Times New Roman" w:cs="Times New Roman"/>
          <w:color w:val="auto"/>
          <w:highlight w:val="none"/>
        </w:rPr>
        <mc:AlternateContent>
          <mc:Choice Requires="wpg">
            <w:drawing>
              <wp:anchor distT="0" distB="0" distL="114300" distR="114300" simplePos="0" relativeHeight="251666432" behindDoc="0" locked="0" layoutInCell="1" allowOverlap="1">
                <wp:simplePos x="0" y="0"/>
                <wp:positionH relativeFrom="column">
                  <wp:posOffset>1690370</wp:posOffset>
                </wp:positionH>
                <wp:positionV relativeFrom="paragraph">
                  <wp:posOffset>1720850</wp:posOffset>
                </wp:positionV>
                <wp:extent cx="1104900" cy="628650"/>
                <wp:effectExtent l="9525" t="12700" r="9525" b="25400"/>
                <wp:wrapNone/>
                <wp:docPr id="276" name="组合 276"/>
                <wp:cNvGraphicFramePr/>
                <a:graphic xmlns:a="http://schemas.openxmlformats.org/drawingml/2006/main">
                  <a:graphicData uri="http://schemas.microsoft.com/office/word/2010/wordprocessingGroup">
                    <wpg:wgp>
                      <wpg:cNvGrpSpPr/>
                      <wpg:grpSpPr>
                        <a:xfrm>
                          <a:off x="0" y="0"/>
                          <a:ext cx="1104900" cy="628650"/>
                          <a:chOff x="6470" y="1220201"/>
                          <a:chExt cx="1740" cy="990"/>
                        </a:xfrm>
                      </wpg:grpSpPr>
                      <wps:wsp>
                        <wps:cNvPr id="388" name="圆角矩形标注 388"/>
                        <wps:cNvSpPr/>
                        <wps:spPr>
                          <a:xfrm>
                            <a:off x="6470" y="1220689"/>
                            <a:ext cx="1740" cy="502"/>
                          </a:xfrm>
                          <a:prstGeom prst="wedgeRoundRectCallout">
                            <a:avLst>
                              <a:gd name="adj1" fmla="val 39540"/>
                              <a:gd name="adj2" fmla="val -115936"/>
                              <a:gd name="adj3" fmla="val 16667"/>
                            </a:avLst>
                          </a:prstGeom>
                          <a:noFill/>
                          <a:ln w="19050" cap="flat" cmpd="sng">
                            <a:solidFill>
                              <a:srgbClr val="17365D"/>
                            </a:solidFill>
                            <a:prstDash val="solid"/>
                            <a:miter/>
                            <a:headEnd type="none" w="med" len="med"/>
                            <a:tailEnd type="none" w="med" len="med"/>
                          </a:ln>
                        </wps:spPr>
                        <wps:txbx>
                          <w:txbxContent>
                            <w:p w14:paraId="23577852">
                              <w:pPr>
                                <w:rPr>
                                  <w:b/>
                                  <w:color w:val="1F497D"/>
                                  <w:sz w:val="24"/>
                                </w:rPr>
                              </w:pPr>
                              <w:r>
                                <w:rPr>
                                  <w:rFonts w:hint="eastAsia"/>
                                  <w:b/>
                                  <w:color w:val="1F497D"/>
                                  <w:sz w:val="24"/>
                                </w:rPr>
                                <w:t xml:space="preserve">项目所在地          </w:t>
                              </w:r>
                            </w:p>
                          </w:txbxContent>
                        </wps:txbx>
                        <wps:bodyPr upright="1"/>
                      </wps:wsp>
                      <wps:wsp>
                        <wps:cNvPr id="271" name="五角星 271"/>
                        <wps:cNvSpPr/>
                        <wps:spPr>
                          <a:xfrm>
                            <a:off x="7977" y="1220201"/>
                            <a:ext cx="150" cy="163"/>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33.1pt;margin-top:135.5pt;height:49.5pt;width:87pt;z-index:251666432;mso-width-relative:page;mso-height-relative:page;" coordorigin="6470,1220201" coordsize="1740,990" o:gfxdata="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&#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">
                <o:lock v:ext="edit" aspectratio="f"/>
                <v:shape id="_x0000_s1026" o:spid="_x0000_s1026" o:spt="62" type="#_x0000_t62" style="position:absolute;left:6470;top:1220689;height:502;width:1740;" filled="f" stroked="t" coordsize="21600,21600" o:gfxdata="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f85utwAAANwAAAAP&#10;AAAAAAAAAAEAIAAAACIAAABkcnMvZG93bnJldi54bWxQSwECFAAUAAAACACHTuJAMy8FnjsAAAA5&#10;AAAAEAAAAAAAAAABACAAAAAGAQAAZHJzL3NoYXBleG1sLnhtbFBLBQYAAAAABgAGAFsBAACwAwAA&#10;AAA=&#10;" adj="19341,-14242,14400">
                  <v:fill on="f" focussize="0,0"/>
                  <v:stroke weight="1.5pt" color="#17365D" joinstyle="miter"/>
                  <v:imagedata o:title=""/>
                  <o:lock v:ext="edit" aspectratio="f"/>
                  <v:textbox>
                    <w:txbxContent>
                      <w:p w14:paraId="23577852">
                        <w:pPr>
                          <w:rPr>
                            <w:b/>
                            <w:color w:val="1F497D"/>
                            <w:sz w:val="24"/>
                          </w:rPr>
                        </w:pPr>
                        <w:r>
                          <w:rPr>
                            <w:rFonts w:hint="eastAsia"/>
                            <w:b/>
                            <w:color w:val="1F497D"/>
                            <w:sz w:val="24"/>
                          </w:rPr>
                          <w:t xml:space="preserve">项目所在地          </w:t>
                        </w:r>
                      </w:p>
                    </w:txbxContent>
                  </v:textbox>
                </v:shape>
                <v:shape id="_x0000_s1026" o:spid="_x0000_s1026" style="position:absolute;left:7977;top:1220201;height:163;width:150;v-text-anchor:middle;" fillcolor="#FF0000" filled="t" stroked="t" coordsize="150,163" o:gfxdata="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tp+Nq5AAAA3AAA&#10;AA8AAAAAAAAAAQAgAAAAIgAAAGRycy9kb3ducmV2LnhtbFBLAQIUABQAAAAIAIdO4kAzLwWeOwAA&#10;ADkAAAAQAAAAAAAAAAEAIAAAAAgBAABkcnMvc2hhcGV4bWwueG1sUEsFBgAAAAAGAAYAWwEAALID&#10;AAAAAA==&#10;" path="m0,62l57,62,75,0,92,62,149,62,103,100,121,162,75,124,28,162,46,100xe">
                  <v:path o:connectlocs="75,0;0,62;28,162;121,162;149,62" o:connectangles="247,164,82,82,0"/>
                  <v:fill on="t" focussize="0,0"/>
                  <v:stroke weight="2pt" color="#FF0000 [2404]" joinstyle="round"/>
                  <v:imagedata o:title=""/>
                  <o:lock v:ext="edit" aspectratio="f"/>
                </v:shape>
              </v:group>
            </w:pict>
          </mc:Fallback>
        </mc:AlternateContent>
      </w:r>
      <w:r>
        <w:rPr>
          <w:rFonts w:hint="default" w:ascii="Times New Roman" w:hAnsi="Times New Roman" w:eastAsia="黑体" w:cs="Times New Roman"/>
          <w:color w:val="auto"/>
          <w:highlight w:val="none"/>
        </w:rPr>
        <w:drawing>
          <wp:inline distT="0" distB="0" distL="0" distR="0">
            <wp:extent cx="7597775" cy="5153660"/>
            <wp:effectExtent l="0" t="0" r="3175" b="8890"/>
            <wp:docPr id="20" name="图片 20" descr="页面提取自－附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页面提取自－附件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7597775" cy="5153660"/>
                    </a:xfrm>
                    <a:prstGeom prst="rect">
                      <a:avLst/>
                    </a:prstGeom>
                    <a:noFill/>
                    <a:ln>
                      <a:noFill/>
                    </a:ln>
                  </pic:spPr>
                </pic:pic>
              </a:graphicData>
            </a:graphic>
          </wp:inline>
        </w:drawing>
      </w:r>
    </w:p>
    <w:p w14:paraId="4CC1A4A3">
      <w:pPr>
        <w:pStyle w:val="23"/>
        <w:adjustRightInd w:val="0"/>
        <w:snapToGrid w:val="0"/>
        <w:spacing w:before="0" w:beforeAutospacing="0" w:after="0" w:afterAutospacing="0"/>
        <w:jc w:val="center"/>
        <w:outlineLvl w:val="0"/>
        <w:rPr>
          <w:rFonts w:hint="default" w:ascii="Times New Roman" w:hAnsi="Times New Roman" w:eastAsia="黑体" w:cs="Times New Roman"/>
          <w:color w:val="auto"/>
          <w:highlight w:val="none"/>
        </w:rPr>
      </w:pPr>
    </w:p>
    <w:p w14:paraId="3BD5DD61">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169A95C0">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436FB37A">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2F452929">
      <w:pPr>
        <w:pStyle w:val="23"/>
        <w:adjustRightInd w:val="0"/>
        <w:snapToGrid w:val="0"/>
        <w:spacing w:before="0" w:beforeAutospacing="0" w:after="0" w:afterAutospacing="0"/>
        <w:outlineLvl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附图10 韶关市自然保护地分布图</w:t>
      </w:r>
    </w:p>
    <w:p w14:paraId="0B48DB92">
      <w:pPr>
        <w:pStyle w:val="23"/>
        <w:adjustRightInd w:val="0"/>
        <w:snapToGrid w:val="0"/>
        <w:spacing w:before="0" w:beforeAutospacing="0" w:after="0" w:afterAutospacing="0"/>
        <w:jc w:val="center"/>
        <w:outlineLvl w:val="0"/>
        <w:rPr>
          <w:rFonts w:hint="default" w:ascii="Times New Roman" w:hAnsi="Times New Roman" w:eastAsia="黑体" w:cs="Times New Roman"/>
          <w:color w:val="auto"/>
          <w:highlight w:val="none"/>
        </w:rPr>
      </w:pPr>
      <w:r>
        <w:rPr>
          <w:rFonts w:hint="default" w:ascii="Times New Roman" w:hAnsi="Times New Roman" w:cs="Times New Roman"/>
          <w:color w:val="auto"/>
          <w:highlight w:val="none"/>
        </w:rPr>
        <mc:AlternateContent>
          <mc:Choice Requires="wpg">
            <w:drawing>
              <wp:anchor distT="0" distB="0" distL="114300" distR="114300" simplePos="0" relativeHeight="251667456" behindDoc="0" locked="0" layoutInCell="1" allowOverlap="1">
                <wp:simplePos x="0" y="0"/>
                <wp:positionH relativeFrom="column">
                  <wp:posOffset>2801620</wp:posOffset>
                </wp:positionH>
                <wp:positionV relativeFrom="paragraph">
                  <wp:posOffset>1648460</wp:posOffset>
                </wp:positionV>
                <wp:extent cx="1132840" cy="676910"/>
                <wp:effectExtent l="12700" t="12700" r="16510" b="15240"/>
                <wp:wrapNone/>
                <wp:docPr id="275" name="组合 275"/>
                <wp:cNvGraphicFramePr/>
                <a:graphic xmlns:a="http://schemas.openxmlformats.org/drawingml/2006/main">
                  <a:graphicData uri="http://schemas.microsoft.com/office/word/2010/wordprocessingGroup">
                    <wpg:wgp>
                      <wpg:cNvGrpSpPr/>
                      <wpg:grpSpPr>
                        <a:xfrm>
                          <a:off x="0" y="0"/>
                          <a:ext cx="1132840" cy="676910"/>
                          <a:chOff x="8181" y="1232418"/>
                          <a:chExt cx="1784" cy="1066"/>
                        </a:xfrm>
                      </wpg:grpSpPr>
                      <wps:wsp>
                        <wps:cNvPr id="391" name="圆角矩形标注 391"/>
                        <wps:cNvSpPr/>
                        <wps:spPr>
                          <a:xfrm>
                            <a:off x="8225" y="1232982"/>
                            <a:ext cx="1740" cy="502"/>
                          </a:xfrm>
                          <a:prstGeom prst="wedgeRoundRectCallout">
                            <a:avLst>
                              <a:gd name="adj1" fmla="val -47413"/>
                              <a:gd name="adj2" fmla="val -148207"/>
                              <a:gd name="adj3" fmla="val 16667"/>
                            </a:avLst>
                          </a:prstGeom>
                          <a:noFill/>
                          <a:ln w="19050" cap="flat" cmpd="sng">
                            <a:solidFill>
                              <a:srgbClr val="FF0000"/>
                            </a:solidFill>
                            <a:prstDash val="solid"/>
                            <a:miter/>
                            <a:headEnd type="none" w="med" len="med"/>
                            <a:tailEnd type="none" w="med" len="med"/>
                          </a:ln>
                        </wps:spPr>
                        <wps:txbx>
                          <w:txbxContent>
                            <w:p w14:paraId="09030992">
                              <w:pPr>
                                <w:rPr>
                                  <w:b/>
                                  <w:color w:val="FF0000"/>
                                  <w:sz w:val="24"/>
                                </w:rPr>
                              </w:pPr>
                              <w:r>
                                <w:rPr>
                                  <w:rFonts w:hint="eastAsia"/>
                                  <w:b/>
                                  <w:color w:val="FF0000"/>
                                  <w:sz w:val="24"/>
                                </w:rPr>
                                <w:t xml:space="preserve">项目所在地          </w:t>
                              </w:r>
                            </w:p>
                          </w:txbxContent>
                        </wps:txbx>
                        <wps:bodyPr upright="1"/>
                      </wps:wsp>
                      <wps:wsp>
                        <wps:cNvPr id="272" name="五角星 272"/>
                        <wps:cNvSpPr/>
                        <wps:spPr>
                          <a:xfrm>
                            <a:off x="8181" y="1232418"/>
                            <a:ext cx="150" cy="163"/>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20.6pt;margin-top:129.8pt;height:53.3pt;width:89.2pt;z-index:251667456;mso-width-relative:page;mso-height-relative:page;" coordorigin="8181,1232418" coordsize="1784,1066" o:gfxdata="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">
                <o:lock v:ext="edit" aspectratio="f"/>
                <v:shape id="_x0000_s1026" o:spid="_x0000_s1026" o:spt="62" type="#_x0000_t62" style="position:absolute;left:8225;top:1232982;height:502;width:1740;" filled="f" stroked="t" coordsize="21600,21600" o:gfxdata="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hMC74A&#10;AADcAAAADwAAAAAAAAABACAAAAAiAAAAZHJzL2Rvd25yZXYueG1sUEsBAhQAFAAAAAgAh07iQDMv&#10;BZ47AAAAOQAAABAAAAAAAAAAAQAgAAAADQEAAGRycy9zaGFwZXhtbC54bWxQSwUGAAAAAAYABgBb&#10;AQAAtwMAAAAA&#10;" adj="559,-21213,14400">
                  <v:fill on="f" focussize="0,0"/>
                  <v:stroke weight="1.5pt" color="#FF0000" joinstyle="miter"/>
                  <v:imagedata o:title=""/>
                  <o:lock v:ext="edit" aspectratio="f"/>
                  <v:textbox>
                    <w:txbxContent>
                      <w:p w14:paraId="09030992">
                        <w:pPr>
                          <w:rPr>
                            <w:b/>
                            <w:color w:val="FF0000"/>
                            <w:sz w:val="24"/>
                          </w:rPr>
                        </w:pPr>
                        <w:r>
                          <w:rPr>
                            <w:rFonts w:hint="eastAsia"/>
                            <w:b/>
                            <w:color w:val="FF0000"/>
                            <w:sz w:val="24"/>
                          </w:rPr>
                          <w:t xml:space="preserve">项目所在地          </w:t>
                        </w:r>
                      </w:p>
                    </w:txbxContent>
                  </v:textbox>
                </v:shape>
                <v:shape id="_x0000_s1026" o:spid="_x0000_s1026" style="position:absolute;left:8181;top:1232418;height:163;width:150;v-text-anchor:middle;" fillcolor="#FF0000" filled="t" stroked="t" coordsize="150,163" o:gfxdata="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u7Zq25AAAA3AAA&#10;AA8AAAAAAAAAAQAgAAAAIgAAAGRycy9kb3ducmV2LnhtbFBLAQIUABQAAAAIAIdO4kAzLwWeOwAA&#10;ADkAAAAQAAAAAAAAAAEAIAAAAAgBAABkcnMvc2hhcGV4bWwueG1sUEsFBgAAAAAGAAYAWwEAALID&#10;AAAAAA==&#10;" path="m0,62l57,62,75,0,92,62,149,62,103,100,121,162,75,124,28,162,46,100xe">
                  <v:path o:connectlocs="75,0;0,62;28,162;121,162;149,62" o:connectangles="247,164,82,82,0"/>
                  <v:fill on="t" focussize="0,0"/>
                  <v:stroke weight="2pt" color="#FF0000 [2404]" joinstyle="round"/>
                  <v:imagedata o:title=""/>
                  <o:lock v:ext="edit" aspectratio="f"/>
                </v:shape>
              </v:group>
            </w:pict>
          </mc:Fallback>
        </mc:AlternateContent>
      </w:r>
      <w:r>
        <w:rPr>
          <w:rFonts w:hint="default" w:ascii="Times New Roman" w:hAnsi="Times New Roman" w:eastAsia="黑体" w:cs="Times New Roman"/>
          <w:color w:val="auto"/>
          <w:highlight w:val="none"/>
          <w:shd w:val="clear" w:color="auto" w:fill="FF0000"/>
        </w:rPr>
        <w:drawing>
          <wp:inline distT="0" distB="0" distL="0" distR="0">
            <wp:extent cx="7522845" cy="5304155"/>
            <wp:effectExtent l="0" t="0" r="0" b="0"/>
            <wp:docPr id="726" name="图片 726" descr="I:\韩霞\16韩霞整理标准资料\14广东省韶关市政策文件\发布2020-2035年生态环保规划材料（正式文）\图集\自然保护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图片 726" descr="I:\韩霞\16韩霞整理标准资料\14广东省韶关市政策文件\发布2020-2035年生态环保规划材料（正式文）\图集\自然保护区.png"/>
                    <pic:cNvPicPr>
                      <a:picLocks noChangeAspect="1" noChangeArrowheads="1"/>
                    </pic:cNvPicPr>
                  </pic:nvPicPr>
                  <pic:blipFill>
                    <a:blip r:embed="rId49" cstate="print">
                      <a:extLst>
                        <a:ext uri="{28A0092B-C50C-407E-A947-70E740481C1C}">
                          <a14:useLocalDpi xmlns:a14="http://schemas.microsoft.com/office/drawing/2010/main" val="0"/>
                        </a:ext>
                      </a:extLst>
                    </a:blip>
                    <a:srcRect t="283" r="1135" b="1051"/>
                    <a:stretch>
                      <a:fillRect/>
                    </a:stretch>
                  </pic:blipFill>
                  <pic:spPr>
                    <a:xfrm>
                      <a:off x="0" y="0"/>
                      <a:ext cx="7522845" cy="5304155"/>
                    </a:xfrm>
                    <a:prstGeom prst="rect">
                      <a:avLst/>
                    </a:prstGeom>
                    <a:noFill/>
                    <a:ln>
                      <a:noFill/>
                    </a:ln>
                  </pic:spPr>
                </pic:pic>
              </a:graphicData>
            </a:graphic>
          </wp:inline>
        </w:drawing>
      </w:r>
    </w:p>
    <w:p w14:paraId="051C2312">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237A1167">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p>
    <w:p w14:paraId="1CFA682C">
      <w:pPr>
        <w:pStyle w:val="23"/>
        <w:adjustRightInd w:val="0"/>
        <w:snapToGrid w:val="0"/>
        <w:spacing w:before="0" w:beforeAutospacing="0" w:after="0" w:afterAutospacing="0"/>
        <w:outlineLvl w:val="0"/>
        <w:rPr>
          <w:rFonts w:hint="default" w:ascii="Times New Roman" w:hAnsi="Times New Roman" w:cs="Times New Roman"/>
          <w:b/>
          <w:bCs/>
          <w:color w:val="auto"/>
          <w:highlight w:val="none"/>
        </w:rPr>
      </w:pPr>
    </w:p>
    <w:p w14:paraId="4D7B2BF6">
      <w:pPr>
        <w:pStyle w:val="23"/>
        <w:adjustRightInd w:val="0"/>
        <w:snapToGrid w:val="0"/>
        <w:spacing w:before="0" w:beforeAutospacing="0" w:after="0" w:afterAutospacing="0"/>
        <w:outlineLvl w:val="0"/>
        <w:rPr>
          <w:rFonts w:hint="default" w:ascii="Times New Roman" w:hAnsi="Times New Roman" w:eastAsia="黑体" w:cs="Times New Roman"/>
          <w:color w:val="auto"/>
          <w:highlight w:val="none"/>
        </w:rPr>
      </w:pPr>
      <w:r>
        <w:rPr>
          <w:rFonts w:hint="default" w:ascii="Times New Roman" w:hAnsi="Times New Roman" w:cs="Times New Roman"/>
          <w:b/>
          <w:bCs/>
          <w:color w:val="auto"/>
          <w:highlight w:val="none"/>
        </w:rPr>
        <w:t>附图11 韶关市城镇集中式饮用水源地分布图</w:t>
      </w:r>
    </w:p>
    <w:p w14:paraId="09525D41">
      <w:pPr>
        <w:pStyle w:val="8"/>
        <w:rPr>
          <w:rFonts w:hint="default" w:ascii="Times New Roman" w:hAnsi="Times New Roman" w:cs="Times New Roman"/>
          <w:color w:val="auto"/>
          <w:highlight w:val="none"/>
        </w:rPr>
        <w:sectPr>
          <w:pgSz w:w="16838" w:h="11906" w:orient="landscape"/>
          <w:pgMar w:top="1134" w:right="1134" w:bottom="1134" w:left="1134" w:header="851" w:footer="851" w:gutter="0"/>
          <w:cols w:space="720" w:num="1"/>
          <w:docGrid w:linePitch="312" w:charSpace="0"/>
        </w:sectPr>
      </w:pPr>
      <w:r>
        <w:rPr>
          <w:rFonts w:hint="default" w:ascii="Times New Roman" w:hAnsi="Times New Roman" w:cs="Times New Roman"/>
          <w:color w:val="auto"/>
          <w:highlight w:val="none"/>
        </w:rPr>
        <mc:AlternateContent>
          <mc:Choice Requires="wpg">
            <w:drawing>
              <wp:anchor distT="0" distB="0" distL="114300" distR="114300" simplePos="0" relativeHeight="251665408" behindDoc="0" locked="0" layoutInCell="1" allowOverlap="1">
                <wp:simplePos x="0" y="0"/>
                <wp:positionH relativeFrom="column">
                  <wp:posOffset>1945640</wp:posOffset>
                </wp:positionH>
                <wp:positionV relativeFrom="paragraph">
                  <wp:posOffset>1111885</wp:posOffset>
                </wp:positionV>
                <wp:extent cx="1385570" cy="781685"/>
                <wp:effectExtent l="12700" t="9525" r="11430" b="27940"/>
                <wp:wrapNone/>
                <wp:docPr id="274" name="组合 274"/>
                <wp:cNvGraphicFramePr/>
                <a:graphic xmlns:a="http://schemas.openxmlformats.org/drawingml/2006/main">
                  <a:graphicData uri="http://schemas.microsoft.com/office/word/2010/wordprocessingGroup">
                    <wpg:wgp>
                      <wpg:cNvGrpSpPr/>
                      <wpg:grpSpPr>
                        <a:xfrm>
                          <a:off x="0" y="0"/>
                          <a:ext cx="1385570" cy="781685"/>
                          <a:chOff x="6790" y="1243783"/>
                          <a:chExt cx="2182" cy="1231"/>
                        </a:xfrm>
                      </wpg:grpSpPr>
                      <wps:wsp>
                        <wps:cNvPr id="394" name="圆角矩形标注 394"/>
                        <wps:cNvSpPr/>
                        <wps:spPr>
                          <a:xfrm>
                            <a:off x="7232" y="1243783"/>
                            <a:ext cx="1740" cy="502"/>
                          </a:xfrm>
                          <a:prstGeom prst="wedgeRoundRectCallout">
                            <a:avLst>
                              <a:gd name="adj1" fmla="val -67931"/>
                              <a:gd name="adj2" fmla="val 175898"/>
                              <a:gd name="adj3" fmla="val 16667"/>
                            </a:avLst>
                          </a:prstGeom>
                          <a:noFill/>
                          <a:ln w="19050" cap="flat" cmpd="sng">
                            <a:solidFill>
                              <a:srgbClr val="FF0000"/>
                            </a:solidFill>
                            <a:prstDash val="solid"/>
                            <a:miter/>
                            <a:headEnd type="none" w="med" len="med"/>
                            <a:tailEnd type="none" w="med" len="med"/>
                          </a:ln>
                        </wps:spPr>
                        <wps:txbx>
                          <w:txbxContent>
                            <w:p w14:paraId="20873070">
                              <w:pPr>
                                <w:rPr>
                                  <w:b/>
                                  <w:color w:val="FF0000"/>
                                  <w:sz w:val="24"/>
                                </w:rPr>
                              </w:pPr>
                              <w:r>
                                <w:rPr>
                                  <w:rFonts w:hint="eastAsia"/>
                                  <w:b/>
                                  <w:color w:val="FF0000"/>
                                  <w:sz w:val="24"/>
                                </w:rPr>
                                <w:t xml:space="preserve">项目所在地          </w:t>
                              </w:r>
                            </w:p>
                          </w:txbxContent>
                        </wps:txbx>
                        <wps:bodyPr upright="1"/>
                      </wps:wsp>
                      <wps:wsp>
                        <wps:cNvPr id="273" name="五角星 273"/>
                        <wps:cNvSpPr/>
                        <wps:spPr>
                          <a:xfrm>
                            <a:off x="6790" y="1244852"/>
                            <a:ext cx="150" cy="163"/>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53.2pt;margin-top:87.55pt;height:61.55pt;width:109.1pt;z-index:251665408;mso-width-relative:page;mso-height-relative:page;" coordorigin="6790,1243783" coordsize="2182,1231" o:gfxdata="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">
                <o:lock v:ext="edit" aspectratio="f"/>
                <v:shape id="_x0000_s1026" o:spid="_x0000_s1026" o:spt="62" type="#_x0000_t62" style="position:absolute;left:7232;top:1243783;height:502;width:1740;" filled="f" stroked="t" coordsize="21600,21600" o:gfxdata="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8W+e/&#10;AAAA3AAAAA8AAAAAAAAAAQAgAAAAIgAAAGRycy9kb3ducmV2LnhtbFBLAQIUABQAAAAIAIdO4kAz&#10;LwWeOwAAADkAAAAQAAAAAAAAAAEAIAAAAA4BAABkcnMvc2hhcGV4bWwueG1sUEsFBgAAAAAGAAYA&#10;WwEAALgDAAAAAA==&#10;" adj="-3873,48794,14400">
                  <v:fill on="f" focussize="0,0"/>
                  <v:stroke weight="1.5pt" color="#FF0000" joinstyle="miter"/>
                  <v:imagedata o:title=""/>
                  <o:lock v:ext="edit" aspectratio="f"/>
                  <v:textbox>
                    <w:txbxContent>
                      <w:p w14:paraId="20873070">
                        <w:pPr>
                          <w:rPr>
                            <w:b/>
                            <w:color w:val="FF0000"/>
                            <w:sz w:val="24"/>
                          </w:rPr>
                        </w:pPr>
                        <w:r>
                          <w:rPr>
                            <w:rFonts w:hint="eastAsia"/>
                            <w:b/>
                            <w:color w:val="FF0000"/>
                            <w:sz w:val="24"/>
                          </w:rPr>
                          <w:t xml:space="preserve">项目所在地          </w:t>
                        </w:r>
                      </w:p>
                    </w:txbxContent>
                  </v:textbox>
                </v:shape>
                <v:shape id="_x0000_s1026" o:spid="_x0000_s1026" style="position:absolute;left:6790;top:1244852;height:163;width:150;v-text-anchor:middle;" fillcolor="#FF0000" filled="t" stroked="t" coordsize="150,163" o:gfxdata="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T3wza5AAAA3AAA&#10;AA8AAAAAAAAAAQAgAAAAIgAAAGRycy9kb3ducmV2LnhtbFBLAQIUABQAAAAIAIdO4kAzLwWeOwAA&#10;ADkAAAAQAAAAAAAAAAEAIAAAAAgBAABkcnMvc2hhcGV4bWwueG1sUEsFBgAAAAAGAAYAWwEAALID&#10;AAAAAA==&#10;" path="m0,62l57,62,75,0,92,62,149,62,103,100,121,162,75,124,28,162,46,100xe">
                  <v:path o:connectlocs="75,0;0,62;28,162;121,162;149,62" o:connectangles="247,164,82,82,0"/>
                  <v:fill on="t" focussize="0,0"/>
                  <v:stroke weight="2pt" color="#FF0000 [2404]" joinstyle="round"/>
                  <v:imagedata o:title=""/>
                  <o:lock v:ext="edit" aspectratio="f"/>
                </v:shape>
              </v:group>
            </w:pict>
          </mc:Fallback>
        </mc:AlternateContent>
      </w:r>
      <w:r>
        <w:rPr>
          <w:rFonts w:hint="default" w:ascii="Times New Roman" w:hAnsi="Times New Roman" w:cs="Times New Roman"/>
          <w:color w:val="auto"/>
          <w:highlight w:val="none"/>
        </w:rPr>
        <w:drawing>
          <wp:inline distT="0" distB="0" distL="0" distR="0">
            <wp:extent cx="7628255" cy="5389245"/>
            <wp:effectExtent l="0" t="0" r="10795" b="1905"/>
            <wp:docPr id="727" name="图片 727" descr="I:\韩霞\16韩霞整理标准资料\14广东省韶关市政策文件\发布2020-2035年生态环保规划材料（正式文）\图集\附件4. 韶关市生态环境保护战略规划--图集_页面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图片 727" descr="I:\韩霞\16韩霞整理标准资料\14广东省韶关市政策文件\发布2020-2035年生态环保规划材料（正式文）\图集\附件4. 韶关市生态环境保护战略规划--图集_页面_29.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7629246" cy="5390223"/>
                    </a:xfrm>
                    <a:prstGeom prst="rect">
                      <a:avLst/>
                    </a:prstGeom>
                    <a:noFill/>
                    <a:ln>
                      <a:noFill/>
                    </a:ln>
                  </pic:spPr>
                </pic:pic>
              </a:graphicData>
            </a:graphic>
          </wp:inline>
        </w:drawing>
      </w:r>
    </w:p>
    <w:p w14:paraId="3D4E3A4B">
      <w:pPr>
        <w:pStyle w:val="8"/>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附图12 本项目与广东省“三区三线”图的关系</w:t>
      </w:r>
    </w:p>
    <w:p w14:paraId="7AD897D7">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mc:AlternateContent>
          <mc:Choice Requires="wpg">
            <w:drawing>
              <wp:anchor distT="0" distB="0" distL="114300" distR="114300" simplePos="0" relativeHeight="251727872" behindDoc="0" locked="0" layoutInCell="1" allowOverlap="1">
                <wp:simplePos x="0" y="0"/>
                <wp:positionH relativeFrom="column">
                  <wp:posOffset>6684010</wp:posOffset>
                </wp:positionH>
                <wp:positionV relativeFrom="paragraph">
                  <wp:posOffset>2712720</wp:posOffset>
                </wp:positionV>
                <wp:extent cx="1385570" cy="781685"/>
                <wp:effectExtent l="12700" t="9525" r="11430" b="27940"/>
                <wp:wrapNone/>
                <wp:docPr id="115" name="组合 115"/>
                <wp:cNvGraphicFramePr/>
                <a:graphic xmlns:a="http://schemas.openxmlformats.org/drawingml/2006/main">
                  <a:graphicData uri="http://schemas.microsoft.com/office/word/2010/wordprocessingGroup">
                    <wpg:wgp>
                      <wpg:cNvGrpSpPr/>
                      <wpg:grpSpPr>
                        <a:xfrm>
                          <a:off x="0" y="0"/>
                          <a:ext cx="1385570" cy="781685"/>
                          <a:chOff x="6790" y="1243783"/>
                          <a:chExt cx="2182" cy="1231"/>
                        </a:xfrm>
                      </wpg:grpSpPr>
                      <wps:wsp>
                        <wps:cNvPr id="117" name="圆角矩形标注 394"/>
                        <wps:cNvSpPr/>
                        <wps:spPr>
                          <a:xfrm>
                            <a:off x="7232" y="1243783"/>
                            <a:ext cx="1740" cy="502"/>
                          </a:xfrm>
                          <a:prstGeom prst="wedgeRoundRectCallout">
                            <a:avLst>
                              <a:gd name="adj1" fmla="val -67931"/>
                              <a:gd name="adj2" fmla="val 175898"/>
                              <a:gd name="adj3" fmla="val 16667"/>
                            </a:avLst>
                          </a:prstGeom>
                          <a:noFill/>
                          <a:ln w="19050" cap="flat" cmpd="sng">
                            <a:solidFill>
                              <a:srgbClr val="FF0000"/>
                            </a:solidFill>
                            <a:prstDash val="solid"/>
                            <a:miter/>
                            <a:headEnd type="none" w="med" len="med"/>
                            <a:tailEnd type="none" w="med" len="med"/>
                          </a:ln>
                        </wps:spPr>
                        <wps:txbx>
                          <w:txbxContent>
                            <w:p w14:paraId="2645DA9B">
                              <w:pPr>
                                <w:rPr>
                                  <w:b/>
                                  <w:color w:val="FF0000"/>
                                  <w:sz w:val="24"/>
                                </w:rPr>
                              </w:pPr>
                              <w:r>
                                <w:rPr>
                                  <w:rFonts w:hint="eastAsia"/>
                                  <w:b/>
                                  <w:color w:val="FF0000"/>
                                  <w:sz w:val="24"/>
                                </w:rPr>
                                <w:t xml:space="preserve">项目所在地          </w:t>
                              </w:r>
                            </w:p>
                          </w:txbxContent>
                        </wps:txbx>
                        <wps:bodyPr upright="1"/>
                      </wps:wsp>
                      <wps:wsp>
                        <wps:cNvPr id="118" name="五角星 273"/>
                        <wps:cNvSpPr/>
                        <wps:spPr>
                          <a:xfrm>
                            <a:off x="6790" y="1244852"/>
                            <a:ext cx="150" cy="163"/>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526.3pt;margin-top:213.6pt;height:61.55pt;width:109.1pt;z-index:251727872;mso-width-relative:page;mso-height-relative:page;" coordorigin="6790,1243783" coordsize="2182,1231" o:gfxdata="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GS9IbXbAAAADQEAAA8AAAAAAAAAAQAgAAAAIgAAAGRycy9kb3ducmV2&#10;LnhtbFBLAQIUABQAAAAIAIdO4kCCBvztwQMAANwIAAAOAAAAAAAAAAEAIAAAACoBAABkcnMvZTJv&#10;RG9jLnhtbFBLBQYAAAAABgAGAFkBAABdBwAAAAA=&#10;">
                <o:lock v:ext="edit" aspectratio="f"/>
                <v:shape id="圆角矩形标注 394" o:spid="_x0000_s1026" o:spt="62" type="#_x0000_t62" style="position:absolute;left:7232;top:1243783;height:502;width:1740;" filled="f" stroked="t" coordsize="21600,21600" o:gfxdata="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5qCu8AAAA&#10;3AAAAA8AAAAAAAAAAQAgAAAAIgAAAGRycy9kb3ducmV2LnhtbFBLAQIUABQAAAAIAIdO4kAzLwWe&#10;OwAAADkAAAAQAAAAAAAAAAEAIAAAAAsBAABkcnMvc2hhcGV4bWwueG1sUEsFBgAAAAAGAAYAWwEA&#10;ALUDAAAAAA==&#10;" adj="-3873,48794,14400">
                  <v:fill on="f" focussize="0,0"/>
                  <v:stroke weight="1.5pt" color="#FF0000" joinstyle="miter"/>
                  <v:imagedata o:title=""/>
                  <o:lock v:ext="edit" aspectratio="f"/>
                  <v:textbox>
                    <w:txbxContent>
                      <w:p w14:paraId="2645DA9B">
                        <w:pPr>
                          <w:rPr>
                            <w:b/>
                            <w:color w:val="FF0000"/>
                            <w:sz w:val="24"/>
                          </w:rPr>
                        </w:pPr>
                        <w:r>
                          <w:rPr>
                            <w:rFonts w:hint="eastAsia"/>
                            <w:b/>
                            <w:color w:val="FF0000"/>
                            <w:sz w:val="24"/>
                          </w:rPr>
                          <w:t xml:space="preserve">项目所在地          </w:t>
                        </w:r>
                      </w:p>
                    </w:txbxContent>
                  </v:textbox>
                </v:shape>
                <v:shape id="五角星 273" o:spid="_x0000_s1026" style="position:absolute;left:6790;top:1244852;height:163;width:150;v-text-anchor:middle;" fillcolor="#FF0000" filled="t" stroked="t" coordsize="150,163" o:gfxdata="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KnVm7sAAADc&#10;AAAADwAAAAAAAAABACAAAAAiAAAAZHJzL2Rvd25yZXYueG1sUEsBAhQAFAAAAAgAh07iQDMvBZ47&#10;AAAAOQAAABAAAAAAAAAAAQAgAAAACgEAAGRycy9zaGFwZXhtbC54bWxQSwUGAAAAAAYABgBbAQAA&#10;tAMAAAAA&#10;" path="m0,62l57,62,75,0,92,62,149,62,103,100,121,162,75,124,28,162,46,100xe">
                  <v:path o:connectlocs="75,0;0,62;28,162;121,162;149,62" o:connectangles="247,164,82,82,0"/>
                  <v:fill on="t" focussize="0,0"/>
                  <v:stroke weight="2pt" color="#FF0000 [2404]" joinstyle="round"/>
                  <v:imagedata o:title=""/>
                  <o:lock v:ext="edit" aspectratio="f"/>
                </v:shape>
              </v:group>
            </w:pict>
          </mc:Fallback>
        </mc:AlternateContent>
      </w:r>
      <w:r>
        <w:rPr>
          <w:rFonts w:hint="default" w:ascii="Times New Roman" w:hAnsi="Times New Roman" w:cs="Times New Roman"/>
          <w:color w:val="auto"/>
          <w:highlight w:val="none"/>
          <w:lang w:val="en-US" w:eastAsia="zh-CN"/>
        </w:rPr>
        <w:drawing>
          <wp:inline distT="0" distB="0" distL="114300" distR="114300">
            <wp:extent cx="9247505" cy="5443855"/>
            <wp:effectExtent l="0" t="0" r="10795" b="4445"/>
            <wp:docPr id="70" name="图片 70" descr="c5e932d8-94c4-45ae-92e3-c95988af34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c5e932d8-94c4-45ae-92e3-c95988af34e9"/>
                    <pic:cNvPicPr>
                      <a:picLocks noChangeAspect="1"/>
                    </pic:cNvPicPr>
                  </pic:nvPicPr>
                  <pic:blipFill>
                    <a:blip r:embed="rId51"/>
                    <a:stretch>
                      <a:fillRect/>
                    </a:stretch>
                  </pic:blipFill>
                  <pic:spPr>
                    <a:xfrm>
                      <a:off x="0" y="0"/>
                      <a:ext cx="9247505" cy="5443855"/>
                    </a:xfrm>
                    <a:prstGeom prst="rect">
                      <a:avLst/>
                    </a:prstGeom>
                  </pic:spPr>
                </pic:pic>
              </a:graphicData>
            </a:graphic>
          </wp:inline>
        </w:drawing>
      </w:r>
    </w:p>
    <w:sectPr>
      <w:pgSz w:w="16838" w:h="11906" w:orient="landscape"/>
      <w:pgMar w:top="1134" w:right="1134" w:bottom="1134" w:left="113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w:altName w:val="Times New Roman"/>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新宋体-18030">
    <w:altName w:val="微软雅黑"/>
    <w:panose1 w:val="00000000000000000000"/>
    <w:charset w:val="86"/>
    <w:family w:val="auto"/>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 w:name="宋体 ! important">
    <w:altName w:val="宋体"/>
    <w:panose1 w:val="00000000000000000000"/>
    <w:charset w:val="00"/>
    <w:family w:val="auto"/>
    <w:pitch w:val="default"/>
    <w:sig w:usb0="00000000" w:usb1="00000000" w:usb2="00000000" w:usb3="00000000" w:csb0="00040001" w:csb1="00000000"/>
  </w:font>
  <w:font w:name="Impact">
    <w:panose1 w:val="020B080603090205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方正小标宋_GBK">
    <w:altName w:val="微软雅黑"/>
    <w:panose1 w:val="00000000000000000000"/>
    <w:charset w:val="86"/>
    <w:family w:val="auto"/>
    <w:pitch w:val="default"/>
    <w:sig w:usb0="00000000" w:usb1="00000000" w:usb2="00000000" w:usb3="00000000" w:csb0="00040000" w:csb1="00000000"/>
  </w:font>
  <w:font w:name="KSOFA2FE2463">
    <w:panose1 w:val="020206030504050203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8E2A5">
    <w:pPr>
      <w:pStyle w:val="2"/>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9E0AB">
    <w:pPr>
      <w:pStyle w:val="2"/>
      <w:ind w:right="360"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2" name="文本框 2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4D46D7">
                          <w:pPr>
                            <w:pStyle w:val="2"/>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HEjUt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DHEjUtAgAAWQQAAA4AAAAAAAAAAQAgAAAAHwEAAGRycy9lMm9Eb2MueG1sUEsFBgAAAAAG&#10;AAYAWQEAAL4FAAAAAA==&#10;">
              <v:fill on="f" focussize="0,0"/>
              <v:stroke on="f" weight="0.5pt"/>
              <v:imagedata o:title=""/>
              <o:lock v:ext="edit" aspectratio="f"/>
              <v:textbox inset="0mm,0mm,0mm,0mm" style="mso-fit-shape-to-text:t;">
                <w:txbxContent>
                  <w:p w14:paraId="374D46D7">
                    <w:pPr>
                      <w:pStyle w:val="2"/>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C2661">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4D919">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2D738">
    <w:pPr>
      <w:pStyle w:val="2"/>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8168D">
    <w:pPr>
      <w:pStyle w:val="2"/>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20AC0">
    <w:pPr>
      <w:pStyle w:val="2"/>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87CF4">
    <w:pPr>
      <w:pStyle w:val="2"/>
      <w:ind w:right="360" w:firstLine="360"/>
    </w:pPr>
    <w: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7686E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4F7686E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8959">
    <w:pPr>
      <w:pStyle w:val="2"/>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 name="文本框 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135748">
                          <w:pPr>
                            <w:pStyle w:val="2"/>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MR5AtAgAAW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QMR5AtAgAAWQQAAA4AAAAAAAAAAQAgAAAAHwEAAGRycy9lMm9Eb2MueG1sUEsFBgAAAAAG&#10;AAYAWQEAAL4FAAAAAA==&#10;">
              <v:fill on="f" focussize="0,0"/>
              <v:stroke on="f" weight="0.5pt"/>
              <v:imagedata o:title=""/>
              <o:lock v:ext="edit" aspectratio="f"/>
              <v:textbox inset="0mm,0mm,0mm,0mm" style="mso-fit-shape-to-text:t;">
                <w:txbxContent>
                  <w:p w14:paraId="41135748">
                    <w:pPr>
                      <w:pStyle w:val="2"/>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FC4E4">
    <w:pPr>
      <w:pStyle w:val="2"/>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0" name="文本框 2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3227A8">
                          <w:pPr>
                            <w:pStyle w:val="2"/>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LF16RywCAABZBAAADgAAAAAAAAABACAAAAAfAQAAZHJzL2Uyb0RvYy54bWxQSwUGAAAAAAYA&#10;BgBZAQAAvQUAAAAA&#10;">
              <v:fill on="f" focussize="0,0"/>
              <v:stroke on="f" weight="0.5pt"/>
              <v:imagedata o:title=""/>
              <o:lock v:ext="edit" aspectratio="f"/>
              <v:textbox inset="0mm,0mm,0mm,0mm" style="mso-fit-shape-to-text:t;">
                <w:txbxContent>
                  <w:p w14:paraId="3B3227A8">
                    <w:pPr>
                      <w:pStyle w:val="2"/>
                    </w:pPr>
                    <w:r>
                      <w:fldChar w:fldCharType="begin"/>
                    </w:r>
                    <w:r>
                      <w:instrText xml:space="preserve"> PAGE  \* MERGEFORMAT </w:instrText>
                    </w:r>
                    <w:r>
                      <w:fldChar w:fldCharType="separate"/>
                    </w:r>
                    <w:r>
                      <w:t>68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0BF39"/>
    <w:multiLevelType w:val="singleLevel"/>
    <w:tmpl w:val="83C0BF39"/>
    <w:lvl w:ilvl="0" w:tentative="0">
      <w:start w:val="1"/>
      <w:numFmt w:val="chineseCounting"/>
      <w:suff w:val="nothing"/>
      <w:lvlText w:val="%1、"/>
      <w:lvlJc w:val="left"/>
      <w:rPr>
        <w:rFonts w:hint="eastAsia"/>
        <w:color w:val="auto"/>
      </w:rPr>
    </w:lvl>
  </w:abstractNum>
  <w:abstractNum w:abstractNumId="1">
    <w:nsid w:val="94E5F1DE"/>
    <w:multiLevelType w:val="singleLevel"/>
    <w:tmpl w:val="94E5F1DE"/>
    <w:lvl w:ilvl="0" w:tentative="0">
      <w:start w:val="1"/>
      <w:numFmt w:val="decimal"/>
      <w:suff w:val="nothing"/>
      <w:lvlText w:val="（%1）"/>
      <w:lvlJc w:val="left"/>
      <w:pPr>
        <w:ind w:left="210" w:firstLine="0"/>
      </w:pPr>
    </w:lvl>
  </w:abstractNum>
  <w:abstractNum w:abstractNumId="2">
    <w:nsid w:val="C5167E61"/>
    <w:multiLevelType w:val="singleLevel"/>
    <w:tmpl w:val="C5167E61"/>
    <w:lvl w:ilvl="0" w:tentative="0">
      <w:start w:val="1"/>
      <w:numFmt w:val="decimal"/>
      <w:lvlText w:val="%1."/>
      <w:lvlJc w:val="left"/>
      <w:pPr>
        <w:tabs>
          <w:tab w:val="left" w:pos="312"/>
        </w:tabs>
      </w:pPr>
    </w:lvl>
  </w:abstractNum>
  <w:abstractNum w:abstractNumId="3">
    <w:nsid w:val="D4E59ED8"/>
    <w:multiLevelType w:val="singleLevel"/>
    <w:tmpl w:val="D4E59ED8"/>
    <w:lvl w:ilvl="0" w:tentative="0">
      <w:start w:val="1"/>
      <w:numFmt w:val="upperLetter"/>
      <w:lvlText w:val="%1、"/>
      <w:lvlJc w:val="left"/>
      <w:pPr>
        <w:ind w:left="440" w:hanging="440"/>
      </w:pPr>
    </w:lvl>
  </w:abstractNum>
  <w:abstractNum w:abstractNumId="4">
    <w:nsid w:val="F4276FB2"/>
    <w:multiLevelType w:val="singleLevel"/>
    <w:tmpl w:val="F4276FB2"/>
    <w:lvl w:ilvl="0" w:tentative="0">
      <w:start w:val="1"/>
      <w:numFmt w:val="decimal"/>
      <w:suff w:val="nothing"/>
      <w:lvlText w:val="%1、"/>
      <w:lvlJc w:val="left"/>
    </w:lvl>
  </w:abstractNum>
  <w:abstractNum w:abstractNumId="5">
    <w:nsid w:val="0B557CDE"/>
    <w:multiLevelType w:val="singleLevel"/>
    <w:tmpl w:val="0B557CDE"/>
    <w:lvl w:ilvl="0" w:tentative="0">
      <w:start w:val="1"/>
      <w:numFmt w:val="bullet"/>
      <w:pStyle w:val="16"/>
      <w:lvlText w:val=""/>
      <w:lvlJc w:val="left"/>
      <w:pPr>
        <w:tabs>
          <w:tab w:val="left" w:pos="2040"/>
        </w:tabs>
        <w:ind w:left="2040" w:hanging="360"/>
      </w:pPr>
      <w:rPr>
        <w:rFonts w:hint="default" w:ascii="Wingdings" w:hAnsi="Wingdings"/>
      </w:rPr>
    </w:lvl>
  </w:abstractNum>
  <w:abstractNum w:abstractNumId="6">
    <w:nsid w:val="136B40FE"/>
    <w:multiLevelType w:val="singleLevel"/>
    <w:tmpl w:val="136B40FE"/>
    <w:lvl w:ilvl="0" w:tentative="0">
      <w:start w:val="5"/>
      <w:numFmt w:val="decimal"/>
      <w:suff w:val="space"/>
      <w:lvlText w:val="%1."/>
      <w:lvlJc w:val="left"/>
    </w:lvl>
  </w:abstractNum>
  <w:abstractNum w:abstractNumId="7">
    <w:nsid w:val="27F5AA74"/>
    <w:multiLevelType w:val="singleLevel"/>
    <w:tmpl w:val="27F5AA74"/>
    <w:lvl w:ilvl="0" w:tentative="0">
      <w:start w:val="1"/>
      <w:numFmt w:val="decimal"/>
      <w:suff w:val="nothing"/>
      <w:lvlText w:val="（%1）"/>
      <w:lvlJc w:val="left"/>
    </w:lvl>
  </w:abstractNum>
  <w:abstractNum w:abstractNumId="8">
    <w:nsid w:val="29E200EE"/>
    <w:multiLevelType w:val="singleLevel"/>
    <w:tmpl w:val="29E200EE"/>
    <w:lvl w:ilvl="0" w:tentative="0">
      <w:start w:val="1"/>
      <w:numFmt w:val="decimal"/>
      <w:suff w:val="nothing"/>
      <w:lvlText w:val="（%1）"/>
      <w:lvlJc w:val="left"/>
    </w:lvl>
  </w:abstractNum>
  <w:abstractNum w:abstractNumId="9">
    <w:nsid w:val="3197A79F"/>
    <w:multiLevelType w:val="singleLevel"/>
    <w:tmpl w:val="3197A79F"/>
    <w:lvl w:ilvl="0" w:tentative="0">
      <w:start w:val="4"/>
      <w:numFmt w:val="decimal"/>
      <w:suff w:val="nothing"/>
      <w:lvlText w:val="%1、"/>
      <w:lvlJc w:val="left"/>
    </w:lvl>
  </w:abstractNum>
  <w:abstractNum w:abstractNumId="10">
    <w:nsid w:val="41D66AF2"/>
    <w:multiLevelType w:val="singleLevel"/>
    <w:tmpl w:val="41D66AF2"/>
    <w:lvl w:ilvl="0" w:tentative="0">
      <w:start w:val="1"/>
      <w:numFmt w:val="decimal"/>
      <w:suff w:val="space"/>
      <w:lvlText w:val="%1、"/>
      <w:lvlJc w:val="left"/>
    </w:lvl>
  </w:abstractNum>
  <w:abstractNum w:abstractNumId="11">
    <w:nsid w:val="58A66D2A"/>
    <w:multiLevelType w:val="singleLevel"/>
    <w:tmpl w:val="58A66D2A"/>
    <w:lvl w:ilvl="0" w:tentative="0">
      <w:start w:val="1"/>
      <w:numFmt w:val="decimal"/>
      <w:lvlText w:val="%1."/>
      <w:lvlJc w:val="left"/>
      <w:pPr>
        <w:tabs>
          <w:tab w:val="left" w:pos="312"/>
        </w:tabs>
      </w:pPr>
    </w:lvl>
  </w:abstractNum>
  <w:abstractNum w:abstractNumId="12">
    <w:nsid w:val="5F85269A"/>
    <w:multiLevelType w:val="singleLevel"/>
    <w:tmpl w:val="5F85269A"/>
    <w:lvl w:ilvl="0" w:tentative="0">
      <w:start w:val="1"/>
      <w:numFmt w:val="lowerLetter"/>
      <w:suff w:val="nothing"/>
      <w:lvlText w:val="%1、"/>
      <w:lvlJc w:val="left"/>
    </w:lvl>
  </w:abstractNum>
  <w:abstractNum w:abstractNumId="13">
    <w:nsid w:val="7E84E819"/>
    <w:multiLevelType w:val="singleLevel"/>
    <w:tmpl w:val="7E84E819"/>
    <w:lvl w:ilvl="0" w:tentative="0">
      <w:start w:val="1"/>
      <w:numFmt w:val="decimal"/>
      <w:pStyle w:val="134"/>
      <w:suff w:val="space"/>
      <w:lvlText w:val="表1-%1"/>
      <w:lvlJc w:val="center"/>
      <w:pPr>
        <w:tabs>
          <w:tab w:val="left" w:pos="0"/>
        </w:tabs>
        <w:ind w:left="0" w:leftChars="0" w:firstLine="0" w:firstLineChars="0"/>
      </w:pPr>
      <w:rPr>
        <w:rFonts w:hint="default" w:ascii="Times New Roman" w:hAnsi="Times New Roman"/>
        <w:b/>
        <w:bCs/>
        <w:sz w:val="21"/>
        <w:szCs w:val="21"/>
      </w:rPr>
    </w:lvl>
  </w:abstractNum>
  <w:num w:numId="1">
    <w:abstractNumId w:val="5"/>
  </w:num>
  <w:num w:numId="2">
    <w:abstractNumId w:val="13"/>
  </w:num>
  <w:num w:numId="3">
    <w:abstractNumId w:val="9"/>
  </w:num>
  <w:num w:numId="4">
    <w:abstractNumId w:val="12"/>
  </w:num>
  <w:num w:numId="5">
    <w:abstractNumId w:val="1"/>
  </w:num>
  <w:num w:numId="6">
    <w:abstractNumId w:val="0"/>
  </w:num>
  <w:num w:numId="7">
    <w:abstractNumId w:val="2"/>
  </w:num>
  <w:num w:numId="8">
    <w:abstractNumId w:val="7"/>
  </w:num>
  <w:num w:numId="9">
    <w:abstractNumId w:val="11"/>
  </w:num>
  <w:num w:numId="10">
    <w:abstractNumId w:val="6"/>
  </w:num>
  <w:num w:numId="11">
    <w:abstractNumId w:val="4"/>
  </w:num>
  <w:num w:numId="12">
    <w:abstractNumId w:val="10"/>
  </w:num>
  <w:num w:numId="13">
    <w:abstractNumId w:val="8"/>
  </w:num>
  <w:num w:numId="14">
    <w:abstractNumId w:val="3"/>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酱小油">
    <w15:presenceInfo w15:providerId="None" w15:userId="酱小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attachedTemplate r:id="rId1"/>
  <w:revisionView w:markup="0"/>
  <w:documentProtection w:edit="trackedChanges"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zNjY2NDU0MDcxZTFmMmYzNzQ3MzJlZGU0ODE4OTYifQ=="/>
  </w:docVars>
  <w:rsids>
    <w:rsidRoot w:val="00A14947"/>
    <w:rsid w:val="000060B3"/>
    <w:rsid w:val="00010157"/>
    <w:rsid w:val="00026CCE"/>
    <w:rsid w:val="0004364B"/>
    <w:rsid w:val="00047A73"/>
    <w:rsid w:val="00061B1F"/>
    <w:rsid w:val="000733C4"/>
    <w:rsid w:val="00074783"/>
    <w:rsid w:val="0007495E"/>
    <w:rsid w:val="0008070B"/>
    <w:rsid w:val="000810AC"/>
    <w:rsid w:val="00081770"/>
    <w:rsid w:val="00081A02"/>
    <w:rsid w:val="00082231"/>
    <w:rsid w:val="00092D38"/>
    <w:rsid w:val="0009377B"/>
    <w:rsid w:val="000A20C9"/>
    <w:rsid w:val="000A59B9"/>
    <w:rsid w:val="000B058F"/>
    <w:rsid w:val="000B4467"/>
    <w:rsid w:val="000B4DB9"/>
    <w:rsid w:val="000B5380"/>
    <w:rsid w:val="000C09AC"/>
    <w:rsid w:val="000C1209"/>
    <w:rsid w:val="000C13B1"/>
    <w:rsid w:val="000C1A50"/>
    <w:rsid w:val="000C654C"/>
    <w:rsid w:val="000C767F"/>
    <w:rsid w:val="000D5A44"/>
    <w:rsid w:val="000E3ED2"/>
    <w:rsid w:val="000F1010"/>
    <w:rsid w:val="000F522F"/>
    <w:rsid w:val="00110984"/>
    <w:rsid w:val="001117C1"/>
    <w:rsid w:val="00114A89"/>
    <w:rsid w:val="00114D09"/>
    <w:rsid w:val="00131F42"/>
    <w:rsid w:val="001357F1"/>
    <w:rsid w:val="00140FA8"/>
    <w:rsid w:val="00142FEB"/>
    <w:rsid w:val="001435E4"/>
    <w:rsid w:val="00143A2D"/>
    <w:rsid w:val="00145A41"/>
    <w:rsid w:val="001462CA"/>
    <w:rsid w:val="00151675"/>
    <w:rsid w:val="00157435"/>
    <w:rsid w:val="00157546"/>
    <w:rsid w:val="0017504D"/>
    <w:rsid w:val="001755D2"/>
    <w:rsid w:val="0017671A"/>
    <w:rsid w:val="00177422"/>
    <w:rsid w:val="00184590"/>
    <w:rsid w:val="001870D1"/>
    <w:rsid w:val="0018781E"/>
    <w:rsid w:val="0019262D"/>
    <w:rsid w:val="001A1B35"/>
    <w:rsid w:val="001A48A2"/>
    <w:rsid w:val="001A6F61"/>
    <w:rsid w:val="001B72B8"/>
    <w:rsid w:val="001C69B3"/>
    <w:rsid w:val="001D5595"/>
    <w:rsid w:val="001D590A"/>
    <w:rsid w:val="001D7874"/>
    <w:rsid w:val="001D7912"/>
    <w:rsid w:val="001D7F22"/>
    <w:rsid w:val="001F0F17"/>
    <w:rsid w:val="001F1309"/>
    <w:rsid w:val="001F3347"/>
    <w:rsid w:val="001F69E4"/>
    <w:rsid w:val="00203D88"/>
    <w:rsid w:val="0021025C"/>
    <w:rsid w:val="002125B4"/>
    <w:rsid w:val="00213FF2"/>
    <w:rsid w:val="00214BAC"/>
    <w:rsid w:val="002152D2"/>
    <w:rsid w:val="002155B8"/>
    <w:rsid w:val="00224839"/>
    <w:rsid w:val="002249B2"/>
    <w:rsid w:val="00226574"/>
    <w:rsid w:val="002265BD"/>
    <w:rsid w:val="002278EC"/>
    <w:rsid w:val="0023280E"/>
    <w:rsid w:val="002377D1"/>
    <w:rsid w:val="002506BC"/>
    <w:rsid w:val="00254345"/>
    <w:rsid w:val="00264557"/>
    <w:rsid w:val="00272995"/>
    <w:rsid w:val="002805AB"/>
    <w:rsid w:val="00283111"/>
    <w:rsid w:val="00284204"/>
    <w:rsid w:val="00291773"/>
    <w:rsid w:val="002A168C"/>
    <w:rsid w:val="002A3DC7"/>
    <w:rsid w:val="002B0DCA"/>
    <w:rsid w:val="002B49E2"/>
    <w:rsid w:val="002B7B00"/>
    <w:rsid w:val="002B7C44"/>
    <w:rsid w:val="002C2B17"/>
    <w:rsid w:val="002C586D"/>
    <w:rsid w:val="002D3DD0"/>
    <w:rsid w:val="002E1415"/>
    <w:rsid w:val="002E1F3A"/>
    <w:rsid w:val="002E298A"/>
    <w:rsid w:val="002F6388"/>
    <w:rsid w:val="002F689A"/>
    <w:rsid w:val="00301978"/>
    <w:rsid w:val="0030332C"/>
    <w:rsid w:val="003051C2"/>
    <w:rsid w:val="00306F52"/>
    <w:rsid w:val="00312296"/>
    <w:rsid w:val="00314F0E"/>
    <w:rsid w:val="00315A6D"/>
    <w:rsid w:val="003212CA"/>
    <w:rsid w:val="00321D8E"/>
    <w:rsid w:val="00325928"/>
    <w:rsid w:val="00332863"/>
    <w:rsid w:val="0033684D"/>
    <w:rsid w:val="00337B42"/>
    <w:rsid w:val="00341B42"/>
    <w:rsid w:val="0034348F"/>
    <w:rsid w:val="00344417"/>
    <w:rsid w:val="00344462"/>
    <w:rsid w:val="00347C5C"/>
    <w:rsid w:val="00356653"/>
    <w:rsid w:val="0035743F"/>
    <w:rsid w:val="00357BE2"/>
    <w:rsid w:val="0036170C"/>
    <w:rsid w:val="00365729"/>
    <w:rsid w:val="00366A46"/>
    <w:rsid w:val="00366E0F"/>
    <w:rsid w:val="00381148"/>
    <w:rsid w:val="003816EC"/>
    <w:rsid w:val="00381A72"/>
    <w:rsid w:val="00384676"/>
    <w:rsid w:val="00390857"/>
    <w:rsid w:val="0039794B"/>
    <w:rsid w:val="003A4BF3"/>
    <w:rsid w:val="003B1B46"/>
    <w:rsid w:val="003B420D"/>
    <w:rsid w:val="003B4C63"/>
    <w:rsid w:val="003B7A18"/>
    <w:rsid w:val="003C6C16"/>
    <w:rsid w:val="003C7823"/>
    <w:rsid w:val="003D794D"/>
    <w:rsid w:val="003E3058"/>
    <w:rsid w:val="003E76A9"/>
    <w:rsid w:val="003E7960"/>
    <w:rsid w:val="003F0809"/>
    <w:rsid w:val="003F1403"/>
    <w:rsid w:val="003F46EA"/>
    <w:rsid w:val="003F6A8C"/>
    <w:rsid w:val="003F755C"/>
    <w:rsid w:val="00406F01"/>
    <w:rsid w:val="0041597D"/>
    <w:rsid w:val="00416D50"/>
    <w:rsid w:val="00416FD5"/>
    <w:rsid w:val="00417772"/>
    <w:rsid w:val="00420E6A"/>
    <w:rsid w:val="00425A9E"/>
    <w:rsid w:val="00426D6B"/>
    <w:rsid w:val="00431B62"/>
    <w:rsid w:val="00431E6C"/>
    <w:rsid w:val="00433CE7"/>
    <w:rsid w:val="004408D5"/>
    <w:rsid w:val="00452738"/>
    <w:rsid w:val="00454596"/>
    <w:rsid w:val="00456091"/>
    <w:rsid w:val="00466321"/>
    <w:rsid w:val="00474A84"/>
    <w:rsid w:val="00484B9B"/>
    <w:rsid w:val="004855F6"/>
    <w:rsid w:val="0048661E"/>
    <w:rsid w:val="00487F2D"/>
    <w:rsid w:val="0049036A"/>
    <w:rsid w:val="00490F63"/>
    <w:rsid w:val="00491E9F"/>
    <w:rsid w:val="00493648"/>
    <w:rsid w:val="00494670"/>
    <w:rsid w:val="0049605C"/>
    <w:rsid w:val="00496356"/>
    <w:rsid w:val="0049773E"/>
    <w:rsid w:val="00497F1A"/>
    <w:rsid w:val="004A3823"/>
    <w:rsid w:val="004C5D59"/>
    <w:rsid w:val="004E6946"/>
    <w:rsid w:val="004F1AD8"/>
    <w:rsid w:val="004F36EE"/>
    <w:rsid w:val="004F40D9"/>
    <w:rsid w:val="004F6614"/>
    <w:rsid w:val="00500BA4"/>
    <w:rsid w:val="005039CB"/>
    <w:rsid w:val="00504AAA"/>
    <w:rsid w:val="0050558F"/>
    <w:rsid w:val="00506286"/>
    <w:rsid w:val="00510813"/>
    <w:rsid w:val="00510D70"/>
    <w:rsid w:val="00511990"/>
    <w:rsid w:val="00511DE0"/>
    <w:rsid w:val="00514870"/>
    <w:rsid w:val="00514B9B"/>
    <w:rsid w:val="00517F02"/>
    <w:rsid w:val="00524303"/>
    <w:rsid w:val="00524791"/>
    <w:rsid w:val="005258A2"/>
    <w:rsid w:val="005348A2"/>
    <w:rsid w:val="00536556"/>
    <w:rsid w:val="00540042"/>
    <w:rsid w:val="005401AE"/>
    <w:rsid w:val="00542E07"/>
    <w:rsid w:val="00543A5A"/>
    <w:rsid w:val="00543AFC"/>
    <w:rsid w:val="00545424"/>
    <w:rsid w:val="00546F2F"/>
    <w:rsid w:val="00554A7B"/>
    <w:rsid w:val="0055572C"/>
    <w:rsid w:val="0056106A"/>
    <w:rsid w:val="005720AE"/>
    <w:rsid w:val="00577510"/>
    <w:rsid w:val="005821DB"/>
    <w:rsid w:val="00594D77"/>
    <w:rsid w:val="005969E4"/>
    <w:rsid w:val="005A06B7"/>
    <w:rsid w:val="005A1759"/>
    <w:rsid w:val="005A68A7"/>
    <w:rsid w:val="005B4AB7"/>
    <w:rsid w:val="005B6C9F"/>
    <w:rsid w:val="005C60D7"/>
    <w:rsid w:val="005D21B5"/>
    <w:rsid w:val="005D36AB"/>
    <w:rsid w:val="005D65FA"/>
    <w:rsid w:val="005F07E3"/>
    <w:rsid w:val="00614378"/>
    <w:rsid w:val="00617CC3"/>
    <w:rsid w:val="006214E5"/>
    <w:rsid w:val="006260F6"/>
    <w:rsid w:val="00627E6B"/>
    <w:rsid w:val="00632B60"/>
    <w:rsid w:val="006377A6"/>
    <w:rsid w:val="00637A3D"/>
    <w:rsid w:val="00637D7C"/>
    <w:rsid w:val="006411EF"/>
    <w:rsid w:val="0064374B"/>
    <w:rsid w:val="00655CB6"/>
    <w:rsid w:val="00656941"/>
    <w:rsid w:val="00662878"/>
    <w:rsid w:val="006748B8"/>
    <w:rsid w:val="006775C3"/>
    <w:rsid w:val="006911DA"/>
    <w:rsid w:val="0069290A"/>
    <w:rsid w:val="006968A6"/>
    <w:rsid w:val="0069775A"/>
    <w:rsid w:val="00697813"/>
    <w:rsid w:val="006A08E0"/>
    <w:rsid w:val="006A3EE8"/>
    <w:rsid w:val="006A68C6"/>
    <w:rsid w:val="006A72BF"/>
    <w:rsid w:val="006B03F2"/>
    <w:rsid w:val="006B37DC"/>
    <w:rsid w:val="006B4F68"/>
    <w:rsid w:val="006C025A"/>
    <w:rsid w:val="006C0592"/>
    <w:rsid w:val="006C272E"/>
    <w:rsid w:val="006C5479"/>
    <w:rsid w:val="006C6D4D"/>
    <w:rsid w:val="006C744C"/>
    <w:rsid w:val="006D13B5"/>
    <w:rsid w:val="006D57B5"/>
    <w:rsid w:val="006E12FF"/>
    <w:rsid w:val="006E607E"/>
    <w:rsid w:val="0070174A"/>
    <w:rsid w:val="00703E77"/>
    <w:rsid w:val="00706C5D"/>
    <w:rsid w:val="00712BCD"/>
    <w:rsid w:val="00725CD1"/>
    <w:rsid w:val="007305EA"/>
    <w:rsid w:val="00732922"/>
    <w:rsid w:val="007469DD"/>
    <w:rsid w:val="0075162E"/>
    <w:rsid w:val="00753889"/>
    <w:rsid w:val="00754034"/>
    <w:rsid w:val="007549D4"/>
    <w:rsid w:val="00756556"/>
    <w:rsid w:val="007618C4"/>
    <w:rsid w:val="00762EA5"/>
    <w:rsid w:val="00767980"/>
    <w:rsid w:val="00770B19"/>
    <w:rsid w:val="00771D23"/>
    <w:rsid w:val="0077463F"/>
    <w:rsid w:val="007836EA"/>
    <w:rsid w:val="00784CDA"/>
    <w:rsid w:val="007906C4"/>
    <w:rsid w:val="007912B3"/>
    <w:rsid w:val="00793A32"/>
    <w:rsid w:val="007940EA"/>
    <w:rsid w:val="007954C5"/>
    <w:rsid w:val="007967E8"/>
    <w:rsid w:val="007A2170"/>
    <w:rsid w:val="007A22BF"/>
    <w:rsid w:val="007A3323"/>
    <w:rsid w:val="007B2C4A"/>
    <w:rsid w:val="007B72B8"/>
    <w:rsid w:val="007B7A58"/>
    <w:rsid w:val="007C21B5"/>
    <w:rsid w:val="007D41EB"/>
    <w:rsid w:val="007E27E5"/>
    <w:rsid w:val="007E4BD2"/>
    <w:rsid w:val="007E647C"/>
    <w:rsid w:val="00800377"/>
    <w:rsid w:val="00801393"/>
    <w:rsid w:val="00802F88"/>
    <w:rsid w:val="0081293E"/>
    <w:rsid w:val="00813876"/>
    <w:rsid w:val="00815465"/>
    <w:rsid w:val="00816A1B"/>
    <w:rsid w:val="00817E9A"/>
    <w:rsid w:val="00826D97"/>
    <w:rsid w:val="008306BD"/>
    <w:rsid w:val="00831A80"/>
    <w:rsid w:val="00833743"/>
    <w:rsid w:val="00833F1E"/>
    <w:rsid w:val="008340A4"/>
    <w:rsid w:val="0084402F"/>
    <w:rsid w:val="00847ED9"/>
    <w:rsid w:val="00857E9D"/>
    <w:rsid w:val="008627E7"/>
    <w:rsid w:val="0087098E"/>
    <w:rsid w:val="0087135F"/>
    <w:rsid w:val="00872D94"/>
    <w:rsid w:val="00880364"/>
    <w:rsid w:val="00880BFA"/>
    <w:rsid w:val="00891592"/>
    <w:rsid w:val="00891E9E"/>
    <w:rsid w:val="008A0D8A"/>
    <w:rsid w:val="008A2F68"/>
    <w:rsid w:val="008A6D9D"/>
    <w:rsid w:val="008B4FA6"/>
    <w:rsid w:val="008B5282"/>
    <w:rsid w:val="008B5753"/>
    <w:rsid w:val="008B64F8"/>
    <w:rsid w:val="008B75EC"/>
    <w:rsid w:val="008B7C17"/>
    <w:rsid w:val="008C2D01"/>
    <w:rsid w:val="008C3970"/>
    <w:rsid w:val="008C40E6"/>
    <w:rsid w:val="008D0F7A"/>
    <w:rsid w:val="008D64C1"/>
    <w:rsid w:val="008D68E4"/>
    <w:rsid w:val="008E0506"/>
    <w:rsid w:val="008E0CFF"/>
    <w:rsid w:val="008E4239"/>
    <w:rsid w:val="008E5D6B"/>
    <w:rsid w:val="008E76F0"/>
    <w:rsid w:val="008F15FE"/>
    <w:rsid w:val="008F2B87"/>
    <w:rsid w:val="008F2D29"/>
    <w:rsid w:val="008F5187"/>
    <w:rsid w:val="008F60D8"/>
    <w:rsid w:val="00902727"/>
    <w:rsid w:val="0090312B"/>
    <w:rsid w:val="00904958"/>
    <w:rsid w:val="00914B3D"/>
    <w:rsid w:val="00915DE6"/>
    <w:rsid w:val="00915E5A"/>
    <w:rsid w:val="0091736D"/>
    <w:rsid w:val="00923FEC"/>
    <w:rsid w:val="0092491D"/>
    <w:rsid w:val="0093037A"/>
    <w:rsid w:val="0093210A"/>
    <w:rsid w:val="0094154D"/>
    <w:rsid w:val="0095155F"/>
    <w:rsid w:val="0095242F"/>
    <w:rsid w:val="00954429"/>
    <w:rsid w:val="00954C70"/>
    <w:rsid w:val="009563CE"/>
    <w:rsid w:val="00956C94"/>
    <w:rsid w:val="00967253"/>
    <w:rsid w:val="00976328"/>
    <w:rsid w:val="0097680D"/>
    <w:rsid w:val="00982438"/>
    <w:rsid w:val="0098404C"/>
    <w:rsid w:val="00985283"/>
    <w:rsid w:val="00991074"/>
    <w:rsid w:val="00995992"/>
    <w:rsid w:val="00995EC3"/>
    <w:rsid w:val="009A03E5"/>
    <w:rsid w:val="009A0F3B"/>
    <w:rsid w:val="009A1BB4"/>
    <w:rsid w:val="009A2628"/>
    <w:rsid w:val="009A3200"/>
    <w:rsid w:val="009A4CEA"/>
    <w:rsid w:val="009B0897"/>
    <w:rsid w:val="009B7BD9"/>
    <w:rsid w:val="009C0972"/>
    <w:rsid w:val="009C1646"/>
    <w:rsid w:val="009C5DFB"/>
    <w:rsid w:val="009C68BB"/>
    <w:rsid w:val="009C7DD5"/>
    <w:rsid w:val="009D2A1A"/>
    <w:rsid w:val="009D72FE"/>
    <w:rsid w:val="009E227D"/>
    <w:rsid w:val="009E5019"/>
    <w:rsid w:val="009E6891"/>
    <w:rsid w:val="009F1811"/>
    <w:rsid w:val="00A02DC6"/>
    <w:rsid w:val="00A04F1B"/>
    <w:rsid w:val="00A0501B"/>
    <w:rsid w:val="00A075AF"/>
    <w:rsid w:val="00A14947"/>
    <w:rsid w:val="00A32A83"/>
    <w:rsid w:val="00A368DB"/>
    <w:rsid w:val="00A423AA"/>
    <w:rsid w:val="00A45CE0"/>
    <w:rsid w:val="00A47F1D"/>
    <w:rsid w:val="00A53EC6"/>
    <w:rsid w:val="00A55C0F"/>
    <w:rsid w:val="00A71636"/>
    <w:rsid w:val="00A8713F"/>
    <w:rsid w:val="00A875B0"/>
    <w:rsid w:val="00A90BA1"/>
    <w:rsid w:val="00A97A9A"/>
    <w:rsid w:val="00A97CED"/>
    <w:rsid w:val="00AA0671"/>
    <w:rsid w:val="00AA2531"/>
    <w:rsid w:val="00AA3468"/>
    <w:rsid w:val="00AB1E09"/>
    <w:rsid w:val="00AB5330"/>
    <w:rsid w:val="00AB7375"/>
    <w:rsid w:val="00AB7747"/>
    <w:rsid w:val="00AC14CE"/>
    <w:rsid w:val="00AC2A56"/>
    <w:rsid w:val="00AC728C"/>
    <w:rsid w:val="00AD0096"/>
    <w:rsid w:val="00AD055E"/>
    <w:rsid w:val="00AD47A7"/>
    <w:rsid w:val="00AD78E3"/>
    <w:rsid w:val="00AE383A"/>
    <w:rsid w:val="00AF0CBF"/>
    <w:rsid w:val="00AF1187"/>
    <w:rsid w:val="00AF257F"/>
    <w:rsid w:val="00AF33CF"/>
    <w:rsid w:val="00AF4D50"/>
    <w:rsid w:val="00AF6179"/>
    <w:rsid w:val="00B03DDE"/>
    <w:rsid w:val="00B10909"/>
    <w:rsid w:val="00B1295A"/>
    <w:rsid w:val="00B20A45"/>
    <w:rsid w:val="00B22C5C"/>
    <w:rsid w:val="00B24F30"/>
    <w:rsid w:val="00B26A1C"/>
    <w:rsid w:val="00B31ABF"/>
    <w:rsid w:val="00B33BE3"/>
    <w:rsid w:val="00B5359B"/>
    <w:rsid w:val="00B53B5D"/>
    <w:rsid w:val="00B55513"/>
    <w:rsid w:val="00B6055E"/>
    <w:rsid w:val="00B62003"/>
    <w:rsid w:val="00B6317D"/>
    <w:rsid w:val="00B71558"/>
    <w:rsid w:val="00B74731"/>
    <w:rsid w:val="00B764DF"/>
    <w:rsid w:val="00B7723F"/>
    <w:rsid w:val="00B80534"/>
    <w:rsid w:val="00B8433C"/>
    <w:rsid w:val="00B87491"/>
    <w:rsid w:val="00B934F5"/>
    <w:rsid w:val="00B94936"/>
    <w:rsid w:val="00BA26F7"/>
    <w:rsid w:val="00BA29E9"/>
    <w:rsid w:val="00BA580F"/>
    <w:rsid w:val="00BA7142"/>
    <w:rsid w:val="00BB1737"/>
    <w:rsid w:val="00BB237C"/>
    <w:rsid w:val="00BB41A3"/>
    <w:rsid w:val="00BC32DC"/>
    <w:rsid w:val="00BC35B6"/>
    <w:rsid w:val="00BC75EA"/>
    <w:rsid w:val="00BD1B51"/>
    <w:rsid w:val="00BD4596"/>
    <w:rsid w:val="00BE069D"/>
    <w:rsid w:val="00BE1405"/>
    <w:rsid w:val="00BE18D7"/>
    <w:rsid w:val="00BE312D"/>
    <w:rsid w:val="00BE7AEF"/>
    <w:rsid w:val="00BF095A"/>
    <w:rsid w:val="00BF1C20"/>
    <w:rsid w:val="00C044FC"/>
    <w:rsid w:val="00C047A7"/>
    <w:rsid w:val="00C07824"/>
    <w:rsid w:val="00C10578"/>
    <w:rsid w:val="00C135BC"/>
    <w:rsid w:val="00C15C95"/>
    <w:rsid w:val="00C2247A"/>
    <w:rsid w:val="00C2596A"/>
    <w:rsid w:val="00C27537"/>
    <w:rsid w:val="00C328FE"/>
    <w:rsid w:val="00C33507"/>
    <w:rsid w:val="00C412DF"/>
    <w:rsid w:val="00C4409D"/>
    <w:rsid w:val="00C44E72"/>
    <w:rsid w:val="00C45A06"/>
    <w:rsid w:val="00C462EE"/>
    <w:rsid w:val="00C47E5B"/>
    <w:rsid w:val="00C500C4"/>
    <w:rsid w:val="00C61E15"/>
    <w:rsid w:val="00C61E4B"/>
    <w:rsid w:val="00C64BFF"/>
    <w:rsid w:val="00C65D16"/>
    <w:rsid w:val="00C704E9"/>
    <w:rsid w:val="00C763C9"/>
    <w:rsid w:val="00C80057"/>
    <w:rsid w:val="00C82232"/>
    <w:rsid w:val="00C82913"/>
    <w:rsid w:val="00C83D73"/>
    <w:rsid w:val="00C917C0"/>
    <w:rsid w:val="00C93D29"/>
    <w:rsid w:val="00C947BE"/>
    <w:rsid w:val="00C951FC"/>
    <w:rsid w:val="00C96F13"/>
    <w:rsid w:val="00C972B1"/>
    <w:rsid w:val="00CA02DB"/>
    <w:rsid w:val="00CA1570"/>
    <w:rsid w:val="00CA2CCE"/>
    <w:rsid w:val="00CA43FD"/>
    <w:rsid w:val="00CA5E9B"/>
    <w:rsid w:val="00CA7EF8"/>
    <w:rsid w:val="00CB0643"/>
    <w:rsid w:val="00CB1A9A"/>
    <w:rsid w:val="00CC489B"/>
    <w:rsid w:val="00CD2284"/>
    <w:rsid w:val="00CD2948"/>
    <w:rsid w:val="00CD2BCD"/>
    <w:rsid w:val="00CD3A4C"/>
    <w:rsid w:val="00CE10E9"/>
    <w:rsid w:val="00CE2910"/>
    <w:rsid w:val="00CE5393"/>
    <w:rsid w:val="00CF36BE"/>
    <w:rsid w:val="00CF6000"/>
    <w:rsid w:val="00D003F3"/>
    <w:rsid w:val="00D02398"/>
    <w:rsid w:val="00D0364F"/>
    <w:rsid w:val="00D06834"/>
    <w:rsid w:val="00D10267"/>
    <w:rsid w:val="00D1322B"/>
    <w:rsid w:val="00D23849"/>
    <w:rsid w:val="00D23B23"/>
    <w:rsid w:val="00D24A91"/>
    <w:rsid w:val="00D27140"/>
    <w:rsid w:val="00D308ED"/>
    <w:rsid w:val="00D36D86"/>
    <w:rsid w:val="00D428AA"/>
    <w:rsid w:val="00D50A34"/>
    <w:rsid w:val="00D533BB"/>
    <w:rsid w:val="00D53EFA"/>
    <w:rsid w:val="00D5586A"/>
    <w:rsid w:val="00D561E7"/>
    <w:rsid w:val="00D626B8"/>
    <w:rsid w:val="00D65F69"/>
    <w:rsid w:val="00D66620"/>
    <w:rsid w:val="00D735D8"/>
    <w:rsid w:val="00D94A7C"/>
    <w:rsid w:val="00D95896"/>
    <w:rsid w:val="00DB1563"/>
    <w:rsid w:val="00DB2983"/>
    <w:rsid w:val="00DB3BCE"/>
    <w:rsid w:val="00DB7483"/>
    <w:rsid w:val="00DB7EB8"/>
    <w:rsid w:val="00DC1257"/>
    <w:rsid w:val="00DC3DC0"/>
    <w:rsid w:val="00DC5B2B"/>
    <w:rsid w:val="00DD318D"/>
    <w:rsid w:val="00DE0418"/>
    <w:rsid w:val="00DE438C"/>
    <w:rsid w:val="00DE46E4"/>
    <w:rsid w:val="00DF2E12"/>
    <w:rsid w:val="00DF514A"/>
    <w:rsid w:val="00DF6690"/>
    <w:rsid w:val="00DF6804"/>
    <w:rsid w:val="00DF76F9"/>
    <w:rsid w:val="00E00990"/>
    <w:rsid w:val="00E0358D"/>
    <w:rsid w:val="00E04323"/>
    <w:rsid w:val="00E070A2"/>
    <w:rsid w:val="00E14718"/>
    <w:rsid w:val="00E249A0"/>
    <w:rsid w:val="00E2656A"/>
    <w:rsid w:val="00E412D0"/>
    <w:rsid w:val="00E444AD"/>
    <w:rsid w:val="00E44F6E"/>
    <w:rsid w:val="00E47590"/>
    <w:rsid w:val="00E559E3"/>
    <w:rsid w:val="00E56322"/>
    <w:rsid w:val="00E60982"/>
    <w:rsid w:val="00E62C62"/>
    <w:rsid w:val="00E64CA3"/>
    <w:rsid w:val="00E654C1"/>
    <w:rsid w:val="00E65D97"/>
    <w:rsid w:val="00E67165"/>
    <w:rsid w:val="00E67F83"/>
    <w:rsid w:val="00E72328"/>
    <w:rsid w:val="00E72A5A"/>
    <w:rsid w:val="00E73354"/>
    <w:rsid w:val="00E81BBD"/>
    <w:rsid w:val="00E844E9"/>
    <w:rsid w:val="00E85DF7"/>
    <w:rsid w:val="00E874F7"/>
    <w:rsid w:val="00E9242D"/>
    <w:rsid w:val="00E92BEF"/>
    <w:rsid w:val="00EA5982"/>
    <w:rsid w:val="00EB1D36"/>
    <w:rsid w:val="00EB297A"/>
    <w:rsid w:val="00EB5255"/>
    <w:rsid w:val="00EB5C47"/>
    <w:rsid w:val="00EB5EDA"/>
    <w:rsid w:val="00EB609F"/>
    <w:rsid w:val="00ED0639"/>
    <w:rsid w:val="00ED1D8A"/>
    <w:rsid w:val="00EE5EAA"/>
    <w:rsid w:val="00EF4755"/>
    <w:rsid w:val="00EF7135"/>
    <w:rsid w:val="00F027DB"/>
    <w:rsid w:val="00F03F15"/>
    <w:rsid w:val="00F12D3A"/>
    <w:rsid w:val="00F14A7A"/>
    <w:rsid w:val="00F22985"/>
    <w:rsid w:val="00F3383E"/>
    <w:rsid w:val="00F373E9"/>
    <w:rsid w:val="00F465A7"/>
    <w:rsid w:val="00F50B7C"/>
    <w:rsid w:val="00F550E6"/>
    <w:rsid w:val="00F74345"/>
    <w:rsid w:val="00F80740"/>
    <w:rsid w:val="00F80A0A"/>
    <w:rsid w:val="00F82B19"/>
    <w:rsid w:val="00F9212D"/>
    <w:rsid w:val="00F965DA"/>
    <w:rsid w:val="00FA2428"/>
    <w:rsid w:val="00FA406A"/>
    <w:rsid w:val="00FA76E7"/>
    <w:rsid w:val="00FB419A"/>
    <w:rsid w:val="00FB503A"/>
    <w:rsid w:val="00FB516C"/>
    <w:rsid w:val="00FD0236"/>
    <w:rsid w:val="00FD15FF"/>
    <w:rsid w:val="00FD18F4"/>
    <w:rsid w:val="00FD54DB"/>
    <w:rsid w:val="00FD619F"/>
    <w:rsid w:val="0100126B"/>
    <w:rsid w:val="01070362"/>
    <w:rsid w:val="010B3790"/>
    <w:rsid w:val="01126917"/>
    <w:rsid w:val="011436C0"/>
    <w:rsid w:val="01147374"/>
    <w:rsid w:val="011C57EB"/>
    <w:rsid w:val="011F4CFB"/>
    <w:rsid w:val="01290F7E"/>
    <w:rsid w:val="01295C13"/>
    <w:rsid w:val="01297076"/>
    <w:rsid w:val="013051E5"/>
    <w:rsid w:val="01306E81"/>
    <w:rsid w:val="0136756E"/>
    <w:rsid w:val="014249EA"/>
    <w:rsid w:val="014257FC"/>
    <w:rsid w:val="01433453"/>
    <w:rsid w:val="0146572C"/>
    <w:rsid w:val="01481913"/>
    <w:rsid w:val="01532D3C"/>
    <w:rsid w:val="015657AD"/>
    <w:rsid w:val="015C7287"/>
    <w:rsid w:val="015D1E09"/>
    <w:rsid w:val="01603F07"/>
    <w:rsid w:val="01760D7C"/>
    <w:rsid w:val="017A39B8"/>
    <w:rsid w:val="01857805"/>
    <w:rsid w:val="018D1C9D"/>
    <w:rsid w:val="018E1186"/>
    <w:rsid w:val="018E42F2"/>
    <w:rsid w:val="018E7169"/>
    <w:rsid w:val="01901561"/>
    <w:rsid w:val="01971428"/>
    <w:rsid w:val="019734A3"/>
    <w:rsid w:val="019C4814"/>
    <w:rsid w:val="01A11DD1"/>
    <w:rsid w:val="01A21E12"/>
    <w:rsid w:val="01A3073B"/>
    <w:rsid w:val="01A540A7"/>
    <w:rsid w:val="01A9293F"/>
    <w:rsid w:val="01AC4A3B"/>
    <w:rsid w:val="01AD11A8"/>
    <w:rsid w:val="01AF5164"/>
    <w:rsid w:val="01BC43E6"/>
    <w:rsid w:val="01BC46E8"/>
    <w:rsid w:val="01C308F6"/>
    <w:rsid w:val="01C73922"/>
    <w:rsid w:val="01CE6982"/>
    <w:rsid w:val="01CF02D9"/>
    <w:rsid w:val="01D0629D"/>
    <w:rsid w:val="01D53DD1"/>
    <w:rsid w:val="01D704AE"/>
    <w:rsid w:val="01D74B9B"/>
    <w:rsid w:val="01DA3822"/>
    <w:rsid w:val="01DF7E2A"/>
    <w:rsid w:val="01E72AA6"/>
    <w:rsid w:val="01EA1FB1"/>
    <w:rsid w:val="01F8540E"/>
    <w:rsid w:val="01FA2FAF"/>
    <w:rsid w:val="020250A8"/>
    <w:rsid w:val="02064AE7"/>
    <w:rsid w:val="02067110"/>
    <w:rsid w:val="02152A64"/>
    <w:rsid w:val="021B33C1"/>
    <w:rsid w:val="021E081D"/>
    <w:rsid w:val="022C6C42"/>
    <w:rsid w:val="022F075C"/>
    <w:rsid w:val="0232633A"/>
    <w:rsid w:val="024A0B26"/>
    <w:rsid w:val="024D2E70"/>
    <w:rsid w:val="025B3459"/>
    <w:rsid w:val="025D58EC"/>
    <w:rsid w:val="025D6551"/>
    <w:rsid w:val="02680062"/>
    <w:rsid w:val="02697903"/>
    <w:rsid w:val="0272669C"/>
    <w:rsid w:val="02760578"/>
    <w:rsid w:val="027D0F8C"/>
    <w:rsid w:val="028B483E"/>
    <w:rsid w:val="028C72E6"/>
    <w:rsid w:val="02902AD0"/>
    <w:rsid w:val="029309A5"/>
    <w:rsid w:val="02930AE1"/>
    <w:rsid w:val="029E4EA5"/>
    <w:rsid w:val="02AC2BD2"/>
    <w:rsid w:val="02B66E1C"/>
    <w:rsid w:val="02D70973"/>
    <w:rsid w:val="02E411C1"/>
    <w:rsid w:val="02E77C52"/>
    <w:rsid w:val="02E83C28"/>
    <w:rsid w:val="02E84987"/>
    <w:rsid w:val="02EB152A"/>
    <w:rsid w:val="02EC3FA8"/>
    <w:rsid w:val="02EC4A7E"/>
    <w:rsid w:val="02F474A0"/>
    <w:rsid w:val="02F551C2"/>
    <w:rsid w:val="02F555A1"/>
    <w:rsid w:val="02F56FD5"/>
    <w:rsid w:val="02F96569"/>
    <w:rsid w:val="03011BBD"/>
    <w:rsid w:val="030124BB"/>
    <w:rsid w:val="030A506E"/>
    <w:rsid w:val="030B6598"/>
    <w:rsid w:val="031931D9"/>
    <w:rsid w:val="031E6215"/>
    <w:rsid w:val="031F2047"/>
    <w:rsid w:val="032740C3"/>
    <w:rsid w:val="0334509F"/>
    <w:rsid w:val="03393E3C"/>
    <w:rsid w:val="0339703F"/>
    <w:rsid w:val="033B0969"/>
    <w:rsid w:val="03401C35"/>
    <w:rsid w:val="03432C3E"/>
    <w:rsid w:val="03487E4C"/>
    <w:rsid w:val="03494C5D"/>
    <w:rsid w:val="034A70C0"/>
    <w:rsid w:val="034E436E"/>
    <w:rsid w:val="03535CED"/>
    <w:rsid w:val="035A2597"/>
    <w:rsid w:val="03632F90"/>
    <w:rsid w:val="0367238E"/>
    <w:rsid w:val="0368426E"/>
    <w:rsid w:val="036D1F56"/>
    <w:rsid w:val="036D67B0"/>
    <w:rsid w:val="036E69AC"/>
    <w:rsid w:val="037022B3"/>
    <w:rsid w:val="03703048"/>
    <w:rsid w:val="03767314"/>
    <w:rsid w:val="037A0FDC"/>
    <w:rsid w:val="037B762E"/>
    <w:rsid w:val="037D6437"/>
    <w:rsid w:val="03896C6A"/>
    <w:rsid w:val="038F55E7"/>
    <w:rsid w:val="03AC2B2B"/>
    <w:rsid w:val="03AE6FC8"/>
    <w:rsid w:val="03B176C4"/>
    <w:rsid w:val="03BD25E9"/>
    <w:rsid w:val="03BE30B7"/>
    <w:rsid w:val="03C638F5"/>
    <w:rsid w:val="03C916FB"/>
    <w:rsid w:val="03CD731D"/>
    <w:rsid w:val="03CE04D2"/>
    <w:rsid w:val="03DC317C"/>
    <w:rsid w:val="03E409CD"/>
    <w:rsid w:val="03EA7B21"/>
    <w:rsid w:val="03EF3449"/>
    <w:rsid w:val="03F236B0"/>
    <w:rsid w:val="03FA0AB5"/>
    <w:rsid w:val="04021DB6"/>
    <w:rsid w:val="040B6B84"/>
    <w:rsid w:val="040B729C"/>
    <w:rsid w:val="04176801"/>
    <w:rsid w:val="041D5A5E"/>
    <w:rsid w:val="042042C5"/>
    <w:rsid w:val="04282E7B"/>
    <w:rsid w:val="042B2168"/>
    <w:rsid w:val="042D0C34"/>
    <w:rsid w:val="04320FD5"/>
    <w:rsid w:val="043426EC"/>
    <w:rsid w:val="043B3A2E"/>
    <w:rsid w:val="04621681"/>
    <w:rsid w:val="04624BA0"/>
    <w:rsid w:val="046809AA"/>
    <w:rsid w:val="04681EB0"/>
    <w:rsid w:val="047229E8"/>
    <w:rsid w:val="04730898"/>
    <w:rsid w:val="047A6F5C"/>
    <w:rsid w:val="047D1717"/>
    <w:rsid w:val="0485608A"/>
    <w:rsid w:val="048C1380"/>
    <w:rsid w:val="048C607E"/>
    <w:rsid w:val="048E542B"/>
    <w:rsid w:val="04921E7C"/>
    <w:rsid w:val="049A2E78"/>
    <w:rsid w:val="049A609A"/>
    <w:rsid w:val="049B323A"/>
    <w:rsid w:val="04A33142"/>
    <w:rsid w:val="04AF5B3E"/>
    <w:rsid w:val="04B52C5F"/>
    <w:rsid w:val="04D21FE0"/>
    <w:rsid w:val="04D263FE"/>
    <w:rsid w:val="04DA1AD7"/>
    <w:rsid w:val="04DB25AA"/>
    <w:rsid w:val="04E23C37"/>
    <w:rsid w:val="04E54D84"/>
    <w:rsid w:val="04E652E6"/>
    <w:rsid w:val="04E7394D"/>
    <w:rsid w:val="04E954F8"/>
    <w:rsid w:val="04F1428B"/>
    <w:rsid w:val="04F2434B"/>
    <w:rsid w:val="04F44D4C"/>
    <w:rsid w:val="04F56821"/>
    <w:rsid w:val="04F83AB7"/>
    <w:rsid w:val="05012E49"/>
    <w:rsid w:val="05027253"/>
    <w:rsid w:val="05080FE1"/>
    <w:rsid w:val="050E2686"/>
    <w:rsid w:val="051C3DCE"/>
    <w:rsid w:val="052676B9"/>
    <w:rsid w:val="05341BA3"/>
    <w:rsid w:val="054027AB"/>
    <w:rsid w:val="05424508"/>
    <w:rsid w:val="054B5258"/>
    <w:rsid w:val="054D25F8"/>
    <w:rsid w:val="054E09BE"/>
    <w:rsid w:val="054E5BDF"/>
    <w:rsid w:val="055168FC"/>
    <w:rsid w:val="05604D45"/>
    <w:rsid w:val="05604DC4"/>
    <w:rsid w:val="056321A1"/>
    <w:rsid w:val="05635958"/>
    <w:rsid w:val="056A5DD1"/>
    <w:rsid w:val="05775D45"/>
    <w:rsid w:val="057768FC"/>
    <w:rsid w:val="057E3ECE"/>
    <w:rsid w:val="058100AC"/>
    <w:rsid w:val="058301A3"/>
    <w:rsid w:val="058E787A"/>
    <w:rsid w:val="059402D6"/>
    <w:rsid w:val="05994953"/>
    <w:rsid w:val="059970D9"/>
    <w:rsid w:val="05A12728"/>
    <w:rsid w:val="05A94F0D"/>
    <w:rsid w:val="05AD3E1F"/>
    <w:rsid w:val="05AF76FB"/>
    <w:rsid w:val="05B338A0"/>
    <w:rsid w:val="05B96292"/>
    <w:rsid w:val="05C84E9F"/>
    <w:rsid w:val="05C93E4B"/>
    <w:rsid w:val="05D74A8B"/>
    <w:rsid w:val="05D90BCF"/>
    <w:rsid w:val="05DB1477"/>
    <w:rsid w:val="05EE78ED"/>
    <w:rsid w:val="05F332A4"/>
    <w:rsid w:val="05F7529A"/>
    <w:rsid w:val="05F83EAE"/>
    <w:rsid w:val="05FB3ED0"/>
    <w:rsid w:val="06020BD7"/>
    <w:rsid w:val="061926FA"/>
    <w:rsid w:val="061D0E3B"/>
    <w:rsid w:val="06267B93"/>
    <w:rsid w:val="06340B26"/>
    <w:rsid w:val="063E7D85"/>
    <w:rsid w:val="06432B8E"/>
    <w:rsid w:val="06450D5C"/>
    <w:rsid w:val="0645216A"/>
    <w:rsid w:val="064A698D"/>
    <w:rsid w:val="064C4523"/>
    <w:rsid w:val="064F2C3F"/>
    <w:rsid w:val="0654038E"/>
    <w:rsid w:val="06540EB7"/>
    <w:rsid w:val="065439E8"/>
    <w:rsid w:val="06615400"/>
    <w:rsid w:val="06676649"/>
    <w:rsid w:val="0668116C"/>
    <w:rsid w:val="068776D9"/>
    <w:rsid w:val="068E792F"/>
    <w:rsid w:val="06940746"/>
    <w:rsid w:val="06953071"/>
    <w:rsid w:val="069A65B0"/>
    <w:rsid w:val="069D0469"/>
    <w:rsid w:val="069D37E1"/>
    <w:rsid w:val="06B301EE"/>
    <w:rsid w:val="06B34251"/>
    <w:rsid w:val="06B548E0"/>
    <w:rsid w:val="06B87AF1"/>
    <w:rsid w:val="06BB337E"/>
    <w:rsid w:val="06BC17D8"/>
    <w:rsid w:val="06C6489D"/>
    <w:rsid w:val="06C96A5D"/>
    <w:rsid w:val="06DF1BD3"/>
    <w:rsid w:val="070103DE"/>
    <w:rsid w:val="07017D72"/>
    <w:rsid w:val="070D6325"/>
    <w:rsid w:val="071B373F"/>
    <w:rsid w:val="071D689A"/>
    <w:rsid w:val="07201CA4"/>
    <w:rsid w:val="072336C4"/>
    <w:rsid w:val="07293586"/>
    <w:rsid w:val="07295285"/>
    <w:rsid w:val="072B3261"/>
    <w:rsid w:val="072C609F"/>
    <w:rsid w:val="073E7B4D"/>
    <w:rsid w:val="07401123"/>
    <w:rsid w:val="07421FC1"/>
    <w:rsid w:val="0742220B"/>
    <w:rsid w:val="07434552"/>
    <w:rsid w:val="07465FC1"/>
    <w:rsid w:val="074935CB"/>
    <w:rsid w:val="07503A71"/>
    <w:rsid w:val="075058C4"/>
    <w:rsid w:val="07596E0A"/>
    <w:rsid w:val="076123FE"/>
    <w:rsid w:val="07636392"/>
    <w:rsid w:val="076666B7"/>
    <w:rsid w:val="07700159"/>
    <w:rsid w:val="07711512"/>
    <w:rsid w:val="0771474A"/>
    <w:rsid w:val="077348CD"/>
    <w:rsid w:val="07770C56"/>
    <w:rsid w:val="078B5392"/>
    <w:rsid w:val="07971DB0"/>
    <w:rsid w:val="079A13B4"/>
    <w:rsid w:val="079C6C27"/>
    <w:rsid w:val="079E2E99"/>
    <w:rsid w:val="07A33CAA"/>
    <w:rsid w:val="07A768EA"/>
    <w:rsid w:val="07A8659B"/>
    <w:rsid w:val="07AB1164"/>
    <w:rsid w:val="07AC46CD"/>
    <w:rsid w:val="07B3330F"/>
    <w:rsid w:val="07B552D9"/>
    <w:rsid w:val="07B838F1"/>
    <w:rsid w:val="07BA7279"/>
    <w:rsid w:val="07BB1A8E"/>
    <w:rsid w:val="07BD7F41"/>
    <w:rsid w:val="07BE1DE4"/>
    <w:rsid w:val="07BF42B0"/>
    <w:rsid w:val="07BF77AF"/>
    <w:rsid w:val="07C07BB9"/>
    <w:rsid w:val="07C25B67"/>
    <w:rsid w:val="07C26D0D"/>
    <w:rsid w:val="07CC123C"/>
    <w:rsid w:val="07CF1886"/>
    <w:rsid w:val="07D16AD6"/>
    <w:rsid w:val="07D87B51"/>
    <w:rsid w:val="07E463EC"/>
    <w:rsid w:val="07F67816"/>
    <w:rsid w:val="07F860CB"/>
    <w:rsid w:val="07FD1DA7"/>
    <w:rsid w:val="0808098A"/>
    <w:rsid w:val="081B2083"/>
    <w:rsid w:val="081C69E7"/>
    <w:rsid w:val="081E2A9D"/>
    <w:rsid w:val="081F55EC"/>
    <w:rsid w:val="082A1811"/>
    <w:rsid w:val="082F6C23"/>
    <w:rsid w:val="08323531"/>
    <w:rsid w:val="083A15DD"/>
    <w:rsid w:val="084812DC"/>
    <w:rsid w:val="084A2794"/>
    <w:rsid w:val="084C5688"/>
    <w:rsid w:val="08507C91"/>
    <w:rsid w:val="085D0243"/>
    <w:rsid w:val="085E716A"/>
    <w:rsid w:val="086C1887"/>
    <w:rsid w:val="086D2810"/>
    <w:rsid w:val="0870297A"/>
    <w:rsid w:val="08723CB6"/>
    <w:rsid w:val="08797E70"/>
    <w:rsid w:val="087C2749"/>
    <w:rsid w:val="087F7EFB"/>
    <w:rsid w:val="08816D10"/>
    <w:rsid w:val="08855A74"/>
    <w:rsid w:val="088B1925"/>
    <w:rsid w:val="08935065"/>
    <w:rsid w:val="08937136"/>
    <w:rsid w:val="089808CE"/>
    <w:rsid w:val="08A41565"/>
    <w:rsid w:val="08A60BA0"/>
    <w:rsid w:val="08A92895"/>
    <w:rsid w:val="08BE0C0B"/>
    <w:rsid w:val="08BF5D2E"/>
    <w:rsid w:val="08C8745B"/>
    <w:rsid w:val="08C936EB"/>
    <w:rsid w:val="08C96CD9"/>
    <w:rsid w:val="08D24DAE"/>
    <w:rsid w:val="08D65C03"/>
    <w:rsid w:val="08D84918"/>
    <w:rsid w:val="08EE7AF8"/>
    <w:rsid w:val="08EF513D"/>
    <w:rsid w:val="08F07402"/>
    <w:rsid w:val="08F901D4"/>
    <w:rsid w:val="08FF69CC"/>
    <w:rsid w:val="0904353D"/>
    <w:rsid w:val="090B30A4"/>
    <w:rsid w:val="091305C3"/>
    <w:rsid w:val="09136725"/>
    <w:rsid w:val="09180CC0"/>
    <w:rsid w:val="0918315F"/>
    <w:rsid w:val="091F265B"/>
    <w:rsid w:val="092217DD"/>
    <w:rsid w:val="0928351B"/>
    <w:rsid w:val="092E26C8"/>
    <w:rsid w:val="092F4B10"/>
    <w:rsid w:val="093040EE"/>
    <w:rsid w:val="09357480"/>
    <w:rsid w:val="09372EA9"/>
    <w:rsid w:val="09386838"/>
    <w:rsid w:val="093A21B9"/>
    <w:rsid w:val="093A7294"/>
    <w:rsid w:val="093C56FD"/>
    <w:rsid w:val="09465263"/>
    <w:rsid w:val="094E4618"/>
    <w:rsid w:val="094F6548"/>
    <w:rsid w:val="09501D98"/>
    <w:rsid w:val="09594501"/>
    <w:rsid w:val="0959763F"/>
    <w:rsid w:val="095A3DD5"/>
    <w:rsid w:val="09622EAF"/>
    <w:rsid w:val="09632CE1"/>
    <w:rsid w:val="0966171F"/>
    <w:rsid w:val="09671450"/>
    <w:rsid w:val="096A207E"/>
    <w:rsid w:val="096D442F"/>
    <w:rsid w:val="096F5AD2"/>
    <w:rsid w:val="09737F0C"/>
    <w:rsid w:val="09827645"/>
    <w:rsid w:val="09851334"/>
    <w:rsid w:val="0987295B"/>
    <w:rsid w:val="0987316E"/>
    <w:rsid w:val="09907569"/>
    <w:rsid w:val="099847D3"/>
    <w:rsid w:val="09A06675"/>
    <w:rsid w:val="09A124A9"/>
    <w:rsid w:val="09A234D2"/>
    <w:rsid w:val="09A511D1"/>
    <w:rsid w:val="09A54065"/>
    <w:rsid w:val="09A9783D"/>
    <w:rsid w:val="09B45436"/>
    <w:rsid w:val="09C82984"/>
    <w:rsid w:val="09CA1C3C"/>
    <w:rsid w:val="09CA38CC"/>
    <w:rsid w:val="09D76772"/>
    <w:rsid w:val="09DC0581"/>
    <w:rsid w:val="09DC5ECB"/>
    <w:rsid w:val="09E4235E"/>
    <w:rsid w:val="09E56B3A"/>
    <w:rsid w:val="09E66811"/>
    <w:rsid w:val="09E82AD8"/>
    <w:rsid w:val="09EA28C9"/>
    <w:rsid w:val="09F271D7"/>
    <w:rsid w:val="09F813E1"/>
    <w:rsid w:val="09FD32E6"/>
    <w:rsid w:val="0A0522F8"/>
    <w:rsid w:val="0A054464"/>
    <w:rsid w:val="0A0D23F0"/>
    <w:rsid w:val="0A1908F9"/>
    <w:rsid w:val="0A1979A6"/>
    <w:rsid w:val="0A197E91"/>
    <w:rsid w:val="0A1B662A"/>
    <w:rsid w:val="0A226A01"/>
    <w:rsid w:val="0A242B44"/>
    <w:rsid w:val="0A254D41"/>
    <w:rsid w:val="0A263993"/>
    <w:rsid w:val="0A270F89"/>
    <w:rsid w:val="0A2B00F6"/>
    <w:rsid w:val="0A2D13B8"/>
    <w:rsid w:val="0A2D3AC2"/>
    <w:rsid w:val="0A3F0922"/>
    <w:rsid w:val="0A447F05"/>
    <w:rsid w:val="0A480B20"/>
    <w:rsid w:val="0A4C1E0E"/>
    <w:rsid w:val="0A4D1961"/>
    <w:rsid w:val="0A5044C5"/>
    <w:rsid w:val="0A50474E"/>
    <w:rsid w:val="0A5626D5"/>
    <w:rsid w:val="0A581CF0"/>
    <w:rsid w:val="0A5B6057"/>
    <w:rsid w:val="0A5F034F"/>
    <w:rsid w:val="0A6908A3"/>
    <w:rsid w:val="0A6A50C3"/>
    <w:rsid w:val="0A6D2085"/>
    <w:rsid w:val="0A6D6F02"/>
    <w:rsid w:val="0A7B6ED0"/>
    <w:rsid w:val="0A7D6406"/>
    <w:rsid w:val="0A8B7420"/>
    <w:rsid w:val="0A8C399B"/>
    <w:rsid w:val="0A9601ED"/>
    <w:rsid w:val="0A974CC7"/>
    <w:rsid w:val="0A9D041D"/>
    <w:rsid w:val="0A9D7C1D"/>
    <w:rsid w:val="0AA44B9B"/>
    <w:rsid w:val="0AA755DF"/>
    <w:rsid w:val="0AAA59E2"/>
    <w:rsid w:val="0AAD3B4E"/>
    <w:rsid w:val="0AAE6044"/>
    <w:rsid w:val="0AB92058"/>
    <w:rsid w:val="0ABD593F"/>
    <w:rsid w:val="0ABD6FFA"/>
    <w:rsid w:val="0AC10BAD"/>
    <w:rsid w:val="0ACC04FE"/>
    <w:rsid w:val="0AD12DEB"/>
    <w:rsid w:val="0AD71B6F"/>
    <w:rsid w:val="0AD83389"/>
    <w:rsid w:val="0ADA657C"/>
    <w:rsid w:val="0ADB187B"/>
    <w:rsid w:val="0ADC39E7"/>
    <w:rsid w:val="0ADD376E"/>
    <w:rsid w:val="0AE557CD"/>
    <w:rsid w:val="0AE61B9C"/>
    <w:rsid w:val="0AEA4F8E"/>
    <w:rsid w:val="0AED7589"/>
    <w:rsid w:val="0AEF22D9"/>
    <w:rsid w:val="0AFC4E06"/>
    <w:rsid w:val="0B010655"/>
    <w:rsid w:val="0B055E95"/>
    <w:rsid w:val="0B0F6AD3"/>
    <w:rsid w:val="0B120D44"/>
    <w:rsid w:val="0B141775"/>
    <w:rsid w:val="0B1C01BD"/>
    <w:rsid w:val="0B272FC8"/>
    <w:rsid w:val="0B2868F5"/>
    <w:rsid w:val="0B293791"/>
    <w:rsid w:val="0B2A2AB3"/>
    <w:rsid w:val="0B2A5B6A"/>
    <w:rsid w:val="0B2C102E"/>
    <w:rsid w:val="0B354E39"/>
    <w:rsid w:val="0B3F03D5"/>
    <w:rsid w:val="0B41240E"/>
    <w:rsid w:val="0B46009A"/>
    <w:rsid w:val="0B571C25"/>
    <w:rsid w:val="0B5C6715"/>
    <w:rsid w:val="0B684B95"/>
    <w:rsid w:val="0B6D086F"/>
    <w:rsid w:val="0B6D1A4D"/>
    <w:rsid w:val="0B6F07B1"/>
    <w:rsid w:val="0B6F674A"/>
    <w:rsid w:val="0B733F30"/>
    <w:rsid w:val="0B7573FD"/>
    <w:rsid w:val="0B896DE2"/>
    <w:rsid w:val="0B8C142E"/>
    <w:rsid w:val="0B8F4596"/>
    <w:rsid w:val="0B9510F4"/>
    <w:rsid w:val="0B9F2950"/>
    <w:rsid w:val="0BA10FDC"/>
    <w:rsid w:val="0BA545AF"/>
    <w:rsid w:val="0BAD41A6"/>
    <w:rsid w:val="0BAD7698"/>
    <w:rsid w:val="0BB04737"/>
    <w:rsid w:val="0BB36159"/>
    <w:rsid w:val="0BBD64D4"/>
    <w:rsid w:val="0BC419DA"/>
    <w:rsid w:val="0BC51F91"/>
    <w:rsid w:val="0BC55E2D"/>
    <w:rsid w:val="0BCE25AC"/>
    <w:rsid w:val="0BD27BF6"/>
    <w:rsid w:val="0BD971E7"/>
    <w:rsid w:val="0BDC17E3"/>
    <w:rsid w:val="0BDC1C87"/>
    <w:rsid w:val="0BDC6D23"/>
    <w:rsid w:val="0BE16AE0"/>
    <w:rsid w:val="0BE60ED0"/>
    <w:rsid w:val="0BE90FB1"/>
    <w:rsid w:val="0BEA0BF5"/>
    <w:rsid w:val="0BF027CF"/>
    <w:rsid w:val="0BF32EDF"/>
    <w:rsid w:val="0BF44D14"/>
    <w:rsid w:val="0BF96DB4"/>
    <w:rsid w:val="0BFA2A27"/>
    <w:rsid w:val="0C1610AB"/>
    <w:rsid w:val="0C182FF8"/>
    <w:rsid w:val="0C1963AA"/>
    <w:rsid w:val="0C2479BE"/>
    <w:rsid w:val="0C284B7E"/>
    <w:rsid w:val="0C2C7CAB"/>
    <w:rsid w:val="0C2E220E"/>
    <w:rsid w:val="0C361197"/>
    <w:rsid w:val="0C3B3C7D"/>
    <w:rsid w:val="0C3D2903"/>
    <w:rsid w:val="0C4146DA"/>
    <w:rsid w:val="0C435835"/>
    <w:rsid w:val="0C451DAD"/>
    <w:rsid w:val="0C4B698E"/>
    <w:rsid w:val="0C4F2F1A"/>
    <w:rsid w:val="0C504BB6"/>
    <w:rsid w:val="0C545E89"/>
    <w:rsid w:val="0C55745B"/>
    <w:rsid w:val="0C5715D4"/>
    <w:rsid w:val="0C580F1D"/>
    <w:rsid w:val="0C5D6063"/>
    <w:rsid w:val="0C5F4169"/>
    <w:rsid w:val="0C6801D7"/>
    <w:rsid w:val="0C72128C"/>
    <w:rsid w:val="0C761319"/>
    <w:rsid w:val="0C7960C7"/>
    <w:rsid w:val="0C7E602C"/>
    <w:rsid w:val="0C834D77"/>
    <w:rsid w:val="0C8379B2"/>
    <w:rsid w:val="0C84457A"/>
    <w:rsid w:val="0C851DA9"/>
    <w:rsid w:val="0C9231F7"/>
    <w:rsid w:val="0C925C1C"/>
    <w:rsid w:val="0C9376E9"/>
    <w:rsid w:val="0C9A37DC"/>
    <w:rsid w:val="0C9D011C"/>
    <w:rsid w:val="0CA56461"/>
    <w:rsid w:val="0CA710DF"/>
    <w:rsid w:val="0CAB2EAE"/>
    <w:rsid w:val="0CAC76FB"/>
    <w:rsid w:val="0CAD4525"/>
    <w:rsid w:val="0CAF15D3"/>
    <w:rsid w:val="0CB576CC"/>
    <w:rsid w:val="0CB97065"/>
    <w:rsid w:val="0CBF2A27"/>
    <w:rsid w:val="0CC075B1"/>
    <w:rsid w:val="0CC106A2"/>
    <w:rsid w:val="0CC82D37"/>
    <w:rsid w:val="0CCE0124"/>
    <w:rsid w:val="0CD3199D"/>
    <w:rsid w:val="0CE723C0"/>
    <w:rsid w:val="0CF00965"/>
    <w:rsid w:val="0CF64E76"/>
    <w:rsid w:val="0CFB13EE"/>
    <w:rsid w:val="0CFF5C94"/>
    <w:rsid w:val="0D0145ED"/>
    <w:rsid w:val="0D0324FC"/>
    <w:rsid w:val="0D0D04FB"/>
    <w:rsid w:val="0D0E425C"/>
    <w:rsid w:val="0D1467B9"/>
    <w:rsid w:val="0D17428F"/>
    <w:rsid w:val="0D1C1E69"/>
    <w:rsid w:val="0D2935F8"/>
    <w:rsid w:val="0D297A2E"/>
    <w:rsid w:val="0D2B3F2D"/>
    <w:rsid w:val="0D2C7836"/>
    <w:rsid w:val="0D2F0621"/>
    <w:rsid w:val="0D307327"/>
    <w:rsid w:val="0D314415"/>
    <w:rsid w:val="0D332D03"/>
    <w:rsid w:val="0D36163E"/>
    <w:rsid w:val="0D3905CC"/>
    <w:rsid w:val="0D42266F"/>
    <w:rsid w:val="0D477D81"/>
    <w:rsid w:val="0D5225F0"/>
    <w:rsid w:val="0D53502C"/>
    <w:rsid w:val="0D57086B"/>
    <w:rsid w:val="0D621C7D"/>
    <w:rsid w:val="0D654460"/>
    <w:rsid w:val="0D6C2664"/>
    <w:rsid w:val="0D746A6A"/>
    <w:rsid w:val="0D7870CE"/>
    <w:rsid w:val="0D79329F"/>
    <w:rsid w:val="0D793E17"/>
    <w:rsid w:val="0D814026"/>
    <w:rsid w:val="0D823B7E"/>
    <w:rsid w:val="0D854202"/>
    <w:rsid w:val="0D8F00DF"/>
    <w:rsid w:val="0D8F0EA8"/>
    <w:rsid w:val="0D981488"/>
    <w:rsid w:val="0D9C6F49"/>
    <w:rsid w:val="0DA1596F"/>
    <w:rsid w:val="0DA30718"/>
    <w:rsid w:val="0DAA10E4"/>
    <w:rsid w:val="0DB805EF"/>
    <w:rsid w:val="0DB9215C"/>
    <w:rsid w:val="0DC24136"/>
    <w:rsid w:val="0DE02501"/>
    <w:rsid w:val="0DEE5BB6"/>
    <w:rsid w:val="0DF946FF"/>
    <w:rsid w:val="0DFB1411"/>
    <w:rsid w:val="0DFD7C65"/>
    <w:rsid w:val="0E0A464B"/>
    <w:rsid w:val="0E174D12"/>
    <w:rsid w:val="0E191C79"/>
    <w:rsid w:val="0E1A3828"/>
    <w:rsid w:val="0E1B3FAE"/>
    <w:rsid w:val="0E2B7895"/>
    <w:rsid w:val="0E350D4C"/>
    <w:rsid w:val="0E3C054C"/>
    <w:rsid w:val="0E3E173A"/>
    <w:rsid w:val="0E4242E7"/>
    <w:rsid w:val="0E433A4F"/>
    <w:rsid w:val="0E502488"/>
    <w:rsid w:val="0E5114C9"/>
    <w:rsid w:val="0E512AAC"/>
    <w:rsid w:val="0E537FC9"/>
    <w:rsid w:val="0E541DE2"/>
    <w:rsid w:val="0E5E29D6"/>
    <w:rsid w:val="0E5F4B31"/>
    <w:rsid w:val="0E62795E"/>
    <w:rsid w:val="0E73034D"/>
    <w:rsid w:val="0E741C22"/>
    <w:rsid w:val="0E767605"/>
    <w:rsid w:val="0E7874BC"/>
    <w:rsid w:val="0E8521AD"/>
    <w:rsid w:val="0E8E0A6F"/>
    <w:rsid w:val="0E8E2B29"/>
    <w:rsid w:val="0E97485D"/>
    <w:rsid w:val="0E9879F6"/>
    <w:rsid w:val="0E9953A0"/>
    <w:rsid w:val="0E9A254A"/>
    <w:rsid w:val="0E9D3DBD"/>
    <w:rsid w:val="0EAC1452"/>
    <w:rsid w:val="0EAF09B6"/>
    <w:rsid w:val="0EB12FA5"/>
    <w:rsid w:val="0EB328A2"/>
    <w:rsid w:val="0EB713F7"/>
    <w:rsid w:val="0EB716D8"/>
    <w:rsid w:val="0EB71DEF"/>
    <w:rsid w:val="0EBF0A91"/>
    <w:rsid w:val="0EC13D2D"/>
    <w:rsid w:val="0EC92252"/>
    <w:rsid w:val="0ED1410A"/>
    <w:rsid w:val="0ED42F4C"/>
    <w:rsid w:val="0ED53A08"/>
    <w:rsid w:val="0ED9385F"/>
    <w:rsid w:val="0EDF1BAA"/>
    <w:rsid w:val="0EE552A6"/>
    <w:rsid w:val="0EE7540B"/>
    <w:rsid w:val="0EEC3721"/>
    <w:rsid w:val="0EEC49CF"/>
    <w:rsid w:val="0EEE4ACA"/>
    <w:rsid w:val="0EF74C4B"/>
    <w:rsid w:val="0EF84098"/>
    <w:rsid w:val="0EFA50AC"/>
    <w:rsid w:val="0EFA54FC"/>
    <w:rsid w:val="0EFD4B02"/>
    <w:rsid w:val="0EFD55CE"/>
    <w:rsid w:val="0EFE580F"/>
    <w:rsid w:val="0F003CBA"/>
    <w:rsid w:val="0F0A22F9"/>
    <w:rsid w:val="0F13775A"/>
    <w:rsid w:val="0F1A028E"/>
    <w:rsid w:val="0F1D48D7"/>
    <w:rsid w:val="0F1F1F2A"/>
    <w:rsid w:val="0F200B1B"/>
    <w:rsid w:val="0F21129F"/>
    <w:rsid w:val="0F301B13"/>
    <w:rsid w:val="0F320C0B"/>
    <w:rsid w:val="0F37005D"/>
    <w:rsid w:val="0F4052F0"/>
    <w:rsid w:val="0F424977"/>
    <w:rsid w:val="0F44112A"/>
    <w:rsid w:val="0F44562E"/>
    <w:rsid w:val="0F527B55"/>
    <w:rsid w:val="0F5633F5"/>
    <w:rsid w:val="0F597234"/>
    <w:rsid w:val="0F5A638B"/>
    <w:rsid w:val="0F5F45FE"/>
    <w:rsid w:val="0F623AF8"/>
    <w:rsid w:val="0F652C2D"/>
    <w:rsid w:val="0F6F7CF5"/>
    <w:rsid w:val="0F893F27"/>
    <w:rsid w:val="0F894C68"/>
    <w:rsid w:val="0F8B3DB7"/>
    <w:rsid w:val="0F8E0A11"/>
    <w:rsid w:val="0F941085"/>
    <w:rsid w:val="0F951C58"/>
    <w:rsid w:val="0F953ADA"/>
    <w:rsid w:val="0F991FEB"/>
    <w:rsid w:val="0F9A112B"/>
    <w:rsid w:val="0FA30F4B"/>
    <w:rsid w:val="0FA535CF"/>
    <w:rsid w:val="0FB3497E"/>
    <w:rsid w:val="0FB37FBE"/>
    <w:rsid w:val="0FB643B9"/>
    <w:rsid w:val="0FBC4A01"/>
    <w:rsid w:val="0FC06167"/>
    <w:rsid w:val="0FC3629B"/>
    <w:rsid w:val="0FD66B05"/>
    <w:rsid w:val="0FDE38D3"/>
    <w:rsid w:val="0FDF09D7"/>
    <w:rsid w:val="0FF67397"/>
    <w:rsid w:val="0FFF390E"/>
    <w:rsid w:val="10027890"/>
    <w:rsid w:val="10042A84"/>
    <w:rsid w:val="10083397"/>
    <w:rsid w:val="100A43EE"/>
    <w:rsid w:val="100B667A"/>
    <w:rsid w:val="100B79CF"/>
    <w:rsid w:val="10146B17"/>
    <w:rsid w:val="10191796"/>
    <w:rsid w:val="102453DF"/>
    <w:rsid w:val="10267BBF"/>
    <w:rsid w:val="102E1911"/>
    <w:rsid w:val="10351A4A"/>
    <w:rsid w:val="103669CA"/>
    <w:rsid w:val="103B6F8B"/>
    <w:rsid w:val="1047331C"/>
    <w:rsid w:val="104B4B55"/>
    <w:rsid w:val="1050463A"/>
    <w:rsid w:val="10573096"/>
    <w:rsid w:val="10590EF7"/>
    <w:rsid w:val="105D374E"/>
    <w:rsid w:val="105E456D"/>
    <w:rsid w:val="10620018"/>
    <w:rsid w:val="10623969"/>
    <w:rsid w:val="106458F9"/>
    <w:rsid w:val="106D0892"/>
    <w:rsid w:val="106D2F64"/>
    <w:rsid w:val="106E3F17"/>
    <w:rsid w:val="106E73E6"/>
    <w:rsid w:val="107655C8"/>
    <w:rsid w:val="10772D2F"/>
    <w:rsid w:val="107C0908"/>
    <w:rsid w:val="107C4009"/>
    <w:rsid w:val="10814AA1"/>
    <w:rsid w:val="10820F7B"/>
    <w:rsid w:val="108725F8"/>
    <w:rsid w:val="10930DCB"/>
    <w:rsid w:val="10957407"/>
    <w:rsid w:val="109623F2"/>
    <w:rsid w:val="10987824"/>
    <w:rsid w:val="109A464C"/>
    <w:rsid w:val="10A32CB2"/>
    <w:rsid w:val="10A61E48"/>
    <w:rsid w:val="10AA1270"/>
    <w:rsid w:val="10AE5CB1"/>
    <w:rsid w:val="10B063EA"/>
    <w:rsid w:val="10B63710"/>
    <w:rsid w:val="10BC3767"/>
    <w:rsid w:val="10BE7A21"/>
    <w:rsid w:val="10C1460C"/>
    <w:rsid w:val="10C81B71"/>
    <w:rsid w:val="10CC0EB2"/>
    <w:rsid w:val="10DC4936"/>
    <w:rsid w:val="10E174A1"/>
    <w:rsid w:val="10E40182"/>
    <w:rsid w:val="10E80243"/>
    <w:rsid w:val="10F10820"/>
    <w:rsid w:val="10F35AA2"/>
    <w:rsid w:val="10F6573A"/>
    <w:rsid w:val="10FD7E68"/>
    <w:rsid w:val="11016F11"/>
    <w:rsid w:val="110513C1"/>
    <w:rsid w:val="11106297"/>
    <w:rsid w:val="111C2F7A"/>
    <w:rsid w:val="111E2068"/>
    <w:rsid w:val="112F7AD4"/>
    <w:rsid w:val="11302D6E"/>
    <w:rsid w:val="113C261A"/>
    <w:rsid w:val="114E2C82"/>
    <w:rsid w:val="115475E2"/>
    <w:rsid w:val="1155291D"/>
    <w:rsid w:val="11571EA4"/>
    <w:rsid w:val="11631A41"/>
    <w:rsid w:val="11650F5D"/>
    <w:rsid w:val="11665CA1"/>
    <w:rsid w:val="11684477"/>
    <w:rsid w:val="11753313"/>
    <w:rsid w:val="117E44E7"/>
    <w:rsid w:val="11892EAF"/>
    <w:rsid w:val="11927E7C"/>
    <w:rsid w:val="119C6BE3"/>
    <w:rsid w:val="11A12498"/>
    <w:rsid w:val="11A43533"/>
    <w:rsid w:val="11A52DFE"/>
    <w:rsid w:val="11A63E90"/>
    <w:rsid w:val="11A845EE"/>
    <w:rsid w:val="11B41AA3"/>
    <w:rsid w:val="11B52FA0"/>
    <w:rsid w:val="11C03B90"/>
    <w:rsid w:val="11C54B88"/>
    <w:rsid w:val="11CD6484"/>
    <w:rsid w:val="11D03426"/>
    <w:rsid w:val="11D179C9"/>
    <w:rsid w:val="11D70E92"/>
    <w:rsid w:val="11E01C19"/>
    <w:rsid w:val="11E71D1D"/>
    <w:rsid w:val="11EC07A1"/>
    <w:rsid w:val="11EF7EE8"/>
    <w:rsid w:val="11F37B5B"/>
    <w:rsid w:val="11F60B16"/>
    <w:rsid w:val="11F612D3"/>
    <w:rsid w:val="11F91E21"/>
    <w:rsid w:val="11FB4FDB"/>
    <w:rsid w:val="11FE4528"/>
    <w:rsid w:val="11FE5C9A"/>
    <w:rsid w:val="120203FB"/>
    <w:rsid w:val="1207706B"/>
    <w:rsid w:val="120C7C36"/>
    <w:rsid w:val="120D0C93"/>
    <w:rsid w:val="12126D27"/>
    <w:rsid w:val="121B4827"/>
    <w:rsid w:val="121F6421"/>
    <w:rsid w:val="12357827"/>
    <w:rsid w:val="1236279B"/>
    <w:rsid w:val="123D6154"/>
    <w:rsid w:val="12465F2C"/>
    <w:rsid w:val="12492ADE"/>
    <w:rsid w:val="124A2743"/>
    <w:rsid w:val="12524A27"/>
    <w:rsid w:val="12532439"/>
    <w:rsid w:val="12570C64"/>
    <w:rsid w:val="12615840"/>
    <w:rsid w:val="12792AF5"/>
    <w:rsid w:val="127B5ECE"/>
    <w:rsid w:val="128048BE"/>
    <w:rsid w:val="12814F68"/>
    <w:rsid w:val="12824C5E"/>
    <w:rsid w:val="128A4873"/>
    <w:rsid w:val="128B537A"/>
    <w:rsid w:val="128D521B"/>
    <w:rsid w:val="128F3E72"/>
    <w:rsid w:val="1293001F"/>
    <w:rsid w:val="12AF6F40"/>
    <w:rsid w:val="12B346D1"/>
    <w:rsid w:val="12C9796E"/>
    <w:rsid w:val="12D876BC"/>
    <w:rsid w:val="12E002BE"/>
    <w:rsid w:val="12E36D65"/>
    <w:rsid w:val="12E973E4"/>
    <w:rsid w:val="12ED22E1"/>
    <w:rsid w:val="12F00BB3"/>
    <w:rsid w:val="12F51DEE"/>
    <w:rsid w:val="12F60EFC"/>
    <w:rsid w:val="12F96B49"/>
    <w:rsid w:val="13077C22"/>
    <w:rsid w:val="13086650"/>
    <w:rsid w:val="130B57DD"/>
    <w:rsid w:val="130E1E9B"/>
    <w:rsid w:val="13164DB1"/>
    <w:rsid w:val="13167E2F"/>
    <w:rsid w:val="13192368"/>
    <w:rsid w:val="131A6241"/>
    <w:rsid w:val="13204A6D"/>
    <w:rsid w:val="13287A41"/>
    <w:rsid w:val="132C1E30"/>
    <w:rsid w:val="132E167F"/>
    <w:rsid w:val="13307F18"/>
    <w:rsid w:val="133152CF"/>
    <w:rsid w:val="13342FDB"/>
    <w:rsid w:val="133B765C"/>
    <w:rsid w:val="133F6234"/>
    <w:rsid w:val="13453D4A"/>
    <w:rsid w:val="13492913"/>
    <w:rsid w:val="134F0532"/>
    <w:rsid w:val="13573CFA"/>
    <w:rsid w:val="135A376D"/>
    <w:rsid w:val="135F6234"/>
    <w:rsid w:val="136A7DEF"/>
    <w:rsid w:val="13717039"/>
    <w:rsid w:val="137828DB"/>
    <w:rsid w:val="13785EC6"/>
    <w:rsid w:val="13951726"/>
    <w:rsid w:val="13957C42"/>
    <w:rsid w:val="13967953"/>
    <w:rsid w:val="139A4FA8"/>
    <w:rsid w:val="139D664B"/>
    <w:rsid w:val="139F20ED"/>
    <w:rsid w:val="13A30170"/>
    <w:rsid w:val="13A64A04"/>
    <w:rsid w:val="13AB29D2"/>
    <w:rsid w:val="13AB66C0"/>
    <w:rsid w:val="13B41CEF"/>
    <w:rsid w:val="13B63B73"/>
    <w:rsid w:val="13BD15C2"/>
    <w:rsid w:val="13C028D2"/>
    <w:rsid w:val="13C155D9"/>
    <w:rsid w:val="13CE33F5"/>
    <w:rsid w:val="13CF6123"/>
    <w:rsid w:val="13D004BD"/>
    <w:rsid w:val="13D306EC"/>
    <w:rsid w:val="13D80718"/>
    <w:rsid w:val="13E16F43"/>
    <w:rsid w:val="13F9058C"/>
    <w:rsid w:val="13FD2AF8"/>
    <w:rsid w:val="140B4892"/>
    <w:rsid w:val="14117DD0"/>
    <w:rsid w:val="14173A75"/>
    <w:rsid w:val="141D612B"/>
    <w:rsid w:val="141E0462"/>
    <w:rsid w:val="141F2BD2"/>
    <w:rsid w:val="142874FB"/>
    <w:rsid w:val="143363D6"/>
    <w:rsid w:val="14396509"/>
    <w:rsid w:val="143C390B"/>
    <w:rsid w:val="1448778A"/>
    <w:rsid w:val="144B2137"/>
    <w:rsid w:val="144D6A10"/>
    <w:rsid w:val="144E1616"/>
    <w:rsid w:val="14560539"/>
    <w:rsid w:val="1456666A"/>
    <w:rsid w:val="1463789F"/>
    <w:rsid w:val="146B57A7"/>
    <w:rsid w:val="146D77A1"/>
    <w:rsid w:val="146D7953"/>
    <w:rsid w:val="14781A73"/>
    <w:rsid w:val="148D4C49"/>
    <w:rsid w:val="148E3632"/>
    <w:rsid w:val="148E6583"/>
    <w:rsid w:val="14914E98"/>
    <w:rsid w:val="149A6420"/>
    <w:rsid w:val="14A22ECA"/>
    <w:rsid w:val="14A7582C"/>
    <w:rsid w:val="14A75F77"/>
    <w:rsid w:val="14A8224D"/>
    <w:rsid w:val="14AF1037"/>
    <w:rsid w:val="14B551F0"/>
    <w:rsid w:val="14C21490"/>
    <w:rsid w:val="14C47DB1"/>
    <w:rsid w:val="14CA6943"/>
    <w:rsid w:val="14D85792"/>
    <w:rsid w:val="14DA066D"/>
    <w:rsid w:val="14DD2C3C"/>
    <w:rsid w:val="14DF2D5B"/>
    <w:rsid w:val="14E05AD6"/>
    <w:rsid w:val="14E82FF1"/>
    <w:rsid w:val="14ED657B"/>
    <w:rsid w:val="14F5095C"/>
    <w:rsid w:val="14F51B6B"/>
    <w:rsid w:val="14F66DA8"/>
    <w:rsid w:val="14F94AB5"/>
    <w:rsid w:val="14FD0F91"/>
    <w:rsid w:val="14FF2B7F"/>
    <w:rsid w:val="150251DD"/>
    <w:rsid w:val="15041227"/>
    <w:rsid w:val="15080B89"/>
    <w:rsid w:val="15085DBC"/>
    <w:rsid w:val="15085E05"/>
    <w:rsid w:val="150C7861"/>
    <w:rsid w:val="151569C7"/>
    <w:rsid w:val="151B56A4"/>
    <w:rsid w:val="151C0F3F"/>
    <w:rsid w:val="152415C5"/>
    <w:rsid w:val="15272708"/>
    <w:rsid w:val="152F24D3"/>
    <w:rsid w:val="15324FBB"/>
    <w:rsid w:val="153720DF"/>
    <w:rsid w:val="154B6663"/>
    <w:rsid w:val="155A3008"/>
    <w:rsid w:val="155F611D"/>
    <w:rsid w:val="15696111"/>
    <w:rsid w:val="157F3E80"/>
    <w:rsid w:val="158928C9"/>
    <w:rsid w:val="158B2CAA"/>
    <w:rsid w:val="159338AB"/>
    <w:rsid w:val="15971DA7"/>
    <w:rsid w:val="15994426"/>
    <w:rsid w:val="159B2396"/>
    <w:rsid w:val="15A21FB2"/>
    <w:rsid w:val="15A239B3"/>
    <w:rsid w:val="15A4093F"/>
    <w:rsid w:val="15A84EDC"/>
    <w:rsid w:val="15AE2BBA"/>
    <w:rsid w:val="15B336E4"/>
    <w:rsid w:val="15B4486D"/>
    <w:rsid w:val="15C85C41"/>
    <w:rsid w:val="15CC0E72"/>
    <w:rsid w:val="15D14711"/>
    <w:rsid w:val="15D20CCE"/>
    <w:rsid w:val="15D3717B"/>
    <w:rsid w:val="15D9391F"/>
    <w:rsid w:val="15D93A3C"/>
    <w:rsid w:val="15DE1AC5"/>
    <w:rsid w:val="15DE3183"/>
    <w:rsid w:val="15E37518"/>
    <w:rsid w:val="15EE5474"/>
    <w:rsid w:val="15F10D28"/>
    <w:rsid w:val="15F638CC"/>
    <w:rsid w:val="15F84E3F"/>
    <w:rsid w:val="15FC2E09"/>
    <w:rsid w:val="16017C52"/>
    <w:rsid w:val="1606712B"/>
    <w:rsid w:val="16087E1D"/>
    <w:rsid w:val="160C4E4E"/>
    <w:rsid w:val="1612293E"/>
    <w:rsid w:val="161A2F18"/>
    <w:rsid w:val="16297D78"/>
    <w:rsid w:val="16301B32"/>
    <w:rsid w:val="16312D58"/>
    <w:rsid w:val="16322361"/>
    <w:rsid w:val="16395991"/>
    <w:rsid w:val="163C7698"/>
    <w:rsid w:val="163D2F10"/>
    <w:rsid w:val="16414353"/>
    <w:rsid w:val="164504EC"/>
    <w:rsid w:val="16475D9B"/>
    <w:rsid w:val="16521DF2"/>
    <w:rsid w:val="16591160"/>
    <w:rsid w:val="165C6783"/>
    <w:rsid w:val="166C5148"/>
    <w:rsid w:val="166D264A"/>
    <w:rsid w:val="16713116"/>
    <w:rsid w:val="16744E25"/>
    <w:rsid w:val="16754765"/>
    <w:rsid w:val="167F6A2A"/>
    <w:rsid w:val="167F73A7"/>
    <w:rsid w:val="168562D3"/>
    <w:rsid w:val="168E73FE"/>
    <w:rsid w:val="1699078A"/>
    <w:rsid w:val="169E55C3"/>
    <w:rsid w:val="169F225D"/>
    <w:rsid w:val="169F388D"/>
    <w:rsid w:val="16A01712"/>
    <w:rsid w:val="16A04186"/>
    <w:rsid w:val="16A6498C"/>
    <w:rsid w:val="16A83B99"/>
    <w:rsid w:val="16B20121"/>
    <w:rsid w:val="16B90992"/>
    <w:rsid w:val="16BC1D7E"/>
    <w:rsid w:val="16BE03B6"/>
    <w:rsid w:val="16C5627F"/>
    <w:rsid w:val="16C6603E"/>
    <w:rsid w:val="16CE6CE0"/>
    <w:rsid w:val="16D14F43"/>
    <w:rsid w:val="16D654E2"/>
    <w:rsid w:val="16DC5842"/>
    <w:rsid w:val="16E041DD"/>
    <w:rsid w:val="16E25F22"/>
    <w:rsid w:val="16F844A5"/>
    <w:rsid w:val="16FA0115"/>
    <w:rsid w:val="16FA4BDC"/>
    <w:rsid w:val="16FD7788"/>
    <w:rsid w:val="17091E1F"/>
    <w:rsid w:val="170B16F2"/>
    <w:rsid w:val="171471D1"/>
    <w:rsid w:val="171A3A2D"/>
    <w:rsid w:val="17293BD4"/>
    <w:rsid w:val="173225A1"/>
    <w:rsid w:val="17423546"/>
    <w:rsid w:val="174628EA"/>
    <w:rsid w:val="17541180"/>
    <w:rsid w:val="175D0538"/>
    <w:rsid w:val="17606A5A"/>
    <w:rsid w:val="17632D4E"/>
    <w:rsid w:val="17701D14"/>
    <w:rsid w:val="177130A8"/>
    <w:rsid w:val="17735226"/>
    <w:rsid w:val="17802473"/>
    <w:rsid w:val="178C5FB5"/>
    <w:rsid w:val="178F58A1"/>
    <w:rsid w:val="17907734"/>
    <w:rsid w:val="17916839"/>
    <w:rsid w:val="17967041"/>
    <w:rsid w:val="17A0460B"/>
    <w:rsid w:val="17A43924"/>
    <w:rsid w:val="17A55089"/>
    <w:rsid w:val="17A66495"/>
    <w:rsid w:val="17A7411E"/>
    <w:rsid w:val="17A7659F"/>
    <w:rsid w:val="17B23F33"/>
    <w:rsid w:val="17B86D2E"/>
    <w:rsid w:val="17BB0D92"/>
    <w:rsid w:val="17BF1CFA"/>
    <w:rsid w:val="17BF1EE5"/>
    <w:rsid w:val="17CC02C9"/>
    <w:rsid w:val="17CE7A6B"/>
    <w:rsid w:val="17DB4333"/>
    <w:rsid w:val="17DE2C62"/>
    <w:rsid w:val="17E547A3"/>
    <w:rsid w:val="17E64739"/>
    <w:rsid w:val="17EF4FE8"/>
    <w:rsid w:val="17F25611"/>
    <w:rsid w:val="17F43CA1"/>
    <w:rsid w:val="17F75EC0"/>
    <w:rsid w:val="17FD0844"/>
    <w:rsid w:val="1808152A"/>
    <w:rsid w:val="18082AB4"/>
    <w:rsid w:val="180D16A6"/>
    <w:rsid w:val="180E3F8A"/>
    <w:rsid w:val="180F41C8"/>
    <w:rsid w:val="18144D7B"/>
    <w:rsid w:val="18194956"/>
    <w:rsid w:val="18266C7F"/>
    <w:rsid w:val="1827643D"/>
    <w:rsid w:val="183A5AD9"/>
    <w:rsid w:val="18437714"/>
    <w:rsid w:val="1844778C"/>
    <w:rsid w:val="18460319"/>
    <w:rsid w:val="18490ACF"/>
    <w:rsid w:val="184A1B04"/>
    <w:rsid w:val="184F4F89"/>
    <w:rsid w:val="185A7353"/>
    <w:rsid w:val="18635FD1"/>
    <w:rsid w:val="18637A6E"/>
    <w:rsid w:val="18694C6A"/>
    <w:rsid w:val="186E6D7D"/>
    <w:rsid w:val="187074DE"/>
    <w:rsid w:val="187334B3"/>
    <w:rsid w:val="187402ED"/>
    <w:rsid w:val="187B3420"/>
    <w:rsid w:val="18817F60"/>
    <w:rsid w:val="188655FD"/>
    <w:rsid w:val="188D7BFA"/>
    <w:rsid w:val="1894341F"/>
    <w:rsid w:val="18945E6F"/>
    <w:rsid w:val="189865B9"/>
    <w:rsid w:val="189D5829"/>
    <w:rsid w:val="189E0581"/>
    <w:rsid w:val="189F624C"/>
    <w:rsid w:val="18AE16D9"/>
    <w:rsid w:val="18AF2A51"/>
    <w:rsid w:val="18B7054A"/>
    <w:rsid w:val="18B82915"/>
    <w:rsid w:val="18BA3D54"/>
    <w:rsid w:val="18CC10D7"/>
    <w:rsid w:val="18D1107A"/>
    <w:rsid w:val="18D428A2"/>
    <w:rsid w:val="18D916F4"/>
    <w:rsid w:val="18D92A9B"/>
    <w:rsid w:val="18DA0A8E"/>
    <w:rsid w:val="18E87A12"/>
    <w:rsid w:val="18F03E0E"/>
    <w:rsid w:val="19001E33"/>
    <w:rsid w:val="190C17DB"/>
    <w:rsid w:val="19235641"/>
    <w:rsid w:val="192812AB"/>
    <w:rsid w:val="192C637E"/>
    <w:rsid w:val="1935468A"/>
    <w:rsid w:val="193D7282"/>
    <w:rsid w:val="194027C1"/>
    <w:rsid w:val="1940480C"/>
    <w:rsid w:val="19474492"/>
    <w:rsid w:val="194956E9"/>
    <w:rsid w:val="194A4C1A"/>
    <w:rsid w:val="195609DC"/>
    <w:rsid w:val="19575143"/>
    <w:rsid w:val="1959726E"/>
    <w:rsid w:val="19602E95"/>
    <w:rsid w:val="19620355"/>
    <w:rsid w:val="19707141"/>
    <w:rsid w:val="19717B1A"/>
    <w:rsid w:val="19782D2F"/>
    <w:rsid w:val="1986507D"/>
    <w:rsid w:val="198D5B51"/>
    <w:rsid w:val="199966C3"/>
    <w:rsid w:val="199C42CD"/>
    <w:rsid w:val="19A431D3"/>
    <w:rsid w:val="19AA2F77"/>
    <w:rsid w:val="19AB51D5"/>
    <w:rsid w:val="19AB52E4"/>
    <w:rsid w:val="19C17B7B"/>
    <w:rsid w:val="19C305FC"/>
    <w:rsid w:val="19C648AE"/>
    <w:rsid w:val="19CD1A38"/>
    <w:rsid w:val="19CD710A"/>
    <w:rsid w:val="19D47758"/>
    <w:rsid w:val="19DF0132"/>
    <w:rsid w:val="19E30339"/>
    <w:rsid w:val="19E613F2"/>
    <w:rsid w:val="19EF2C07"/>
    <w:rsid w:val="19F41C47"/>
    <w:rsid w:val="19F61834"/>
    <w:rsid w:val="19F73DDD"/>
    <w:rsid w:val="19F80899"/>
    <w:rsid w:val="19FA7CBC"/>
    <w:rsid w:val="19FD4D8A"/>
    <w:rsid w:val="19FE0EA9"/>
    <w:rsid w:val="1A011489"/>
    <w:rsid w:val="1A04480E"/>
    <w:rsid w:val="1A1C66C0"/>
    <w:rsid w:val="1A2372C4"/>
    <w:rsid w:val="1A2D499E"/>
    <w:rsid w:val="1A2F6C6F"/>
    <w:rsid w:val="1A331F9B"/>
    <w:rsid w:val="1A3348FA"/>
    <w:rsid w:val="1A38383E"/>
    <w:rsid w:val="1A3B3BCE"/>
    <w:rsid w:val="1A3D265A"/>
    <w:rsid w:val="1A3E08A1"/>
    <w:rsid w:val="1A42393B"/>
    <w:rsid w:val="1A423DF1"/>
    <w:rsid w:val="1A4A5902"/>
    <w:rsid w:val="1A4D45C0"/>
    <w:rsid w:val="1A4F28C1"/>
    <w:rsid w:val="1A5274ED"/>
    <w:rsid w:val="1A546A84"/>
    <w:rsid w:val="1A5E3E22"/>
    <w:rsid w:val="1A5F539E"/>
    <w:rsid w:val="1A6E05BC"/>
    <w:rsid w:val="1A721C04"/>
    <w:rsid w:val="1A7A254F"/>
    <w:rsid w:val="1A807151"/>
    <w:rsid w:val="1A8328DA"/>
    <w:rsid w:val="1A874380"/>
    <w:rsid w:val="1A877BC7"/>
    <w:rsid w:val="1A897978"/>
    <w:rsid w:val="1A901478"/>
    <w:rsid w:val="1A9A3880"/>
    <w:rsid w:val="1A9D2CAA"/>
    <w:rsid w:val="1AA70FE5"/>
    <w:rsid w:val="1AAD45DE"/>
    <w:rsid w:val="1AB10B93"/>
    <w:rsid w:val="1ABC7133"/>
    <w:rsid w:val="1AC7223F"/>
    <w:rsid w:val="1AC81B1F"/>
    <w:rsid w:val="1AE95540"/>
    <w:rsid w:val="1AEA7DC7"/>
    <w:rsid w:val="1AEE16F8"/>
    <w:rsid w:val="1AF20151"/>
    <w:rsid w:val="1AFB432D"/>
    <w:rsid w:val="1AFF09CC"/>
    <w:rsid w:val="1B0210E2"/>
    <w:rsid w:val="1B046F80"/>
    <w:rsid w:val="1B19445E"/>
    <w:rsid w:val="1B1C24FE"/>
    <w:rsid w:val="1B1F2CCB"/>
    <w:rsid w:val="1B211BEC"/>
    <w:rsid w:val="1B23752B"/>
    <w:rsid w:val="1B3267B5"/>
    <w:rsid w:val="1B333154"/>
    <w:rsid w:val="1B360D54"/>
    <w:rsid w:val="1B3B6F4E"/>
    <w:rsid w:val="1B3E2742"/>
    <w:rsid w:val="1B3F1CF6"/>
    <w:rsid w:val="1B40161D"/>
    <w:rsid w:val="1B441859"/>
    <w:rsid w:val="1B451DDD"/>
    <w:rsid w:val="1B47725A"/>
    <w:rsid w:val="1B4B5EE5"/>
    <w:rsid w:val="1B4F4B7B"/>
    <w:rsid w:val="1B6606B1"/>
    <w:rsid w:val="1B66535C"/>
    <w:rsid w:val="1B6A145A"/>
    <w:rsid w:val="1B6F6103"/>
    <w:rsid w:val="1B71078D"/>
    <w:rsid w:val="1B741CCB"/>
    <w:rsid w:val="1B77417B"/>
    <w:rsid w:val="1B7F7614"/>
    <w:rsid w:val="1B8457D9"/>
    <w:rsid w:val="1B9674DE"/>
    <w:rsid w:val="1B996CEA"/>
    <w:rsid w:val="1BA30804"/>
    <w:rsid w:val="1BB34A73"/>
    <w:rsid w:val="1BBD75E9"/>
    <w:rsid w:val="1BBF5D80"/>
    <w:rsid w:val="1BC16C86"/>
    <w:rsid w:val="1BC7712C"/>
    <w:rsid w:val="1BD24A3C"/>
    <w:rsid w:val="1BE15C8E"/>
    <w:rsid w:val="1BE966A8"/>
    <w:rsid w:val="1BF36354"/>
    <w:rsid w:val="1BF46DEA"/>
    <w:rsid w:val="1C0420C3"/>
    <w:rsid w:val="1C042AFF"/>
    <w:rsid w:val="1C0A71DD"/>
    <w:rsid w:val="1C0D76BC"/>
    <w:rsid w:val="1C197A03"/>
    <w:rsid w:val="1C1B373B"/>
    <w:rsid w:val="1C2539B7"/>
    <w:rsid w:val="1C3070A6"/>
    <w:rsid w:val="1C38489D"/>
    <w:rsid w:val="1C3B21A2"/>
    <w:rsid w:val="1C3C502D"/>
    <w:rsid w:val="1C3E55DF"/>
    <w:rsid w:val="1C43750F"/>
    <w:rsid w:val="1C4C05C0"/>
    <w:rsid w:val="1C4C36D7"/>
    <w:rsid w:val="1C520B1B"/>
    <w:rsid w:val="1C5B6A68"/>
    <w:rsid w:val="1C5E7925"/>
    <w:rsid w:val="1C60012C"/>
    <w:rsid w:val="1C631B56"/>
    <w:rsid w:val="1C667B05"/>
    <w:rsid w:val="1C6712F8"/>
    <w:rsid w:val="1C6C5BA4"/>
    <w:rsid w:val="1C723235"/>
    <w:rsid w:val="1C785FE2"/>
    <w:rsid w:val="1C7C6F21"/>
    <w:rsid w:val="1C7F15A3"/>
    <w:rsid w:val="1C827625"/>
    <w:rsid w:val="1C953E14"/>
    <w:rsid w:val="1C980673"/>
    <w:rsid w:val="1C981F42"/>
    <w:rsid w:val="1CA342FD"/>
    <w:rsid w:val="1CAE3776"/>
    <w:rsid w:val="1CAE64BA"/>
    <w:rsid w:val="1CBA07FD"/>
    <w:rsid w:val="1CBC513F"/>
    <w:rsid w:val="1CC20FA2"/>
    <w:rsid w:val="1CC52197"/>
    <w:rsid w:val="1CC71B93"/>
    <w:rsid w:val="1CC93F32"/>
    <w:rsid w:val="1CD51217"/>
    <w:rsid w:val="1CD74D19"/>
    <w:rsid w:val="1CE03F30"/>
    <w:rsid w:val="1CE4471D"/>
    <w:rsid w:val="1CEE63F4"/>
    <w:rsid w:val="1CF07EBA"/>
    <w:rsid w:val="1CF21731"/>
    <w:rsid w:val="1CFC087C"/>
    <w:rsid w:val="1CFC5430"/>
    <w:rsid w:val="1CFD070F"/>
    <w:rsid w:val="1D01085B"/>
    <w:rsid w:val="1D013F47"/>
    <w:rsid w:val="1D035FD1"/>
    <w:rsid w:val="1D077887"/>
    <w:rsid w:val="1D0D4C95"/>
    <w:rsid w:val="1D0F24D8"/>
    <w:rsid w:val="1D2B59FB"/>
    <w:rsid w:val="1D2E6656"/>
    <w:rsid w:val="1D350989"/>
    <w:rsid w:val="1D391BC3"/>
    <w:rsid w:val="1D3949AF"/>
    <w:rsid w:val="1D3A4754"/>
    <w:rsid w:val="1D3C65B1"/>
    <w:rsid w:val="1D3E4449"/>
    <w:rsid w:val="1D403104"/>
    <w:rsid w:val="1D4443DB"/>
    <w:rsid w:val="1D4670BB"/>
    <w:rsid w:val="1D537C07"/>
    <w:rsid w:val="1D59149F"/>
    <w:rsid w:val="1D5A65C4"/>
    <w:rsid w:val="1D5B7264"/>
    <w:rsid w:val="1D5F6196"/>
    <w:rsid w:val="1D6132A5"/>
    <w:rsid w:val="1D637759"/>
    <w:rsid w:val="1D6441D6"/>
    <w:rsid w:val="1D672BF9"/>
    <w:rsid w:val="1D7736AA"/>
    <w:rsid w:val="1D7942D2"/>
    <w:rsid w:val="1D813CEF"/>
    <w:rsid w:val="1D876EF5"/>
    <w:rsid w:val="1D883A97"/>
    <w:rsid w:val="1D8D42B5"/>
    <w:rsid w:val="1D8E56D5"/>
    <w:rsid w:val="1D925EB6"/>
    <w:rsid w:val="1DA82657"/>
    <w:rsid w:val="1DAA22FE"/>
    <w:rsid w:val="1DAF3D07"/>
    <w:rsid w:val="1DB671BF"/>
    <w:rsid w:val="1DBC37F6"/>
    <w:rsid w:val="1DD02740"/>
    <w:rsid w:val="1DD53641"/>
    <w:rsid w:val="1DDD6940"/>
    <w:rsid w:val="1DE43ACB"/>
    <w:rsid w:val="1DE510D2"/>
    <w:rsid w:val="1DEA5E86"/>
    <w:rsid w:val="1DF428D0"/>
    <w:rsid w:val="1DF8267B"/>
    <w:rsid w:val="1E00550C"/>
    <w:rsid w:val="1E031B49"/>
    <w:rsid w:val="1E055412"/>
    <w:rsid w:val="1E067C30"/>
    <w:rsid w:val="1E122C57"/>
    <w:rsid w:val="1E1518C0"/>
    <w:rsid w:val="1E183684"/>
    <w:rsid w:val="1E1B1098"/>
    <w:rsid w:val="1E1C04D7"/>
    <w:rsid w:val="1E1E2FCA"/>
    <w:rsid w:val="1E20668C"/>
    <w:rsid w:val="1E227DA0"/>
    <w:rsid w:val="1E237419"/>
    <w:rsid w:val="1E244F2C"/>
    <w:rsid w:val="1E26574D"/>
    <w:rsid w:val="1E284503"/>
    <w:rsid w:val="1E3B397B"/>
    <w:rsid w:val="1E3B58E5"/>
    <w:rsid w:val="1E3D246B"/>
    <w:rsid w:val="1E401A9E"/>
    <w:rsid w:val="1E404D43"/>
    <w:rsid w:val="1E4300D2"/>
    <w:rsid w:val="1E4B7807"/>
    <w:rsid w:val="1E4B7D4A"/>
    <w:rsid w:val="1E512084"/>
    <w:rsid w:val="1E5750C7"/>
    <w:rsid w:val="1E586198"/>
    <w:rsid w:val="1E62758F"/>
    <w:rsid w:val="1E6301CB"/>
    <w:rsid w:val="1E662B6E"/>
    <w:rsid w:val="1E694C8E"/>
    <w:rsid w:val="1E72591F"/>
    <w:rsid w:val="1E7326CD"/>
    <w:rsid w:val="1E737C37"/>
    <w:rsid w:val="1E75255E"/>
    <w:rsid w:val="1E781C28"/>
    <w:rsid w:val="1E7A43DA"/>
    <w:rsid w:val="1E7A6472"/>
    <w:rsid w:val="1E7D79AD"/>
    <w:rsid w:val="1E856BDA"/>
    <w:rsid w:val="1E8611D1"/>
    <w:rsid w:val="1E8C1D1C"/>
    <w:rsid w:val="1E926045"/>
    <w:rsid w:val="1E927DF8"/>
    <w:rsid w:val="1E9839E2"/>
    <w:rsid w:val="1E984390"/>
    <w:rsid w:val="1E9B2A6E"/>
    <w:rsid w:val="1EA122F2"/>
    <w:rsid w:val="1EA30401"/>
    <w:rsid w:val="1EAB4B21"/>
    <w:rsid w:val="1EAF6A84"/>
    <w:rsid w:val="1EB12BD3"/>
    <w:rsid w:val="1EB5356E"/>
    <w:rsid w:val="1EB93B27"/>
    <w:rsid w:val="1EBC0674"/>
    <w:rsid w:val="1EBC46AE"/>
    <w:rsid w:val="1EC943CC"/>
    <w:rsid w:val="1ECD5757"/>
    <w:rsid w:val="1ED14FC6"/>
    <w:rsid w:val="1ED17DB0"/>
    <w:rsid w:val="1ED21863"/>
    <w:rsid w:val="1ED46D0B"/>
    <w:rsid w:val="1ED62BA4"/>
    <w:rsid w:val="1EE3626C"/>
    <w:rsid w:val="1EE63D2B"/>
    <w:rsid w:val="1EEE0DF0"/>
    <w:rsid w:val="1EF433DE"/>
    <w:rsid w:val="1EF668C3"/>
    <w:rsid w:val="1EFA6975"/>
    <w:rsid w:val="1F010270"/>
    <w:rsid w:val="1F02696F"/>
    <w:rsid w:val="1F095C2A"/>
    <w:rsid w:val="1F0B6DA6"/>
    <w:rsid w:val="1F11516A"/>
    <w:rsid w:val="1F194801"/>
    <w:rsid w:val="1F226CEB"/>
    <w:rsid w:val="1F2A0E75"/>
    <w:rsid w:val="1F2F1E61"/>
    <w:rsid w:val="1F32032C"/>
    <w:rsid w:val="1F432809"/>
    <w:rsid w:val="1F4924CA"/>
    <w:rsid w:val="1F4A155A"/>
    <w:rsid w:val="1F503BFB"/>
    <w:rsid w:val="1F515AA0"/>
    <w:rsid w:val="1F573B1B"/>
    <w:rsid w:val="1F59095F"/>
    <w:rsid w:val="1F62384E"/>
    <w:rsid w:val="1F686DF4"/>
    <w:rsid w:val="1F6B2440"/>
    <w:rsid w:val="1F6C62FE"/>
    <w:rsid w:val="1F747669"/>
    <w:rsid w:val="1F91077D"/>
    <w:rsid w:val="1F941DCA"/>
    <w:rsid w:val="1F947F7A"/>
    <w:rsid w:val="1F986673"/>
    <w:rsid w:val="1F9B0053"/>
    <w:rsid w:val="1FA7401B"/>
    <w:rsid w:val="1FA83694"/>
    <w:rsid w:val="1FB52F60"/>
    <w:rsid w:val="1FBF6E11"/>
    <w:rsid w:val="1FC5234A"/>
    <w:rsid w:val="1FCD66A3"/>
    <w:rsid w:val="1FD30E36"/>
    <w:rsid w:val="1FD41261"/>
    <w:rsid w:val="1FD87DA4"/>
    <w:rsid w:val="1FE22ABF"/>
    <w:rsid w:val="1FE66655"/>
    <w:rsid w:val="1FE7539E"/>
    <w:rsid w:val="1FE906E4"/>
    <w:rsid w:val="1FF0037C"/>
    <w:rsid w:val="1FFF201D"/>
    <w:rsid w:val="20167C41"/>
    <w:rsid w:val="201700DE"/>
    <w:rsid w:val="201A2545"/>
    <w:rsid w:val="2020147D"/>
    <w:rsid w:val="202635EB"/>
    <w:rsid w:val="2038486E"/>
    <w:rsid w:val="20474D65"/>
    <w:rsid w:val="204B0A84"/>
    <w:rsid w:val="20503B27"/>
    <w:rsid w:val="205344AB"/>
    <w:rsid w:val="20671BE0"/>
    <w:rsid w:val="206B129D"/>
    <w:rsid w:val="206D7F65"/>
    <w:rsid w:val="20722553"/>
    <w:rsid w:val="20780EE1"/>
    <w:rsid w:val="208A565B"/>
    <w:rsid w:val="20963CB8"/>
    <w:rsid w:val="20964A46"/>
    <w:rsid w:val="20972208"/>
    <w:rsid w:val="209A48B9"/>
    <w:rsid w:val="209F36C2"/>
    <w:rsid w:val="20A12FB9"/>
    <w:rsid w:val="20A16684"/>
    <w:rsid w:val="20A81A1B"/>
    <w:rsid w:val="20AD1598"/>
    <w:rsid w:val="20B00A53"/>
    <w:rsid w:val="20B07FB6"/>
    <w:rsid w:val="20B15FCA"/>
    <w:rsid w:val="20B646FB"/>
    <w:rsid w:val="20C2065F"/>
    <w:rsid w:val="20D364EF"/>
    <w:rsid w:val="20D417BF"/>
    <w:rsid w:val="20D51A5E"/>
    <w:rsid w:val="20DF27DE"/>
    <w:rsid w:val="20E56222"/>
    <w:rsid w:val="20E65034"/>
    <w:rsid w:val="20E95D13"/>
    <w:rsid w:val="20ED6BE2"/>
    <w:rsid w:val="20EF54F9"/>
    <w:rsid w:val="20F12A4E"/>
    <w:rsid w:val="20F40FB2"/>
    <w:rsid w:val="20F63198"/>
    <w:rsid w:val="20FA1909"/>
    <w:rsid w:val="20FC09C8"/>
    <w:rsid w:val="210360B5"/>
    <w:rsid w:val="21127C9A"/>
    <w:rsid w:val="211E6BEC"/>
    <w:rsid w:val="211F2438"/>
    <w:rsid w:val="21203D66"/>
    <w:rsid w:val="212F20CD"/>
    <w:rsid w:val="21324666"/>
    <w:rsid w:val="21325234"/>
    <w:rsid w:val="2133299A"/>
    <w:rsid w:val="21393C43"/>
    <w:rsid w:val="213B74B1"/>
    <w:rsid w:val="213D1010"/>
    <w:rsid w:val="213E1334"/>
    <w:rsid w:val="213E3B3E"/>
    <w:rsid w:val="213F1981"/>
    <w:rsid w:val="21461B18"/>
    <w:rsid w:val="21482149"/>
    <w:rsid w:val="214D3FB3"/>
    <w:rsid w:val="214E3ED0"/>
    <w:rsid w:val="21521DCB"/>
    <w:rsid w:val="215A2310"/>
    <w:rsid w:val="21605136"/>
    <w:rsid w:val="216260AF"/>
    <w:rsid w:val="216A2AB3"/>
    <w:rsid w:val="216A7121"/>
    <w:rsid w:val="216B1539"/>
    <w:rsid w:val="216C5BAB"/>
    <w:rsid w:val="2173168E"/>
    <w:rsid w:val="217667A7"/>
    <w:rsid w:val="21777C10"/>
    <w:rsid w:val="217A3C41"/>
    <w:rsid w:val="217D02BF"/>
    <w:rsid w:val="217F6558"/>
    <w:rsid w:val="21880844"/>
    <w:rsid w:val="218944CA"/>
    <w:rsid w:val="218B4E8B"/>
    <w:rsid w:val="218D7033"/>
    <w:rsid w:val="2192206D"/>
    <w:rsid w:val="219251F7"/>
    <w:rsid w:val="219757CE"/>
    <w:rsid w:val="21993A30"/>
    <w:rsid w:val="219B4D50"/>
    <w:rsid w:val="21A62CDA"/>
    <w:rsid w:val="21A81CF3"/>
    <w:rsid w:val="21AE6154"/>
    <w:rsid w:val="21B379AC"/>
    <w:rsid w:val="21B71582"/>
    <w:rsid w:val="21B71716"/>
    <w:rsid w:val="21B96862"/>
    <w:rsid w:val="21BE2CFB"/>
    <w:rsid w:val="21C216E1"/>
    <w:rsid w:val="21C61395"/>
    <w:rsid w:val="21C84361"/>
    <w:rsid w:val="21CD2F3E"/>
    <w:rsid w:val="21DE318A"/>
    <w:rsid w:val="21DE5F92"/>
    <w:rsid w:val="21E66390"/>
    <w:rsid w:val="21E80339"/>
    <w:rsid w:val="21ED538F"/>
    <w:rsid w:val="21EF5B80"/>
    <w:rsid w:val="21FC11E1"/>
    <w:rsid w:val="21FD588D"/>
    <w:rsid w:val="220E16AB"/>
    <w:rsid w:val="221643F9"/>
    <w:rsid w:val="22200E3D"/>
    <w:rsid w:val="222908AB"/>
    <w:rsid w:val="222C355A"/>
    <w:rsid w:val="223236E9"/>
    <w:rsid w:val="223F3DD1"/>
    <w:rsid w:val="2242756A"/>
    <w:rsid w:val="22440081"/>
    <w:rsid w:val="22527689"/>
    <w:rsid w:val="22576990"/>
    <w:rsid w:val="22592170"/>
    <w:rsid w:val="22613A26"/>
    <w:rsid w:val="226565D7"/>
    <w:rsid w:val="22704583"/>
    <w:rsid w:val="22704F5B"/>
    <w:rsid w:val="22740FB2"/>
    <w:rsid w:val="22757B55"/>
    <w:rsid w:val="227F7CA1"/>
    <w:rsid w:val="22810BDE"/>
    <w:rsid w:val="22811E6B"/>
    <w:rsid w:val="22846B41"/>
    <w:rsid w:val="22952F36"/>
    <w:rsid w:val="22991F10"/>
    <w:rsid w:val="22A07496"/>
    <w:rsid w:val="22AA2410"/>
    <w:rsid w:val="22AE0860"/>
    <w:rsid w:val="22B10DA8"/>
    <w:rsid w:val="22B21B2E"/>
    <w:rsid w:val="22B41A91"/>
    <w:rsid w:val="22B46717"/>
    <w:rsid w:val="22BB0C31"/>
    <w:rsid w:val="22BB52F5"/>
    <w:rsid w:val="22BF75C3"/>
    <w:rsid w:val="22D40FC6"/>
    <w:rsid w:val="22D65798"/>
    <w:rsid w:val="22D66A3C"/>
    <w:rsid w:val="22D67440"/>
    <w:rsid w:val="22DD6335"/>
    <w:rsid w:val="22DF0710"/>
    <w:rsid w:val="22E249DC"/>
    <w:rsid w:val="22F47480"/>
    <w:rsid w:val="22F64848"/>
    <w:rsid w:val="22F658CE"/>
    <w:rsid w:val="22F937C6"/>
    <w:rsid w:val="230239D2"/>
    <w:rsid w:val="230E1B9C"/>
    <w:rsid w:val="230F195C"/>
    <w:rsid w:val="230F5C5D"/>
    <w:rsid w:val="23111551"/>
    <w:rsid w:val="23141B48"/>
    <w:rsid w:val="232C0095"/>
    <w:rsid w:val="232E61B7"/>
    <w:rsid w:val="23322F6F"/>
    <w:rsid w:val="233715A8"/>
    <w:rsid w:val="233E59A2"/>
    <w:rsid w:val="23470BA1"/>
    <w:rsid w:val="235D07EF"/>
    <w:rsid w:val="236072B8"/>
    <w:rsid w:val="236168B1"/>
    <w:rsid w:val="236B68B9"/>
    <w:rsid w:val="236E060A"/>
    <w:rsid w:val="236F7B78"/>
    <w:rsid w:val="239109F5"/>
    <w:rsid w:val="23916957"/>
    <w:rsid w:val="23925F62"/>
    <w:rsid w:val="239857CE"/>
    <w:rsid w:val="239B0A27"/>
    <w:rsid w:val="23A10840"/>
    <w:rsid w:val="23A5168A"/>
    <w:rsid w:val="23AB3BDD"/>
    <w:rsid w:val="23AC3027"/>
    <w:rsid w:val="23B26275"/>
    <w:rsid w:val="23BA3F92"/>
    <w:rsid w:val="23C245B1"/>
    <w:rsid w:val="23C730E7"/>
    <w:rsid w:val="23CE77F4"/>
    <w:rsid w:val="23D1269F"/>
    <w:rsid w:val="23DA7B1D"/>
    <w:rsid w:val="23DB47B6"/>
    <w:rsid w:val="23DC00D4"/>
    <w:rsid w:val="23DC4529"/>
    <w:rsid w:val="23DE1C48"/>
    <w:rsid w:val="23DE5437"/>
    <w:rsid w:val="23E41F17"/>
    <w:rsid w:val="23E619B7"/>
    <w:rsid w:val="23E66020"/>
    <w:rsid w:val="23E92640"/>
    <w:rsid w:val="23EB3B50"/>
    <w:rsid w:val="23F124DD"/>
    <w:rsid w:val="23F4592B"/>
    <w:rsid w:val="23F6186F"/>
    <w:rsid w:val="23FA366E"/>
    <w:rsid w:val="2400273F"/>
    <w:rsid w:val="240210CD"/>
    <w:rsid w:val="24113138"/>
    <w:rsid w:val="241A4435"/>
    <w:rsid w:val="241B62C5"/>
    <w:rsid w:val="24215322"/>
    <w:rsid w:val="242C5E03"/>
    <w:rsid w:val="24333A58"/>
    <w:rsid w:val="243A67C0"/>
    <w:rsid w:val="24451EE3"/>
    <w:rsid w:val="244834C5"/>
    <w:rsid w:val="245620C2"/>
    <w:rsid w:val="24581ED5"/>
    <w:rsid w:val="245923EF"/>
    <w:rsid w:val="245F6D45"/>
    <w:rsid w:val="24657354"/>
    <w:rsid w:val="24683FB8"/>
    <w:rsid w:val="247C3910"/>
    <w:rsid w:val="24803033"/>
    <w:rsid w:val="24832923"/>
    <w:rsid w:val="24841A00"/>
    <w:rsid w:val="248D6EEC"/>
    <w:rsid w:val="24981CED"/>
    <w:rsid w:val="24A515CC"/>
    <w:rsid w:val="24AF4721"/>
    <w:rsid w:val="24B34362"/>
    <w:rsid w:val="24BF09F7"/>
    <w:rsid w:val="24C0004C"/>
    <w:rsid w:val="24D32A3F"/>
    <w:rsid w:val="24D71A2C"/>
    <w:rsid w:val="24D85B6B"/>
    <w:rsid w:val="24D96050"/>
    <w:rsid w:val="24DB0D1A"/>
    <w:rsid w:val="24DD656D"/>
    <w:rsid w:val="24E47DFD"/>
    <w:rsid w:val="24E524E0"/>
    <w:rsid w:val="24E7562A"/>
    <w:rsid w:val="24EA2059"/>
    <w:rsid w:val="24EF0030"/>
    <w:rsid w:val="24EF4D1E"/>
    <w:rsid w:val="24F475EE"/>
    <w:rsid w:val="24FE762F"/>
    <w:rsid w:val="250E4EB1"/>
    <w:rsid w:val="251642D7"/>
    <w:rsid w:val="251938E5"/>
    <w:rsid w:val="251A0FAA"/>
    <w:rsid w:val="251B3C5D"/>
    <w:rsid w:val="251B4FFA"/>
    <w:rsid w:val="251B545F"/>
    <w:rsid w:val="25273287"/>
    <w:rsid w:val="252D53FE"/>
    <w:rsid w:val="252F2F3A"/>
    <w:rsid w:val="25302876"/>
    <w:rsid w:val="2530742F"/>
    <w:rsid w:val="25393E1E"/>
    <w:rsid w:val="253E1313"/>
    <w:rsid w:val="253E22D6"/>
    <w:rsid w:val="255D0924"/>
    <w:rsid w:val="25614412"/>
    <w:rsid w:val="256B15DE"/>
    <w:rsid w:val="256B550A"/>
    <w:rsid w:val="25720918"/>
    <w:rsid w:val="25724A47"/>
    <w:rsid w:val="25785BDD"/>
    <w:rsid w:val="257B1864"/>
    <w:rsid w:val="25866C21"/>
    <w:rsid w:val="258B0F43"/>
    <w:rsid w:val="258B41FD"/>
    <w:rsid w:val="25922E7A"/>
    <w:rsid w:val="259772FD"/>
    <w:rsid w:val="25A025C3"/>
    <w:rsid w:val="25A071A1"/>
    <w:rsid w:val="25AF4954"/>
    <w:rsid w:val="25B06304"/>
    <w:rsid w:val="25B607D5"/>
    <w:rsid w:val="25BB278E"/>
    <w:rsid w:val="25C633B4"/>
    <w:rsid w:val="25C73D02"/>
    <w:rsid w:val="25DF3155"/>
    <w:rsid w:val="25E02C47"/>
    <w:rsid w:val="25E82A3D"/>
    <w:rsid w:val="25E85BD1"/>
    <w:rsid w:val="25EC2D81"/>
    <w:rsid w:val="25EE7927"/>
    <w:rsid w:val="26026285"/>
    <w:rsid w:val="26083BC5"/>
    <w:rsid w:val="26086FD7"/>
    <w:rsid w:val="260E706F"/>
    <w:rsid w:val="26132746"/>
    <w:rsid w:val="26150389"/>
    <w:rsid w:val="26194057"/>
    <w:rsid w:val="261B1EA6"/>
    <w:rsid w:val="26215A6C"/>
    <w:rsid w:val="26274213"/>
    <w:rsid w:val="262A1ABD"/>
    <w:rsid w:val="262C3CE3"/>
    <w:rsid w:val="263C2557"/>
    <w:rsid w:val="263F3E9F"/>
    <w:rsid w:val="26414336"/>
    <w:rsid w:val="26437D5F"/>
    <w:rsid w:val="264D494B"/>
    <w:rsid w:val="265248BB"/>
    <w:rsid w:val="2653376E"/>
    <w:rsid w:val="26541E80"/>
    <w:rsid w:val="26570119"/>
    <w:rsid w:val="26597FB9"/>
    <w:rsid w:val="265F5B80"/>
    <w:rsid w:val="26606A77"/>
    <w:rsid w:val="26710533"/>
    <w:rsid w:val="267A1703"/>
    <w:rsid w:val="267A4679"/>
    <w:rsid w:val="267C3A7F"/>
    <w:rsid w:val="267E0153"/>
    <w:rsid w:val="267E2099"/>
    <w:rsid w:val="267F3E46"/>
    <w:rsid w:val="26812A92"/>
    <w:rsid w:val="268155F7"/>
    <w:rsid w:val="2682466D"/>
    <w:rsid w:val="269205C4"/>
    <w:rsid w:val="26972DDE"/>
    <w:rsid w:val="269E30FB"/>
    <w:rsid w:val="26B30D08"/>
    <w:rsid w:val="26BB75A8"/>
    <w:rsid w:val="26C03072"/>
    <w:rsid w:val="26CB14BD"/>
    <w:rsid w:val="26CB3C4A"/>
    <w:rsid w:val="26CB5B68"/>
    <w:rsid w:val="26CC5EBA"/>
    <w:rsid w:val="26D111F7"/>
    <w:rsid w:val="26D4027F"/>
    <w:rsid w:val="26D47122"/>
    <w:rsid w:val="26D528A9"/>
    <w:rsid w:val="26E60A9B"/>
    <w:rsid w:val="26E87A29"/>
    <w:rsid w:val="26EA2288"/>
    <w:rsid w:val="26F07DB8"/>
    <w:rsid w:val="26F729DC"/>
    <w:rsid w:val="26F8778A"/>
    <w:rsid w:val="26FA41F8"/>
    <w:rsid w:val="270338BF"/>
    <w:rsid w:val="2710575B"/>
    <w:rsid w:val="27190E5B"/>
    <w:rsid w:val="271C3165"/>
    <w:rsid w:val="271D6238"/>
    <w:rsid w:val="27283D63"/>
    <w:rsid w:val="272A3A9D"/>
    <w:rsid w:val="273160A5"/>
    <w:rsid w:val="27454170"/>
    <w:rsid w:val="274C0CD2"/>
    <w:rsid w:val="274F4E53"/>
    <w:rsid w:val="274F50A1"/>
    <w:rsid w:val="275208C6"/>
    <w:rsid w:val="27537656"/>
    <w:rsid w:val="275E42BC"/>
    <w:rsid w:val="276129FF"/>
    <w:rsid w:val="27655E4D"/>
    <w:rsid w:val="276C144B"/>
    <w:rsid w:val="276C3125"/>
    <w:rsid w:val="276C4A2C"/>
    <w:rsid w:val="276F462F"/>
    <w:rsid w:val="27700350"/>
    <w:rsid w:val="277057A2"/>
    <w:rsid w:val="27755168"/>
    <w:rsid w:val="277B21C7"/>
    <w:rsid w:val="277B51EB"/>
    <w:rsid w:val="277E10C0"/>
    <w:rsid w:val="277F616F"/>
    <w:rsid w:val="27847DBF"/>
    <w:rsid w:val="278A7D08"/>
    <w:rsid w:val="278E3170"/>
    <w:rsid w:val="27925796"/>
    <w:rsid w:val="27940242"/>
    <w:rsid w:val="27976EE2"/>
    <w:rsid w:val="279E0C2F"/>
    <w:rsid w:val="27A06734"/>
    <w:rsid w:val="27A46E60"/>
    <w:rsid w:val="27A55920"/>
    <w:rsid w:val="27A763CF"/>
    <w:rsid w:val="27AB6CB1"/>
    <w:rsid w:val="27B21581"/>
    <w:rsid w:val="27B955D6"/>
    <w:rsid w:val="27BA3BA6"/>
    <w:rsid w:val="27C41C6A"/>
    <w:rsid w:val="27CB4823"/>
    <w:rsid w:val="27DC21C6"/>
    <w:rsid w:val="27EC70C0"/>
    <w:rsid w:val="27EF5E9D"/>
    <w:rsid w:val="27FC7623"/>
    <w:rsid w:val="27FD20A3"/>
    <w:rsid w:val="28064226"/>
    <w:rsid w:val="280B6999"/>
    <w:rsid w:val="281967A1"/>
    <w:rsid w:val="281A56FC"/>
    <w:rsid w:val="281F35DF"/>
    <w:rsid w:val="282222A2"/>
    <w:rsid w:val="282C5F87"/>
    <w:rsid w:val="282F7AF6"/>
    <w:rsid w:val="28320D27"/>
    <w:rsid w:val="283B4747"/>
    <w:rsid w:val="283F6794"/>
    <w:rsid w:val="284656AD"/>
    <w:rsid w:val="28465FA9"/>
    <w:rsid w:val="284809D5"/>
    <w:rsid w:val="284F7E72"/>
    <w:rsid w:val="285048C9"/>
    <w:rsid w:val="28545317"/>
    <w:rsid w:val="28552EBD"/>
    <w:rsid w:val="28584E4D"/>
    <w:rsid w:val="286262D3"/>
    <w:rsid w:val="286C5915"/>
    <w:rsid w:val="286E1D17"/>
    <w:rsid w:val="28722DF8"/>
    <w:rsid w:val="28781432"/>
    <w:rsid w:val="287C3BC5"/>
    <w:rsid w:val="28843B01"/>
    <w:rsid w:val="28862B73"/>
    <w:rsid w:val="28A157D6"/>
    <w:rsid w:val="28AB36DF"/>
    <w:rsid w:val="28C3393A"/>
    <w:rsid w:val="28C83497"/>
    <w:rsid w:val="28D95DDB"/>
    <w:rsid w:val="28DC1656"/>
    <w:rsid w:val="28EA7FC7"/>
    <w:rsid w:val="28F208FC"/>
    <w:rsid w:val="28FB54D4"/>
    <w:rsid w:val="28FD2B43"/>
    <w:rsid w:val="28FF4180"/>
    <w:rsid w:val="290603D9"/>
    <w:rsid w:val="290851A4"/>
    <w:rsid w:val="291204CF"/>
    <w:rsid w:val="29183226"/>
    <w:rsid w:val="292006F5"/>
    <w:rsid w:val="29206EB8"/>
    <w:rsid w:val="29234A57"/>
    <w:rsid w:val="292B1F89"/>
    <w:rsid w:val="29322497"/>
    <w:rsid w:val="29380230"/>
    <w:rsid w:val="293A5FE3"/>
    <w:rsid w:val="293C20B0"/>
    <w:rsid w:val="293E0246"/>
    <w:rsid w:val="2948028E"/>
    <w:rsid w:val="295730B3"/>
    <w:rsid w:val="29585C42"/>
    <w:rsid w:val="29595666"/>
    <w:rsid w:val="295E2F88"/>
    <w:rsid w:val="295F1DA4"/>
    <w:rsid w:val="2960150D"/>
    <w:rsid w:val="29645375"/>
    <w:rsid w:val="29672ECD"/>
    <w:rsid w:val="296D0A16"/>
    <w:rsid w:val="296D4426"/>
    <w:rsid w:val="296D5007"/>
    <w:rsid w:val="297541AC"/>
    <w:rsid w:val="297D2A88"/>
    <w:rsid w:val="297E59DF"/>
    <w:rsid w:val="29874881"/>
    <w:rsid w:val="29910230"/>
    <w:rsid w:val="29912ED0"/>
    <w:rsid w:val="2996455E"/>
    <w:rsid w:val="29A641AB"/>
    <w:rsid w:val="29A94347"/>
    <w:rsid w:val="29A94750"/>
    <w:rsid w:val="29AA4FB7"/>
    <w:rsid w:val="29AA536D"/>
    <w:rsid w:val="29C015DB"/>
    <w:rsid w:val="29C15A7E"/>
    <w:rsid w:val="29D62CFA"/>
    <w:rsid w:val="29DD6D6D"/>
    <w:rsid w:val="29E0443C"/>
    <w:rsid w:val="29E325E0"/>
    <w:rsid w:val="29E3678C"/>
    <w:rsid w:val="29E77FD8"/>
    <w:rsid w:val="29EE5652"/>
    <w:rsid w:val="29F06BDF"/>
    <w:rsid w:val="29F40BA8"/>
    <w:rsid w:val="2A023BD4"/>
    <w:rsid w:val="2A0707C7"/>
    <w:rsid w:val="2A0B4F4C"/>
    <w:rsid w:val="2A0D27F5"/>
    <w:rsid w:val="2A1459D0"/>
    <w:rsid w:val="2A1675F3"/>
    <w:rsid w:val="2A1D1B5A"/>
    <w:rsid w:val="2A214DDB"/>
    <w:rsid w:val="2A300FB0"/>
    <w:rsid w:val="2A3245E9"/>
    <w:rsid w:val="2A39126C"/>
    <w:rsid w:val="2A3E5802"/>
    <w:rsid w:val="2A452503"/>
    <w:rsid w:val="2A483C0E"/>
    <w:rsid w:val="2A4B77D2"/>
    <w:rsid w:val="2A510485"/>
    <w:rsid w:val="2A526B08"/>
    <w:rsid w:val="2A59072F"/>
    <w:rsid w:val="2A593177"/>
    <w:rsid w:val="2A686ABE"/>
    <w:rsid w:val="2A7A0531"/>
    <w:rsid w:val="2A7F7501"/>
    <w:rsid w:val="2A854C2F"/>
    <w:rsid w:val="2A8744A4"/>
    <w:rsid w:val="2A8B71DD"/>
    <w:rsid w:val="2A8E14FF"/>
    <w:rsid w:val="2A9B5B80"/>
    <w:rsid w:val="2A9D07A4"/>
    <w:rsid w:val="2A9F654C"/>
    <w:rsid w:val="2AA430BD"/>
    <w:rsid w:val="2AA8093A"/>
    <w:rsid w:val="2AAB0142"/>
    <w:rsid w:val="2AAB5851"/>
    <w:rsid w:val="2AAE3059"/>
    <w:rsid w:val="2AAE61F2"/>
    <w:rsid w:val="2AB2641A"/>
    <w:rsid w:val="2AB770F8"/>
    <w:rsid w:val="2AB85F2F"/>
    <w:rsid w:val="2ACB51F7"/>
    <w:rsid w:val="2AD3431A"/>
    <w:rsid w:val="2AD64204"/>
    <w:rsid w:val="2AD94AC9"/>
    <w:rsid w:val="2ADE5BD4"/>
    <w:rsid w:val="2AE70348"/>
    <w:rsid w:val="2AEB2DB3"/>
    <w:rsid w:val="2AEB3F38"/>
    <w:rsid w:val="2AF23A16"/>
    <w:rsid w:val="2AF45B8C"/>
    <w:rsid w:val="2AF51326"/>
    <w:rsid w:val="2AFD48EF"/>
    <w:rsid w:val="2AFE5F22"/>
    <w:rsid w:val="2B023291"/>
    <w:rsid w:val="2B0A6F32"/>
    <w:rsid w:val="2B0D5E91"/>
    <w:rsid w:val="2B0E0405"/>
    <w:rsid w:val="2B136D58"/>
    <w:rsid w:val="2B194C2A"/>
    <w:rsid w:val="2B1B2F6C"/>
    <w:rsid w:val="2B1E0284"/>
    <w:rsid w:val="2B2F0D15"/>
    <w:rsid w:val="2B3547CD"/>
    <w:rsid w:val="2B4C6AC2"/>
    <w:rsid w:val="2B54647E"/>
    <w:rsid w:val="2B5F4DE8"/>
    <w:rsid w:val="2B60682E"/>
    <w:rsid w:val="2B6305A3"/>
    <w:rsid w:val="2B6C2CE7"/>
    <w:rsid w:val="2B74101B"/>
    <w:rsid w:val="2B785EF1"/>
    <w:rsid w:val="2B796014"/>
    <w:rsid w:val="2B8043C0"/>
    <w:rsid w:val="2B822A49"/>
    <w:rsid w:val="2B822FEC"/>
    <w:rsid w:val="2B836922"/>
    <w:rsid w:val="2B86253E"/>
    <w:rsid w:val="2B9164A7"/>
    <w:rsid w:val="2B9176D3"/>
    <w:rsid w:val="2B9208E2"/>
    <w:rsid w:val="2B950333"/>
    <w:rsid w:val="2B986F6F"/>
    <w:rsid w:val="2B9B2540"/>
    <w:rsid w:val="2B9B4AA4"/>
    <w:rsid w:val="2BA008D4"/>
    <w:rsid w:val="2BA01C8F"/>
    <w:rsid w:val="2BA232F8"/>
    <w:rsid w:val="2BA42D46"/>
    <w:rsid w:val="2BA521B5"/>
    <w:rsid w:val="2BA936A8"/>
    <w:rsid w:val="2BB10C02"/>
    <w:rsid w:val="2BC40743"/>
    <w:rsid w:val="2BCE566B"/>
    <w:rsid w:val="2BD26FDD"/>
    <w:rsid w:val="2BDB061D"/>
    <w:rsid w:val="2BE713E3"/>
    <w:rsid w:val="2BF8602C"/>
    <w:rsid w:val="2BF972A8"/>
    <w:rsid w:val="2C04407C"/>
    <w:rsid w:val="2C08089B"/>
    <w:rsid w:val="2C092676"/>
    <w:rsid w:val="2C0D0997"/>
    <w:rsid w:val="2C137F23"/>
    <w:rsid w:val="2C1520B2"/>
    <w:rsid w:val="2C1B0F95"/>
    <w:rsid w:val="2C1C51F8"/>
    <w:rsid w:val="2C2509EA"/>
    <w:rsid w:val="2C25375B"/>
    <w:rsid w:val="2C2B41EF"/>
    <w:rsid w:val="2C315A5A"/>
    <w:rsid w:val="2C324A12"/>
    <w:rsid w:val="2C3265B4"/>
    <w:rsid w:val="2C333682"/>
    <w:rsid w:val="2C350352"/>
    <w:rsid w:val="2C4605C2"/>
    <w:rsid w:val="2C460CEE"/>
    <w:rsid w:val="2C492544"/>
    <w:rsid w:val="2C4B1C25"/>
    <w:rsid w:val="2C4B506A"/>
    <w:rsid w:val="2C4F1F87"/>
    <w:rsid w:val="2C513CD9"/>
    <w:rsid w:val="2C52679B"/>
    <w:rsid w:val="2C545F32"/>
    <w:rsid w:val="2C553EE2"/>
    <w:rsid w:val="2C5C32B8"/>
    <w:rsid w:val="2C615F59"/>
    <w:rsid w:val="2C68008B"/>
    <w:rsid w:val="2C6857E5"/>
    <w:rsid w:val="2C6C4DDA"/>
    <w:rsid w:val="2C705459"/>
    <w:rsid w:val="2C7762D7"/>
    <w:rsid w:val="2C7B1B7F"/>
    <w:rsid w:val="2C842D93"/>
    <w:rsid w:val="2C864A08"/>
    <w:rsid w:val="2C8E3C12"/>
    <w:rsid w:val="2C963ED2"/>
    <w:rsid w:val="2CA04A4E"/>
    <w:rsid w:val="2CA376BD"/>
    <w:rsid w:val="2CA54CFB"/>
    <w:rsid w:val="2CA617AC"/>
    <w:rsid w:val="2CAA34BC"/>
    <w:rsid w:val="2CAC1B4D"/>
    <w:rsid w:val="2CAD4D09"/>
    <w:rsid w:val="2CB35C2F"/>
    <w:rsid w:val="2CBB25D1"/>
    <w:rsid w:val="2CBF1434"/>
    <w:rsid w:val="2CC70B1C"/>
    <w:rsid w:val="2CC863D1"/>
    <w:rsid w:val="2CD04D99"/>
    <w:rsid w:val="2CD261D6"/>
    <w:rsid w:val="2CD7710D"/>
    <w:rsid w:val="2CDA40F6"/>
    <w:rsid w:val="2CDD7DE4"/>
    <w:rsid w:val="2CE14A69"/>
    <w:rsid w:val="2CF50714"/>
    <w:rsid w:val="2CF60116"/>
    <w:rsid w:val="2CFF7B5E"/>
    <w:rsid w:val="2D012CBF"/>
    <w:rsid w:val="2D0A0E43"/>
    <w:rsid w:val="2D12358F"/>
    <w:rsid w:val="2D17527A"/>
    <w:rsid w:val="2D1D0B5A"/>
    <w:rsid w:val="2D243131"/>
    <w:rsid w:val="2D247EFB"/>
    <w:rsid w:val="2D2E7B58"/>
    <w:rsid w:val="2D32222B"/>
    <w:rsid w:val="2D351B57"/>
    <w:rsid w:val="2D46612B"/>
    <w:rsid w:val="2D484C9A"/>
    <w:rsid w:val="2D4B5ADB"/>
    <w:rsid w:val="2D522E8F"/>
    <w:rsid w:val="2D575626"/>
    <w:rsid w:val="2D582913"/>
    <w:rsid w:val="2D5A6237"/>
    <w:rsid w:val="2D5C3108"/>
    <w:rsid w:val="2D5C3F75"/>
    <w:rsid w:val="2D5D2094"/>
    <w:rsid w:val="2D5D6134"/>
    <w:rsid w:val="2D6108DD"/>
    <w:rsid w:val="2D616B6F"/>
    <w:rsid w:val="2D6A543A"/>
    <w:rsid w:val="2D6B10A4"/>
    <w:rsid w:val="2D7B225C"/>
    <w:rsid w:val="2D875549"/>
    <w:rsid w:val="2D903A24"/>
    <w:rsid w:val="2D955BE0"/>
    <w:rsid w:val="2D9E56F5"/>
    <w:rsid w:val="2DAD4344"/>
    <w:rsid w:val="2DB155D6"/>
    <w:rsid w:val="2DB87A8E"/>
    <w:rsid w:val="2DBD6CDB"/>
    <w:rsid w:val="2DC02DAB"/>
    <w:rsid w:val="2DC13A05"/>
    <w:rsid w:val="2DC606C4"/>
    <w:rsid w:val="2DCE33BD"/>
    <w:rsid w:val="2DCF110D"/>
    <w:rsid w:val="2DD37B2E"/>
    <w:rsid w:val="2DD52459"/>
    <w:rsid w:val="2DDA76E1"/>
    <w:rsid w:val="2DDC11A9"/>
    <w:rsid w:val="2DE03213"/>
    <w:rsid w:val="2DE05524"/>
    <w:rsid w:val="2DE36310"/>
    <w:rsid w:val="2DE45E24"/>
    <w:rsid w:val="2DE64A67"/>
    <w:rsid w:val="2DE87084"/>
    <w:rsid w:val="2DEA0F78"/>
    <w:rsid w:val="2DEB5DB7"/>
    <w:rsid w:val="2DF25E4B"/>
    <w:rsid w:val="2DFB7B35"/>
    <w:rsid w:val="2E045292"/>
    <w:rsid w:val="2E0A0DEC"/>
    <w:rsid w:val="2E0A58B1"/>
    <w:rsid w:val="2E103A4E"/>
    <w:rsid w:val="2E17533E"/>
    <w:rsid w:val="2E1D31B5"/>
    <w:rsid w:val="2E287FBB"/>
    <w:rsid w:val="2E3671D2"/>
    <w:rsid w:val="2E3C6F24"/>
    <w:rsid w:val="2E444DE2"/>
    <w:rsid w:val="2E4E5984"/>
    <w:rsid w:val="2E516D37"/>
    <w:rsid w:val="2E52321D"/>
    <w:rsid w:val="2E59624C"/>
    <w:rsid w:val="2E5E0225"/>
    <w:rsid w:val="2E5F19FF"/>
    <w:rsid w:val="2E667F96"/>
    <w:rsid w:val="2E757588"/>
    <w:rsid w:val="2E776F8E"/>
    <w:rsid w:val="2E8226AB"/>
    <w:rsid w:val="2E89630E"/>
    <w:rsid w:val="2E930DD4"/>
    <w:rsid w:val="2E973F3F"/>
    <w:rsid w:val="2E990B67"/>
    <w:rsid w:val="2E9A689E"/>
    <w:rsid w:val="2EAE40F8"/>
    <w:rsid w:val="2EB02B08"/>
    <w:rsid w:val="2EB2055F"/>
    <w:rsid w:val="2EB2057F"/>
    <w:rsid w:val="2EC730A0"/>
    <w:rsid w:val="2EC947E6"/>
    <w:rsid w:val="2ECC36A4"/>
    <w:rsid w:val="2ECF3222"/>
    <w:rsid w:val="2ECF3BF0"/>
    <w:rsid w:val="2ED0020F"/>
    <w:rsid w:val="2ED1457C"/>
    <w:rsid w:val="2ED310BC"/>
    <w:rsid w:val="2EDD7B3E"/>
    <w:rsid w:val="2EDE17C7"/>
    <w:rsid w:val="2EE13FD6"/>
    <w:rsid w:val="2EE63877"/>
    <w:rsid w:val="2EEA423C"/>
    <w:rsid w:val="2EEB3AFF"/>
    <w:rsid w:val="2EFB5700"/>
    <w:rsid w:val="2F044E1C"/>
    <w:rsid w:val="2F060460"/>
    <w:rsid w:val="2F0D0911"/>
    <w:rsid w:val="2F0E760F"/>
    <w:rsid w:val="2F183E8A"/>
    <w:rsid w:val="2F1A5823"/>
    <w:rsid w:val="2F1D7F58"/>
    <w:rsid w:val="2F1F5F53"/>
    <w:rsid w:val="2F2123E4"/>
    <w:rsid w:val="2F234250"/>
    <w:rsid w:val="2F243F80"/>
    <w:rsid w:val="2F291336"/>
    <w:rsid w:val="2F2C6174"/>
    <w:rsid w:val="2F385291"/>
    <w:rsid w:val="2F38614E"/>
    <w:rsid w:val="2F762E67"/>
    <w:rsid w:val="2F7D499D"/>
    <w:rsid w:val="2F8B1145"/>
    <w:rsid w:val="2F8B47C8"/>
    <w:rsid w:val="2F8D49E3"/>
    <w:rsid w:val="2F8D581D"/>
    <w:rsid w:val="2F8E7287"/>
    <w:rsid w:val="2F927EB3"/>
    <w:rsid w:val="2F9D0391"/>
    <w:rsid w:val="2FA04BFE"/>
    <w:rsid w:val="2FA33CFD"/>
    <w:rsid w:val="2FAC76BA"/>
    <w:rsid w:val="2FB13B8E"/>
    <w:rsid w:val="2FB2548D"/>
    <w:rsid w:val="2FBA4705"/>
    <w:rsid w:val="2FBA6707"/>
    <w:rsid w:val="2FC02468"/>
    <w:rsid w:val="2FC040E2"/>
    <w:rsid w:val="2FD065E6"/>
    <w:rsid w:val="2FD90A44"/>
    <w:rsid w:val="2FD96870"/>
    <w:rsid w:val="2FDC2272"/>
    <w:rsid w:val="2FDE4BE1"/>
    <w:rsid w:val="2FDF7F31"/>
    <w:rsid w:val="2FE14345"/>
    <w:rsid w:val="2FE537F7"/>
    <w:rsid w:val="2FE62866"/>
    <w:rsid w:val="2FE74364"/>
    <w:rsid w:val="2FEC7325"/>
    <w:rsid w:val="2FF91B0D"/>
    <w:rsid w:val="2FFF2295"/>
    <w:rsid w:val="30066D54"/>
    <w:rsid w:val="30126E03"/>
    <w:rsid w:val="30164C56"/>
    <w:rsid w:val="301F11EC"/>
    <w:rsid w:val="302A1926"/>
    <w:rsid w:val="302B6872"/>
    <w:rsid w:val="302F7331"/>
    <w:rsid w:val="30336C1A"/>
    <w:rsid w:val="30336FAA"/>
    <w:rsid w:val="303C26EB"/>
    <w:rsid w:val="303F08C3"/>
    <w:rsid w:val="3043411F"/>
    <w:rsid w:val="30464DF7"/>
    <w:rsid w:val="304A7F6D"/>
    <w:rsid w:val="30517238"/>
    <w:rsid w:val="305253B2"/>
    <w:rsid w:val="30580BC9"/>
    <w:rsid w:val="305F6238"/>
    <w:rsid w:val="3069199D"/>
    <w:rsid w:val="306E7FE2"/>
    <w:rsid w:val="30823936"/>
    <w:rsid w:val="30863AB9"/>
    <w:rsid w:val="308659F2"/>
    <w:rsid w:val="308D44E5"/>
    <w:rsid w:val="308D69DD"/>
    <w:rsid w:val="309317F7"/>
    <w:rsid w:val="309E05ED"/>
    <w:rsid w:val="309F1444"/>
    <w:rsid w:val="30A05CC2"/>
    <w:rsid w:val="30A86DAC"/>
    <w:rsid w:val="30AE4883"/>
    <w:rsid w:val="30B07BB9"/>
    <w:rsid w:val="30B56CEB"/>
    <w:rsid w:val="30B72A97"/>
    <w:rsid w:val="30B83E8C"/>
    <w:rsid w:val="30BE69BB"/>
    <w:rsid w:val="30C32F3A"/>
    <w:rsid w:val="30D42669"/>
    <w:rsid w:val="30D85689"/>
    <w:rsid w:val="30DC1A7E"/>
    <w:rsid w:val="30E02148"/>
    <w:rsid w:val="30E1568A"/>
    <w:rsid w:val="30E90C02"/>
    <w:rsid w:val="30EC5D26"/>
    <w:rsid w:val="30EE7579"/>
    <w:rsid w:val="30F02748"/>
    <w:rsid w:val="30F07FE9"/>
    <w:rsid w:val="30F1023C"/>
    <w:rsid w:val="30F25A51"/>
    <w:rsid w:val="30FF0C3A"/>
    <w:rsid w:val="31083F93"/>
    <w:rsid w:val="310A005B"/>
    <w:rsid w:val="310F7C3E"/>
    <w:rsid w:val="3114376F"/>
    <w:rsid w:val="31155396"/>
    <w:rsid w:val="311B2971"/>
    <w:rsid w:val="311E2ED7"/>
    <w:rsid w:val="311E37B6"/>
    <w:rsid w:val="31224343"/>
    <w:rsid w:val="312301A5"/>
    <w:rsid w:val="31355EE9"/>
    <w:rsid w:val="31374D0E"/>
    <w:rsid w:val="31391FBB"/>
    <w:rsid w:val="313922F8"/>
    <w:rsid w:val="31460BFB"/>
    <w:rsid w:val="314A7FA2"/>
    <w:rsid w:val="315619EE"/>
    <w:rsid w:val="31590991"/>
    <w:rsid w:val="3159631D"/>
    <w:rsid w:val="315B698C"/>
    <w:rsid w:val="315B7B70"/>
    <w:rsid w:val="315C449C"/>
    <w:rsid w:val="315F4583"/>
    <w:rsid w:val="316B113B"/>
    <w:rsid w:val="317667A4"/>
    <w:rsid w:val="3178478F"/>
    <w:rsid w:val="317C1936"/>
    <w:rsid w:val="31835817"/>
    <w:rsid w:val="318C7DFF"/>
    <w:rsid w:val="318E4B6C"/>
    <w:rsid w:val="31962187"/>
    <w:rsid w:val="319A30D4"/>
    <w:rsid w:val="31A116A2"/>
    <w:rsid w:val="31A95BD8"/>
    <w:rsid w:val="31AD0959"/>
    <w:rsid w:val="31AF517E"/>
    <w:rsid w:val="31B659CF"/>
    <w:rsid w:val="31B82709"/>
    <w:rsid w:val="31C07D03"/>
    <w:rsid w:val="31C3435E"/>
    <w:rsid w:val="31CA289C"/>
    <w:rsid w:val="31CB5170"/>
    <w:rsid w:val="31D05482"/>
    <w:rsid w:val="31D21F9B"/>
    <w:rsid w:val="31D42523"/>
    <w:rsid w:val="31D45C32"/>
    <w:rsid w:val="31D67DC5"/>
    <w:rsid w:val="31E332EE"/>
    <w:rsid w:val="31E44A97"/>
    <w:rsid w:val="31E72DB7"/>
    <w:rsid w:val="31EB690F"/>
    <w:rsid w:val="31ED0260"/>
    <w:rsid w:val="31F32844"/>
    <w:rsid w:val="31FD27AD"/>
    <w:rsid w:val="31FD4E5D"/>
    <w:rsid w:val="320D052D"/>
    <w:rsid w:val="3211327F"/>
    <w:rsid w:val="32142B4E"/>
    <w:rsid w:val="321C4BB6"/>
    <w:rsid w:val="321D7660"/>
    <w:rsid w:val="322F541C"/>
    <w:rsid w:val="32344492"/>
    <w:rsid w:val="32384140"/>
    <w:rsid w:val="32394D58"/>
    <w:rsid w:val="32400B34"/>
    <w:rsid w:val="3253234F"/>
    <w:rsid w:val="325C7A69"/>
    <w:rsid w:val="32612233"/>
    <w:rsid w:val="326A693B"/>
    <w:rsid w:val="32702C6F"/>
    <w:rsid w:val="3270605F"/>
    <w:rsid w:val="3271175B"/>
    <w:rsid w:val="32743580"/>
    <w:rsid w:val="327704B4"/>
    <w:rsid w:val="32791EC2"/>
    <w:rsid w:val="327C5DB9"/>
    <w:rsid w:val="328202AF"/>
    <w:rsid w:val="328644A4"/>
    <w:rsid w:val="328C481D"/>
    <w:rsid w:val="3294599D"/>
    <w:rsid w:val="32950BE6"/>
    <w:rsid w:val="329B1AAF"/>
    <w:rsid w:val="329E6876"/>
    <w:rsid w:val="32A56663"/>
    <w:rsid w:val="32A87293"/>
    <w:rsid w:val="32A94F6E"/>
    <w:rsid w:val="32AC0031"/>
    <w:rsid w:val="32AD4DF1"/>
    <w:rsid w:val="32AE71FE"/>
    <w:rsid w:val="32BA49C3"/>
    <w:rsid w:val="32C22084"/>
    <w:rsid w:val="32C55255"/>
    <w:rsid w:val="32C959A4"/>
    <w:rsid w:val="32DD019F"/>
    <w:rsid w:val="32E0572A"/>
    <w:rsid w:val="32E67E0B"/>
    <w:rsid w:val="32E82FF1"/>
    <w:rsid w:val="32E966C5"/>
    <w:rsid w:val="32F83B93"/>
    <w:rsid w:val="33004DE1"/>
    <w:rsid w:val="33011EB4"/>
    <w:rsid w:val="3309317F"/>
    <w:rsid w:val="331075BD"/>
    <w:rsid w:val="33162284"/>
    <w:rsid w:val="33193A0A"/>
    <w:rsid w:val="331C4558"/>
    <w:rsid w:val="331E24A3"/>
    <w:rsid w:val="33254956"/>
    <w:rsid w:val="332F572E"/>
    <w:rsid w:val="333015F2"/>
    <w:rsid w:val="33312F60"/>
    <w:rsid w:val="33383E0D"/>
    <w:rsid w:val="333C17E6"/>
    <w:rsid w:val="33464937"/>
    <w:rsid w:val="334B6320"/>
    <w:rsid w:val="334D5C5D"/>
    <w:rsid w:val="335725CB"/>
    <w:rsid w:val="33642E63"/>
    <w:rsid w:val="33713745"/>
    <w:rsid w:val="337A3A69"/>
    <w:rsid w:val="337A54DE"/>
    <w:rsid w:val="337B601B"/>
    <w:rsid w:val="337B65AC"/>
    <w:rsid w:val="33801077"/>
    <w:rsid w:val="33883B0D"/>
    <w:rsid w:val="338C590C"/>
    <w:rsid w:val="338D236A"/>
    <w:rsid w:val="338F6688"/>
    <w:rsid w:val="33915D55"/>
    <w:rsid w:val="33947EA4"/>
    <w:rsid w:val="33A0193B"/>
    <w:rsid w:val="33A361F5"/>
    <w:rsid w:val="33A4196D"/>
    <w:rsid w:val="33AE6399"/>
    <w:rsid w:val="33B92502"/>
    <w:rsid w:val="33BF5456"/>
    <w:rsid w:val="33C37E0E"/>
    <w:rsid w:val="33CD2FDF"/>
    <w:rsid w:val="33D17B84"/>
    <w:rsid w:val="33D43286"/>
    <w:rsid w:val="33D463AE"/>
    <w:rsid w:val="33D934D4"/>
    <w:rsid w:val="33EF4B66"/>
    <w:rsid w:val="33F17653"/>
    <w:rsid w:val="33F230A0"/>
    <w:rsid w:val="33FB7DDF"/>
    <w:rsid w:val="33FE2F6A"/>
    <w:rsid w:val="34056699"/>
    <w:rsid w:val="34093C1A"/>
    <w:rsid w:val="340D5F9E"/>
    <w:rsid w:val="340E07E5"/>
    <w:rsid w:val="341220B6"/>
    <w:rsid w:val="341439D8"/>
    <w:rsid w:val="34216EC2"/>
    <w:rsid w:val="34235BF7"/>
    <w:rsid w:val="34321BD2"/>
    <w:rsid w:val="343264A8"/>
    <w:rsid w:val="343545CD"/>
    <w:rsid w:val="343D1CB5"/>
    <w:rsid w:val="3451535F"/>
    <w:rsid w:val="34533BB0"/>
    <w:rsid w:val="34584DDE"/>
    <w:rsid w:val="34694827"/>
    <w:rsid w:val="346E37B7"/>
    <w:rsid w:val="34990FE5"/>
    <w:rsid w:val="349D6019"/>
    <w:rsid w:val="34A34268"/>
    <w:rsid w:val="34A62D34"/>
    <w:rsid w:val="34AC6992"/>
    <w:rsid w:val="34AF2813"/>
    <w:rsid w:val="34B446A5"/>
    <w:rsid w:val="34B63A81"/>
    <w:rsid w:val="34C265C9"/>
    <w:rsid w:val="34C325DF"/>
    <w:rsid w:val="34C82ABF"/>
    <w:rsid w:val="34C92821"/>
    <w:rsid w:val="34CE065A"/>
    <w:rsid w:val="34CE339B"/>
    <w:rsid w:val="34D9602F"/>
    <w:rsid w:val="34DA338D"/>
    <w:rsid w:val="34DC2F6A"/>
    <w:rsid w:val="34DE652B"/>
    <w:rsid w:val="34E36F1D"/>
    <w:rsid w:val="34E54159"/>
    <w:rsid w:val="34ED18D9"/>
    <w:rsid w:val="34ED3EFD"/>
    <w:rsid w:val="34ED78C3"/>
    <w:rsid w:val="34F02FCA"/>
    <w:rsid w:val="34F6234A"/>
    <w:rsid w:val="350664FF"/>
    <w:rsid w:val="350C75D8"/>
    <w:rsid w:val="351A4295"/>
    <w:rsid w:val="35245459"/>
    <w:rsid w:val="35251722"/>
    <w:rsid w:val="352B123F"/>
    <w:rsid w:val="35340BF3"/>
    <w:rsid w:val="353544AB"/>
    <w:rsid w:val="353905D5"/>
    <w:rsid w:val="353941D5"/>
    <w:rsid w:val="353F7949"/>
    <w:rsid w:val="355C2925"/>
    <w:rsid w:val="355D7C01"/>
    <w:rsid w:val="35674460"/>
    <w:rsid w:val="356961E6"/>
    <w:rsid w:val="357004E8"/>
    <w:rsid w:val="35707F2C"/>
    <w:rsid w:val="35722304"/>
    <w:rsid w:val="35727195"/>
    <w:rsid w:val="35802192"/>
    <w:rsid w:val="358143CE"/>
    <w:rsid w:val="35833EDF"/>
    <w:rsid w:val="35840E7D"/>
    <w:rsid w:val="358B2F8E"/>
    <w:rsid w:val="358C5FA8"/>
    <w:rsid w:val="35900AA4"/>
    <w:rsid w:val="35912AA4"/>
    <w:rsid w:val="359A24DF"/>
    <w:rsid w:val="359B03A8"/>
    <w:rsid w:val="359E1C08"/>
    <w:rsid w:val="359F277B"/>
    <w:rsid w:val="35A47CDC"/>
    <w:rsid w:val="35A81066"/>
    <w:rsid w:val="35AF06EA"/>
    <w:rsid w:val="35B0005E"/>
    <w:rsid w:val="35B572B7"/>
    <w:rsid w:val="35B65937"/>
    <w:rsid w:val="35BB4DFB"/>
    <w:rsid w:val="35BC3120"/>
    <w:rsid w:val="35C15DF1"/>
    <w:rsid w:val="35CB0941"/>
    <w:rsid w:val="35D2610D"/>
    <w:rsid w:val="35D36BF6"/>
    <w:rsid w:val="35D41494"/>
    <w:rsid w:val="35D9750B"/>
    <w:rsid w:val="35DB7424"/>
    <w:rsid w:val="35E14678"/>
    <w:rsid w:val="35E160FD"/>
    <w:rsid w:val="35F81926"/>
    <w:rsid w:val="35FB6B90"/>
    <w:rsid w:val="35FE7713"/>
    <w:rsid w:val="36021E86"/>
    <w:rsid w:val="36042156"/>
    <w:rsid w:val="36050961"/>
    <w:rsid w:val="36074A7F"/>
    <w:rsid w:val="360D1AE9"/>
    <w:rsid w:val="360F5F5C"/>
    <w:rsid w:val="361A42A9"/>
    <w:rsid w:val="361A7D17"/>
    <w:rsid w:val="362250FA"/>
    <w:rsid w:val="36264610"/>
    <w:rsid w:val="36303DAF"/>
    <w:rsid w:val="36304EC1"/>
    <w:rsid w:val="363272D2"/>
    <w:rsid w:val="36346355"/>
    <w:rsid w:val="363B646E"/>
    <w:rsid w:val="36437DBA"/>
    <w:rsid w:val="36485F17"/>
    <w:rsid w:val="36490C58"/>
    <w:rsid w:val="36553C80"/>
    <w:rsid w:val="36591102"/>
    <w:rsid w:val="36596184"/>
    <w:rsid w:val="365F38EF"/>
    <w:rsid w:val="366B1195"/>
    <w:rsid w:val="366E1756"/>
    <w:rsid w:val="366E5633"/>
    <w:rsid w:val="366F57A8"/>
    <w:rsid w:val="3670250C"/>
    <w:rsid w:val="36712A49"/>
    <w:rsid w:val="36736021"/>
    <w:rsid w:val="3675561D"/>
    <w:rsid w:val="367D21F5"/>
    <w:rsid w:val="367D3684"/>
    <w:rsid w:val="368044CF"/>
    <w:rsid w:val="369046EF"/>
    <w:rsid w:val="36914D3E"/>
    <w:rsid w:val="36915C1D"/>
    <w:rsid w:val="36923549"/>
    <w:rsid w:val="369260AD"/>
    <w:rsid w:val="36930320"/>
    <w:rsid w:val="369A4350"/>
    <w:rsid w:val="36A80D9E"/>
    <w:rsid w:val="36AF14E1"/>
    <w:rsid w:val="36B335FB"/>
    <w:rsid w:val="36B75FBF"/>
    <w:rsid w:val="36BC2DA1"/>
    <w:rsid w:val="36BC3552"/>
    <w:rsid w:val="36BD0C45"/>
    <w:rsid w:val="36BF60B5"/>
    <w:rsid w:val="36C07F5B"/>
    <w:rsid w:val="36C9054A"/>
    <w:rsid w:val="36D750B3"/>
    <w:rsid w:val="36DB7A54"/>
    <w:rsid w:val="36DF5F95"/>
    <w:rsid w:val="36E1407E"/>
    <w:rsid w:val="36E81849"/>
    <w:rsid w:val="36F00D16"/>
    <w:rsid w:val="36F4105E"/>
    <w:rsid w:val="36F532E2"/>
    <w:rsid w:val="36F927DF"/>
    <w:rsid w:val="36FA6B3B"/>
    <w:rsid w:val="36FB1360"/>
    <w:rsid w:val="37016E35"/>
    <w:rsid w:val="37025FC2"/>
    <w:rsid w:val="37103D1B"/>
    <w:rsid w:val="37192564"/>
    <w:rsid w:val="371B1ABB"/>
    <w:rsid w:val="371D019A"/>
    <w:rsid w:val="372260C3"/>
    <w:rsid w:val="37263A8F"/>
    <w:rsid w:val="3729363E"/>
    <w:rsid w:val="372E376C"/>
    <w:rsid w:val="37312194"/>
    <w:rsid w:val="37332FDB"/>
    <w:rsid w:val="373534E6"/>
    <w:rsid w:val="373D491F"/>
    <w:rsid w:val="373E4786"/>
    <w:rsid w:val="373F2F62"/>
    <w:rsid w:val="373F5F2C"/>
    <w:rsid w:val="37452DD1"/>
    <w:rsid w:val="374E0226"/>
    <w:rsid w:val="37526187"/>
    <w:rsid w:val="37564860"/>
    <w:rsid w:val="37694E61"/>
    <w:rsid w:val="37695CBC"/>
    <w:rsid w:val="3773110B"/>
    <w:rsid w:val="377959DA"/>
    <w:rsid w:val="377F0D27"/>
    <w:rsid w:val="37810E19"/>
    <w:rsid w:val="37847F8D"/>
    <w:rsid w:val="37851C58"/>
    <w:rsid w:val="37863027"/>
    <w:rsid w:val="37892452"/>
    <w:rsid w:val="378B60F6"/>
    <w:rsid w:val="37A3578F"/>
    <w:rsid w:val="37C91A77"/>
    <w:rsid w:val="37CA44B9"/>
    <w:rsid w:val="37CD3F0D"/>
    <w:rsid w:val="37CE052A"/>
    <w:rsid w:val="37D56C33"/>
    <w:rsid w:val="37DA6DDD"/>
    <w:rsid w:val="37DB35BA"/>
    <w:rsid w:val="37E00298"/>
    <w:rsid w:val="37E07048"/>
    <w:rsid w:val="37ED7275"/>
    <w:rsid w:val="37EE3740"/>
    <w:rsid w:val="37EF202C"/>
    <w:rsid w:val="37F05781"/>
    <w:rsid w:val="37F27794"/>
    <w:rsid w:val="37F502FC"/>
    <w:rsid w:val="37F74347"/>
    <w:rsid w:val="37FB5B5C"/>
    <w:rsid w:val="37FC2378"/>
    <w:rsid w:val="37FC6AF5"/>
    <w:rsid w:val="3803243C"/>
    <w:rsid w:val="380C7C79"/>
    <w:rsid w:val="38212D50"/>
    <w:rsid w:val="382976C9"/>
    <w:rsid w:val="38317BEE"/>
    <w:rsid w:val="38363A9E"/>
    <w:rsid w:val="38371FD5"/>
    <w:rsid w:val="383C405D"/>
    <w:rsid w:val="3844034B"/>
    <w:rsid w:val="38451629"/>
    <w:rsid w:val="384D2E22"/>
    <w:rsid w:val="384E10B3"/>
    <w:rsid w:val="385234A2"/>
    <w:rsid w:val="38534944"/>
    <w:rsid w:val="385B4A30"/>
    <w:rsid w:val="385D568A"/>
    <w:rsid w:val="385E5896"/>
    <w:rsid w:val="3864079A"/>
    <w:rsid w:val="386D1222"/>
    <w:rsid w:val="38720C2F"/>
    <w:rsid w:val="3875687F"/>
    <w:rsid w:val="387A6EA7"/>
    <w:rsid w:val="387C2347"/>
    <w:rsid w:val="38891CC7"/>
    <w:rsid w:val="388B4E67"/>
    <w:rsid w:val="389C7CD2"/>
    <w:rsid w:val="389D47AF"/>
    <w:rsid w:val="38A41442"/>
    <w:rsid w:val="38B222D2"/>
    <w:rsid w:val="38B302F9"/>
    <w:rsid w:val="38C07ADC"/>
    <w:rsid w:val="38C70290"/>
    <w:rsid w:val="38CB084C"/>
    <w:rsid w:val="38CD787F"/>
    <w:rsid w:val="38CF0376"/>
    <w:rsid w:val="38D560A2"/>
    <w:rsid w:val="38EA5CE5"/>
    <w:rsid w:val="38EE399B"/>
    <w:rsid w:val="38F12CD3"/>
    <w:rsid w:val="38F139E9"/>
    <w:rsid w:val="38F33DDF"/>
    <w:rsid w:val="38F34823"/>
    <w:rsid w:val="38F94775"/>
    <w:rsid w:val="38FC1633"/>
    <w:rsid w:val="390B30EC"/>
    <w:rsid w:val="390E3F43"/>
    <w:rsid w:val="391E2A66"/>
    <w:rsid w:val="39232D96"/>
    <w:rsid w:val="392971ED"/>
    <w:rsid w:val="392C1EBE"/>
    <w:rsid w:val="392D04AA"/>
    <w:rsid w:val="39325651"/>
    <w:rsid w:val="39345FA9"/>
    <w:rsid w:val="393A6CCD"/>
    <w:rsid w:val="394017EC"/>
    <w:rsid w:val="39406080"/>
    <w:rsid w:val="39420F9E"/>
    <w:rsid w:val="394211FF"/>
    <w:rsid w:val="394451E1"/>
    <w:rsid w:val="39451287"/>
    <w:rsid w:val="394575D6"/>
    <w:rsid w:val="39462BAF"/>
    <w:rsid w:val="394668D6"/>
    <w:rsid w:val="394B544F"/>
    <w:rsid w:val="39521389"/>
    <w:rsid w:val="395410D0"/>
    <w:rsid w:val="39553D05"/>
    <w:rsid w:val="395B497C"/>
    <w:rsid w:val="39641F82"/>
    <w:rsid w:val="3964209F"/>
    <w:rsid w:val="396C6843"/>
    <w:rsid w:val="39715CCA"/>
    <w:rsid w:val="397D2F89"/>
    <w:rsid w:val="397F1898"/>
    <w:rsid w:val="39820FA3"/>
    <w:rsid w:val="39877DDF"/>
    <w:rsid w:val="39942AB3"/>
    <w:rsid w:val="39972C8E"/>
    <w:rsid w:val="39987E7E"/>
    <w:rsid w:val="399E5CD6"/>
    <w:rsid w:val="399F120C"/>
    <w:rsid w:val="39A539BB"/>
    <w:rsid w:val="39AB1FC2"/>
    <w:rsid w:val="39AF1985"/>
    <w:rsid w:val="39B01958"/>
    <w:rsid w:val="39B538F7"/>
    <w:rsid w:val="39BD56E5"/>
    <w:rsid w:val="39BE19DE"/>
    <w:rsid w:val="39C97EF6"/>
    <w:rsid w:val="39CB7B01"/>
    <w:rsid w:val="39CC0123"/>
    <w:rsid w:val="39CC2CEB"/>
    <w:rsid w:val="39CC4CC1"/>
    <w:rsid w:val="39CD6019"/>
    <w:rsid w:val="39D94D3B"/>
    <w:rsid w:val="39DB5415"/>
    <w:rsid w:val="39E01AA8"/>
    <w:rsid w:val="39E824CF"/>
    <w:rsid w:val="39E8338B"/>
    <w:rsid w:val="39EB347C"/>
    <w:rsid w:val="39F817D8"/>
    <w:rsid w:val="39F818ED"/>
    <w:rsid w:val="39F926E8"/>
    <w:rsid w:val="39F97583"/>
    <w:rsid w:val="39FD79FE"/>
    <w:rsid w:val="39FE4EE8"/>
    <w:rsid w:val="3A047A30"/>
    <w:rsid w:val="3A0E6D5A"/>
    <w:rsid w:val="3A140D04"/>
    <w:rsid w:val="3A2924D0"/>
    <w:rsid w:val="3A2946FF"/>
    <w:rsid w:val="3A2E502B"/>
    <w:rsid w:val="3A33630A"/>
    <w:rsid w:val="3A34542C"/>
    <w:rsid w:val="3A355567"/>
    <w:rsid w:val="3A3B5D1B"/>
    <w:rsid w:val="3A401F0F"/>
    <w:rsid w:val="3A4572ED"/>
    <w:rsid w:val="3A472594"/>
    <w:rsid w:val="3A560A90"/>
    <w:rsid w:val="3A58541A"/>
    <w:rsid w:val="3A5872E3"/>
    <w:rsid w:val="3A5913BB"/>
    <w:rsid w:val="3A632C8D"/>
    <w:rsid w:val="3A6A181A"/>
    <w:rsid w:val="3A6C61A8"/>
    <w:rsid w:val="3A7251D6"/>
    <w:rsid w:val="3A7761C2"/>
    <w:rsid w:val="3A7A4770"/>
    <w:rsid w:val="3A872856"/>
    <w:rsid w:val="3A8A5327"/>
    <w:rsid w:val="3A9F7E9F"/>
    <w:rsid w:val="3AAD492D"/>
    <w:rsid w:val="3AAF650B"/>
    <w:rsid w:val="3AB0730B"/>
    <w:rsid w:val="3AB23AD1"/>
    <w:rsid w:val="3AB72BEF"/>
    <w:rsid w:val="3AB81B06"/>
    <w:rsid w:val="3AB85224"/>
    <w:rsid w:val="3AB962FE"/>
    <w:rsid w:val="3ABB2DB9"/>
    <w:rsid w:val="3ABC071B"/>
    <w:rsid w:val="3ABE2E86"/>
    <w:rsid w:val="3ABE6FB8"/>
    <w:rsid w:val="3AC253A9"/>
    <w:rsid w:val="3AC357A8"/>
    <w:rsid w:val="3AC6000E"/>
    <w:rsid w:val="3AC7558C"/>
    <w:rsid w:val="3AD06F78"/>
    <w:rsid w:val="3AD71D29"/>
    <w:rsid w:val="3ADA3FF0"/>
    <w:rsid w:val="3ADB1638"/>
    <w:rsid w:val="3AE633C9"/>
    <w:rsid w:val="3AED2DAA"/>
    <w:rsid w:val="3B0027AA"/>
    <w:rsid w:val="3B0B6811"/>
    <w:rsid w:val="3B0C5FC7"/>
    <w:rsid w:val="3B143A55"/>
    <w:rsid w:val="3B2062B8"/>
    <w:rsid w:val="3B2A51AD"/>
    <w:rsid w:val="3B316F42"/>
    <w:rsid w:val="3B3763D1"/>
    <w:rsid w:val="3B377AF0"/>
    <w:rsid w:val="3B3B3C48"/>
    <w:rsid w:val="3B3C5A5D"/>
    <w:rsid w:val="3B3D1EE7"/>
    <w:rsid w:val="3B491757"/>
    <w:rsid w:val="3B4A3CE7"/>
    <w:rsid w:val="3B4F0A10"/>
    <w:rsid w:val="3B5202C4"/>
    <w:rsid w:val="3B58394D"/>
    <w:rsid w:val="3B585BB9"/>
    <w:rsid w:val="3B5F0C53"/>
    <w:rsid w:val="3B68370E"/>
    <w:rsid w:val="3B69502E"/>
    <w:rsid w:val="3B695EE2"/>
    <w:rsid w:val="3B710466"/>
    <w:rsid w:val="3B86223E"/>
    <w:rsid w:val="3B894C2E"/>
    <w:rsid w:val="3BA12608"/>
    <w:rsid w:val="3BAA36D3"/>
    <w:rsid w:val="3BB43817"/>
    <w:rsid w:val="3BB72F12"/>
    <w:rsid w:val="3BC06B83"/>
    <w:rsid w:val="3BC52C2C"/>
    <w:rsid w:val="3BC83FED"/>
    <w:rsid w:val="3BD63081"/>
    <w:rsid w:val="3BDD03FB"/>
    <w:rsid w:val="3BDF3480"/>
    <w:rsid w:val="3BE15D91"/>
    <w:rsid w:val="3BE81BA8"/>
    <w:rsid w:val="3BE874FB"/>
    <w:rsid w:val="3BF34A32"/>
    <w:rsid w:val="3BF948A2"/>
    <w:rsid w:val="3BFD073A"/>
    <w:rsid w:val="3C034574"/>
    <w:rsid w:val="3C0D13CA"/>
    <w:rsid w:val="3C0F25A2"/>
    <w:rsid w:val="3C123F18"/>
    <w:rsid w:val="3C1637CC"/>
    <w:rsid w:val="3C193ED8"/>
    <w:rsid w:val="3C1F3ADE"/>
    <w:rsid w:val="3C21404C"/>
    <w:rsid w:val="3C2C1932"/>
    <w:rsid w:val="3C2F6E1E"/>
    <w:rsid w:val="3C3025F0"/>
    <w:rsid w:val="3C36369E"/>
    <w:rsid w:val="3C380C7B"/>
    <w:rsid w:val="3C431551"/>
    <w:rsid w:val="3C4F64BA"/>
    <w:rsid w:val="3C4F76C5"/>
    <w:rsid w:val="3C537998"/>
    <w:rsid w:val="3C607041"/>
    <w:rsid w:val="3C627029"/>
    <w:rsid w:val="3C6B70A3"/>
    <w:rsid w:val="3C6C55D1"/>
    <w:rsid w:val="3C6F03C9"/>
    <w:rsid w:val="3C775E39"/>
    <w:rsid w:val="3C8A026E"/>
    <w:rsid w:val="3C8F39F8"/>
    <w:rsid w:val="3C91683E"/>
    <w:rsid w:val="3C917532"/>
    <w:rsid w:val="3C947962"/>
    <w:rsid w:val="3C9A5973"/>
    <w:rsid w:val="3CA826D9"/>
    <w:rsid w:val="3CAC78FC"/>
    <w:rsid w:val="3CB25BE2"/>
    <w:rsid w:val="3CB43221"/>
    <w:rsid w:val="3CBC56FE"/>
    <w:rsid w:val="3CDA245A"/>
    <w:rsid w:val="3CDC062F"/>
    <w:rsid w:val="3CF0259C"/>
    <w:rsid w:val="3CFC0B47"/>
    <w:rsid w:val="3D074CBC"/>
    <w:rsid w:val="3D1236DA"/>
    <w:rsid w:val="3D13625C"/>
    <w:rsid w:val="3D1405B8"/>
    <w:rsid w:val="3D165326"/>
    <w:rsid w:val="3D185C23"/>
    <w:rsid w:val="3D1B2194"/>
    <w:rsid w:val="3D1E06B7"/>
    <w:rsid w:val="3D261CB4"/>
    <w:rsid w:val="3D343703"/>
    <w:rsid w:val="3D3570F2"/>
    <w:rsid w:val="3D3B509C"/>
    <w:rsid w:val="3D4952A8"/>
    <w:rsid w:val="3D49560D"/>
    <w:rsid w:val="3D525BA4"/>
    <w:rsid w:val="3D544B33"/>
    <w:rsid w:val="3D665504"/>
    <w:rsid w:val="3D710C36"/>
    <w:rsid w:val="3D770BC6"/>
    <w:rsid w:val="3D7F3E8D"/>
    <w:rsid w:val="3D871BB8"/>
    <w:rsid w:val="3D885071"/>
    <w:rsid w:val="3D8F6D08"/>
    <w:rsid w:val="3D911E39"/>
    <w:rsid w:val="3D932D68"/>
    <w:rsid w:val="3D9B5CB8"/>
    <w:rsid w:val="3D9C4EBE"/>
    <w:rsid w:val="3DA304AD"/>
    <w:rsid w:val="3DA577A3"/>
    <w:rsid w:val="3DA708DA"/>
    <w:rsid w:val="3DAC6F1C"/>
    <w:rsid w:val="3DB06C57"/>
    <w:rsid w:val="3DB264AA"/>
    <w:rsid w:val="3DB34F82"/>
    <w:rsid w:val="3DC23139"/>
    <w:rsid w:val="3DD61E1E"/>
    <w:rsid w:val="3DD8446B"/>
    <w:rsid w:val="3DE54EC5"/>
    <w:rsid w:val="3DE63271"/>
    <w:rsid w:val="3DE64A2C"/>
    <w:rsid w:val="3DE6565C"/>
    <w:rsid w:val="3DE968C3"/>
    <w:rsid w:val="3DF00758"/>
    <w:rsid w:val="3E043D5C"/>
    <w:rsid w:val="3E0F5E25"/>
    <w:rsid w:val="3E182F10"/>
    <w:rsid w:val="3E194DCB"/>
    <w:rsid w:val="3E1D2C13"/>
    <w:rsid w:val="3E1D3F37"/>
    <w:rsid w:val="3E1E6E9E"/>
    <w:rsid w:val="3E2558BC"/>
    <w:rsid w:val="3E2C3648"/>
    <w:rsid w:val="3E3244A9"/>
    <w:rsid w:val="3E353152"/>
    <w:rsid w:val="3E354B9E"/>
    <w:rsid w:val="3E3D4EA7"/>
    <w:rsid w:val="3E462EA0"/>
    <w:rsid w:val="3E4A574C"/>
    <w:rsid w:val="3E4D1482"/>
    <w:rsid w:val="3E5839CD"/>
    <w:rsid w:val="3E6556DF"/>
    <w:rsid w:val="3E681269"/>
    <w:rsid w:val="3E6C261B"/>
    <w:rsid w:val="3E7A6CA3"/>
    <w:rsid w:val="3E7C39F7"/>
    <w:rsid w:val="3E861213"/>
    <w:rsid w:val="3E9840EF"/>
    <w:rsid w:val="3E9D5409"/>
    <w:rsid w:val="3EA3526F"/>
    <w:rsid w:val="3EB07073"/>
    <w:rsid w:val="3EB11E34"/>
    <w:rsid w:val="3EBE7A17"/>
    <w:rsid w:val="3EC22F0F"/>
    <w:rsid w:val="3ECF60F0"/>
    <w:rsid w:val="3ED06C7E"/>
    <w:rsid w:val="3ED8510D"/>
    <w:rsid w:val="3ED96F6F"/>
    <w:rsid w:val="3EDA0523"/>
    <w:rsid w:val="3EE05609"/>
    <w:rsid w:val="3EE27197"/>
    <w:rsid w:val="3EE335E5"/>
    <w:rsid w:val="3EE453B9"/>
    <w:rsid w:val="3EE95C3E"/>
    <w:rsid w:val="3EEE4100"/>
    <w:rsid w:val="3EFF6B85"/>
    <w:rsid w:val="3F066F08"/>
    <w:rsid w:val="3F07061A"/>
    <w:rsid w:val="3F1A2B0C"/>
    <w:rsid w:val="3F1D4C7E"/>
    <w:rsid w:val="3F2E133B"/>
    <w:rsid w:val="3F336397"/>
    <w:rsid w:val="3F36117E"/>
    <w:rsid w:val="3F3E0015"/>
    <w:rsid w:val="3F4051D7"/>
    <w:rsid w:val="3F436A47"/>
    <w:rsid w:val="3F470003"/>
    <w:rsid w:val="3F5028A8"/>
    <w:rsid w:val="3F54659A"/>
    <w:rsid w:val="3F65576C"/>
    <w:rsid w:val="3F6576F7"/>
    <w:rsid w:val="3F6A1BB5"/>
    <w:rsid w:val="3F6D3614"/>
    <w:rsid w:val="3F744B70"/>
    <w:rsid w:val="3F773BD4"/>
    <w:rsid w:val="3F7925A4"/>
    <w:rsid w:val="3F7B24DD"/>
    <w:rsid w:val="3F7E1E93"/>
    <w:rsid w:val="3F8D090F"/>
    <w:rsid w:val="3F945688"/>
    <w:rsid w:val="3F9940CE"/>
    <w:rsid w:val="3F9D66AF"/>
    <w:rsid w:val="3F9F5466"/>
    <w:rsid w:val="3FA43579"/>
    <w:rsid w:val="3FB823B9"/>
    <w:rsid w:val="3FBB0422"/>
    <w:rsid w:val="3FDA3473"/>
    <w:rsid w:val="3FDB0A30"/>
    <w:rsid w:val="3FDD6508"/>
    <w:rsid w:val="3FE40B0C"/>
    <w:rsid w:val="3FE56885"/>
    <w:rsid w:val="3FE67995"/>
    <w:rsid w:val="3FEA7830"/>
    <w:rsid w:val="3FF2615C"/>
    <w:rsid w:val="3FF6571A"/>
    <w:rsid w:val="3FF91C8D"/>
    <w:rsid w:val="40014DF3"/>
    <w:rsid w:val="401A5FF7"/>
    <w:rsid w:val="401D1E3C"/>
    <w:rsid w:val="402101D8"/>
    <w:rsid w:val="40290096"/>
    <w:rsid w:val="402B46CB"/>
    <w:rsid w:val="402E6F8A"/>
    <w:rsid w:val="40346B9E"/>
    <w:rsid w:val="40456571"/>
    <w:rsid w:val="40486192"/>
    <w:rsid w:val="404D5D77"/>
    <w:rsid w:val="4052594E"/>
    <w:rsid w:val="4053622E"/>
    <w:rsid w:val="4055255D"/>
    <w:rsid w:val="40591503"/>
    <w:rsid w:val="40615F2C"/>
    <w:rsid w:val="40621B84"/>
    <w:rsid w:val="406B22D2"/>
    <w:rsid w:val="406B5023"/>
    <w:rsid w:val="406B61F4"/>
    <w:rsid w:val="40703D83"/>
    <w:rsid w:val="4070797D"/>
    <w:rsid w:val="40791F03"/>
    <w:rsid w:val="407A6407"/>
    <w:rsid w:val="407A6A88"/>
    <w:rsid w:val="407D44DC"/>
    <w:rsid w:val="407F3561"/>
    <w:rsid w:val="40833567"/>
    <w:rsid w:val="40861209"/>
    <w:rsid w:val="408924F8"/>
    <w:rsid w:val="4089500B"/>
    <w:rsid w:val="40A149D4"/>
    <w:rsid w:val="40AB2262"/>
    <w:rsid w:val="40AC56D4"/>
    <w:rsid w:val="40AE4BC9"/>
    <w:rsid w:val="40AF61D9"/>
    <w:rsid w:val="40B1201B"/>
    <w:rsid w:val="40BB5246"/>
    <w:rsid w:val="40BE7147"/>
    <w:rsid w:val="40C86DAD"/>
    <w:rsid w:val="40CC06A0"/>
    <w:rsid w:val="40D176F1"/>
    <w:rsid w:val="40D50267"/>
    <w:rsid w:val="40DA2A80"/>
    <w:rsid w:val="40DC6FDF"/>
    <w:rsid w:val="40DE291E"/>
    <w:rsid w:val="40E3429B"/>
    <w:rsid w:val="40E60D38"/>
    <w:rsid w:val="40EB4395"/>
    <w:rsid w:val="40EB606D"/>
    <w:rsid w:val="40F34A43"/>
    <w:rsid w:val="40FF25F2"/>
    <w:rsid w:val="4101796D"/>
    <w:rsid w:val="4103072D"/>
    <w:rsid w:val="41077158"/>
    <w:rsid w:val="410E1364"/>
    <w:rsid w:val="411035AD"/>
    <w:rsid w:val="412C7875"/>
    <w:rsid w:val="412D6CD6"/>
    <w:rsid w:val="413076FD"/>
    <w:rsid w:val="413D5023"/>
    <w:rsid w:val="414F2C34"/>
    <w:rsid w:val="41510F1D"/>
    <w:rsid w:val="4151103E"/>
    <w:rsid w:val="41623859"/>
    <w:rsid w:val="41696F54"/>
    <w:rsid w:val="41711EDC"/>
    <w:rsid w:val="417171C2"/>
    <w:rsid w:val="41753FAE"/>
    <w:rsid w:val="417F151B"/>
    <w:rsid w:val="41804A77"/>
    <w:rsid w:val="418B4BED"/>
    <w:rsid w:val="418E561C"/>
    <w:rsid w:val="419B7F64"/>
    <w:rsid w:val="419C5F7A"/>
    <w:rsid w:val="419C7B1A"/>
    <w:rsid w:val="419D0CF4"/>
    <w:rsid w:val="41AA074E"/>
    <w:rsid w:val="41AA4022"/>
    <w:rsid w:val="41AF1CE2"/>
    <w:rsid w:val="41B03F60"/>
    <w:rsid w:val="41B767CF"/>
    <w:rsid w:val="41BE0EE2"/>
    <w:rsid w:val="41BE1C6A"/>
    <w:rsid w:val="41BE5775"/>
    <w:rsid w:val="41C65E75"/>
    <w:rsid w:val="41CB0D34"/>
    <w:rsid w:val="41CB7CED"/>
    <w:rsid w:val="41CF4659"/>
    <w:rsid w:val="41D1506E"/>
    <w:rsid w:val="41DA11B0"/>
    <w:rsid w:val="41DC3B8E"/>
    <w:rsid w:val="41DC5D3F"/>
    <w:rsid w:val="41E948FC"/>
    <w:rsid w:val="41EB11A4"/>
    <w:rsid w:val="41F45E6E"/>
    <w:rsid w:val="41FD2072"/>
    <w:rsid w:val="41FD7E32"/>
    <w:rsid w:val="4200449D"/>
    <w:rsid w:val="42005195"/>
    <w:rsid w:val="42084F5D"/>
    <w:rsid w:val="4214110F"/>
    <w:rsid w:val="4216196E"/>
    <w:rsid w:val="421D5F38"/>
    <w:rsid w:val="421E1654"/>
    <w:rsid w:val="42277196"/>
    <w:rsid w:val="423A3BCC"/>
    <w:rsid w:val="423A5704"/>
    <w:rsid w:val="42416AF9"/>
    <w:rsid w:val="424211BB"/>
    <w:rsid w:val="4247320A"/>
    <w:rsid w:val="424E57D2"/>
    <w:rsid w:val="42506023"/>
    <w:rsid w:val="42576B28"/>
    <w:rsid w:val="425C50C7"/>
    <w:rsid w:val="425D0F9F"/>
    <w:rsid w:val="42615667"/>
    <w:rsid w:val="42633167"/>
    <w:rsid w:val="426F236F"/>
    <w:rsid w:val="426F71A3"/>
    <w:rsid w:val="4279597A"/>
    <w:rsid w:val="427F67E4"/>
    <w:rsid w:val="4282279A"/>
    <w:rsid w:val="42825BCB"/>
    <w:rsid w:val="42892548"/>
    <w:rsid w:val="428A524D"/>
    <w:rsid w:val="428F5DE8"/>
    <w:rsid w:val="42A72EE0"/>
    <w:rsid w:val="42A95986"/>
    <w:rsid w:val="42AB17E4"/>
    <w:rsid w:val="42B26C49"/>
    <w:rsid w:val="42B50491"/>
    <w:rsid w:val="42C32BD7"/>
    <w:rsid w:val="42C71D0B"/>
    <w:rsid w:val="42CD6B06"/>
    <w:rsid w:val="42D61E6D"/>
    <w:rsid w:val="42D7279D"/>
    <w:rsid w:val="42DC16BB"/>
    <w:rsid w:val="42DC796E"/>
    <w:rsid w:val="42E31E3F"/>
    <w:rsid w:val="42E36C92"/>
    <w:rsid w:val="42F32C4E"/>
    <w:rsid w:val="430443A6"/>
    <w:rsid w:val="4308356C"/>
    <w:rsid w:val="43105F3F"/>
    <w:rsid w:val="4315394D"/>
    <w:rsid w:val="431C0FA3"/>
    <w:rsid w:val="431F2FB1"/>
    <w:rsid w:val="43324584"/>
    <w:rsid w:val="43344CDC"/>
    <w:rsid w:val="433A6FE6"/>
    <w:rsid w:val="4340423C"/>
    <w:rsid w:val="434312E5"/>
    <w:rsid w:val="43480868"/>
    <w:rsid w:val="4348134F"/>
    <w:rsid w:val="434E0079"/>
    <w:rsid w:val="434E0E30"/>
    <w:rsid w:val="4350713C"/>
    <w:rsid w:val="43556410"/>
    <w:rsid w:val="435832D1"/>
    <w:rsid w:val="43610C1E"/>
    <w:rsid w:val="436129E8"/>
    <w:rsid w:val="436653E0"/>
    <w:rsid w:val="436C1DE4"/>
    <w:rsid w:val="43750689"/>
    <w:rsid w:val="437C7B31"/>
    <w:rsid w:val="437E7AB6"/>
    <w:rsid w:val="43816CBA"/>
    <w:rsid w:val="43855264"/>
    <w:rsid w:val="438D06AE"/>
    <w:rsid w:val="438E6CE1"/>
    <w:rsid w:val="43947ECE"/>
    <w:rsid w:val="439B0674"/>
    <w:rsid w:val="439F381B"/>
    <w:rsid w:val="439F5EE6"/>
    <w:rsid w:val="43A2355D"/>
    <w:rsid w:val="43A747F0"/>
    <w:rsid w:val="43A81D0C"/>
    <w:rsid w:val="43AF1953"/>
    <w:rsid w:val="43B104BA"/>
    <w:rsid w:val="43B371D1"/>
    <w:rsid w:val="43B479F8"/>
    <w:rsid w:val="43C056D8"/>
    <w:rsid w:val="43C4431A"/>
    <w:rsid w:val="43D14CEC"/>
    <w:rsid w:val="43E155BA"/>
    <w:rsid w:val="43E94BD2"/>
    <w:rsid w:val="43EE47D9"/>
    <w:rsid w:val="4403718F"/>
    <w:rsid w:val="44042397"/>
    <w:rsid w:val="440A3931"/>
    <w:rsid w:val="440D4251"/>
    <w:rsid w:val="4412274E"/>
    <w:rsid w:val="44123B2E"/>
    <w:rsid w:val="4413219A"/>
    <w:rsid w:val="44135045"/>
    <w:rsid w:val="441358F2"/>
    <w:rsid w:val="44160AB3"/>
    <w:rsid w:val="441D00B6"/>
    <w:rsid w:val="441D256A"/>
    <w:rsid w:val="4421358A"/>
    <w:rsid w:val="44230B67"/>
    <w:rsid w:val="44274886"/>
    <w:rsid w:val="442A24A6"/>
    <w:rsid w:val="442B5CF3"/>
    <w:rsid w:val="442C419F"/>
    <w:rsid w:val="442D5095"/>
    <w:rsid w:val="4430161D"/>
    <w:rsid w:val="4431253B"/>
    <w:rsid w:val="443C436D"/>
    <w:rsid w:val="444208D9"/>
    <w:rsid w:val="4444496A"/>
    <w:rsid w:val="444D7059"/>
    <w:rsid w:val="445930EE"/>
    <w:rsid w:val="445C0D14"/>
    <w:rsid w:val="445C5849"/>
    <w:rsid w:val="445F4287"/>
    <w:rsid w:val="44632219"/>
    <w:rsid w:val="446719A4"/>
    <w:rsid w:val="44691EA6"/>
    <w:rsid w:val="446E111B"/>
    <w:rsid w:val="4474716D"/>
    <w:rsid w:val="44756236"/>
    <w:rsid w:val="44773614"/>
    <w:rsid w:val="447B270A"/>
    <w:rsid w:val="447C1E78"/>
    <w:rsid w:val="44847D32"/>
    <w:rsid w:val="44860C00"/>
    <w:rsid w:val="44894F5C"/>
    <w:rsid w:val="448A76E6"/>
    <w:rsid w:val="448B45D3"/>
    <w:rsid w:val="448C37C7"/>
    <w:rsid w:val="44A269C9"/>
    <w:rsid w:val="44A453C2"/>
    <w:rsid w:val="44AD561F"/>
    <w:rsid w:val="44B90667"/>
    <w:rsid w:val="44B951CC"/>
    <w:rsid w:val="44C21E68"/>
    <w:rsid w:val="44CB33AC"/>
    <w:rsid w:val="44CC56AD"/>
    <w:rsid w:val="44CD14E0"/>
    <w:rsid w:val="44D1204B"/>
    <w:rsid w:val="44E938D0"/>
    <w:rsid w:val="44F100C8"/>
    <w:rsid w:val="44F20B0B"/>
    <w:rsid w:val="44F530C1"/>
    <w:rsid w:val="44FB3520"/>
    <w:rsid w:val="44FD5C13"/>
    <w:rsid w:val="44FE6C98"/>
    <w:rsid w:val="45021DB1"/>
    <w:rsid w:val="45065CF5"/>
    <w:rsid w:val="450876ED"/>
    <w:rsid w:val="45091456"/>
    <w:rsid w:val="450D7DF5"/>
    <w:rsid w:val="450E3EC9"/>
    <w:rsid w:val="451A5BEB"/>
    <w:rsid w:val="451C6807"/>
    <w:rsid w:val="451D487E"/>
    <w:rsid w:val="451D7EE9"/>
    <w:rsid w:val="45280DD7"/>
    <w:rsid w:val="452E5F4C"/>
    <w:rsid w:val="45346FAE"/>
    <w:rsid w:val="45352915"/>
    <w:rsid w:val="453C7725"/>
    <w:rsid w:val="45416BB6"/>
    <w:rsid w:val="45450FFF"/>
    <w:rsid w:val="454E3ED8"/>
    <w:rsid w:val="45554A2E"/>
    <w:rsid w:val="45554CDA"/>
    <w:rsid w:val="45592BB7"/>
    <w:rsid w:val="455C48EF"/>
    <w:rsid w:val="456101BB"/>
    <w:rsid w:val="45612018"/>
    <w:rsid w:val="45674731"/>
    <w:rsid w:val="45727F0B"/>
    <w:rsid w:val="45771DAE"/>
    <w:rsid w:val="457866C3"/>
    <w:rsid w:val="4579725D"/>
    <w:rsid w:val="458946E9"/>
    <w:rsid w:val="458D73E0"/>
    <w:rsid w:val="4594394A"/>
    <w:rsid w:val="45A47C0E"/>
    <w:rsid w:val="45A747C2"/>
    <w:rsid w:val="45AD039C"/>
    <w:rsid w:val="45B147A1"/>
    <w:rsid w:val="45B83040"/>
    <w:rsid w:val="45BA35BE"/>
    <w:rsid w:val="45BB36D3"/>
    <w:rsid w:val="45C03C9A"/>
    <w:rsid w:val="45C34D0F"/>
    <w:rsid w:val="45CD032D"/>
    <w:rsid w:val="45D877D4"/>
    <w:rsid w:val="45E0004E"/>
    <w:rsid w:val="45E25E2E"/>
    <w:rsid w:val="45E52AD4"/>
    <w:rsid w:val="45E858D0"/>
    <w:rsid w:val="45EC735B"/>
    <w:rsid w:val="45F34E5A"/>
    <w:rsid w:val="45F53C54"/>
    <w:rsid w:val="45F6288D"/>
    <w:rsid w:val="45F7276B"/>
    <w:rsid w:val="460055F1"/>
    <w:rsid w:val="460312B4"/>
    <w:rsid w:val="460645E6"/>
    <w:rsid w:val="460D67E9"/>
    <w:rsid w:val="46116403"/>
    <w:rsid w:val="46195EA3"/>
    <w:rsid w:val="461D0E0B"/>
    <w:rsid w:val="461E59D7"/>
    <w:rsid w:val="46206710"/>
    <w:rsid w:val="46237F9F"/>
    <w:rsid w:val="46260E3F"/>
    <w:rsid w:val="462B5AE0"/>
    <w:rsid w:val="463073E8"/>
    <w:rsid w:val="463361FC"/>
    <w:rsid w:val="463F161B"/>
    <w:rsid w:val="4642189D"/>
    <w:rsid w:val="46484CCB"/>
    <w:rsid w:val="464A5BF6"/>
    <w:rsid w:val="46544D15"/>
    <w:rsid w:val="465670F7"/>
    <w:rsid w:val="46577FD6"/>
    <w:rsid w:val="465F018B"/>
    <w:rsid w:val="466541D8"/>
    <w:rsid w:val="466E1DD4"/>
    <w:rsid w:val="466F2A9A"/>
    <w:rsid w:val="4670396B"/>
    <w:rsid w:val="467E42A3"/>
    <w:rsid w:val="46801B5D"/>
    <w:rsid w:val="468C192B"/>
    <w:rsid w:val="468F11BF"/>
    <w:rsid w:val="469038D5"/>
    <w:rsid w:val="46912DAB"/>
    <w:rsid w:val="469777C5"/>
    <w:rsid w:val="469B73B3"/>
    <w:rsid w:val="469D6196"/>
    <w:rsid w:val="46A30048"/>
    <w:rsid w:val="46A310A1"/>
    <w:rsid w:val="46A613B3"/>
    <w:rsid w:val="46A62428"/>
    <w:rsid w:val="46AF1E60"/>
    <w:rsid w:val="46B75E36"/>
    <w:rsid w:val="46C117BC"/>
    <w:rsid w:val="46C11883"/>
    <w:rsid w:val="46C8360B"/>
    <w:rsid w:val="46C92CCE"/>
    <w:rsid w:val="46CB26D1"/>
    <w:rsid w:val="46D31AE4"/>
    <w:rsid w:val="46D87ADE"/>
    <w:rsid w:val="46D955A7"/>
    <w:rsid w:val="46DB49EC"/>
    <w:rsid w:val="46DE5E17"/>
    <w:rsid w:val="46E03EE6"/>
    <w:rsid w:val="46E042C9"/>
    <w:rsid w:val="46E066DE"/>
    <w:rsid w:val="46E7789C"/>
    <w:rsid w:val="46EB5453"/>
    <w:rsid w:val="46EE145F"/>
    <w:rsid w:val="46F173EC"/>
    <w:rsid w:val="46FE5862"/>
    <w:rsid w:val="47065D63"/>
    <w:rsid w:val="47072C3D"/>
    <w:rsid w:val="470D52FD"/>
    <w:rsid w:val="470D7890"/>
    <w:rsid w:val="470F76D1"/>
    <w:rsid w:val="47122203"/>
    <w:rsid w:val="47133957"/>
    <w:rsid w:val="471E7FB9"/>
    <w:rsid w:val="47227988"/>
    <w:rsid w:val="47236C30"/>
    <w:rsid w:val="47246AF1"/>
    <w:rsid w:val="472E1847"/>
    <w:rsid w:val="4730220C"/>
    <w:rsid w:val="473B4C8C"/>
    <w:rsid w:val="473D49FC"/>
    <w:rsid w:val="47493425"/>
    <w:rsid w:val="47510999"/>
    <w:rsid w:val="47525867"/>
    <w:rsid w:val="475B0209"/>
    <w:rsid w:val="476632D7"/>
    <w:rsid w:val="476E1CF4"/>
    <w:rsid w:val="47707F3B"/>
    <w:rsid w:val="478657F2"/>
    <w:rsid w:val="478756F1"/>
    <w:rsid w:val="4787711E"/>
    <w:rsid w:val="478E32E0"/>
    <w:rsid w:val="479A57A5"/>
    <w:rsid w:val="47A07E0C"/>
    <w:rsid w:val="47A54BED"/>
    <w:rsid w:val="47A90193"/>
    <w:rsid w:val="47AC5527"/>
    <w:rsid w:val="47B553F7"/>
    <w:rsid w:val="47B826E4"/>
    <w:rsid w:val="47C419A4"/>
    <w:rsid w:val="47C534D4"/>
    <w:rsid w:val="47C6196A"/>
    <w:rsid w:val="47D94628"/>
    <w:rsid w:val="47E639D2"/>
    <w:rsid w:val="47EB4BAB"/>
    <w:rsid w:val="47EC59AE"/>
    <w:rsid w:val="47EE246C"/>
    <w:rsid w:val="47EE2EA3"/>
    <w:rsid w:val="47EE70F8"/>
    <w:rsid w:val="47F40E1C"/>
    <w:rsid w:val="47F54E80"/>
    <w:rsid w:val="47F60B91"/>
    <w:rsid w:val="47F72214"/>
    <w:rsid w:val="47FB14C3"/>
    <w:rsid w:val="47FF08F7"/>
    <w:rsid w:val="47FF2591"/>
    <w:rsid w:val="480416BE"/>
    <w:rsid w:val="48093CBE"/>
    <w:rsid w:val="480E4024"/>
    <w:rsid w:val="48151251"/>
    <w:rsid w:val="481837E1"/>
    <w:rsid w:val="481A26DD"/>
    <w:rsid w:val="482C7909"/>
    <w:rsid w:val="482E55C5"/>
    <w:rsid w:val="48367C73"/>
    <w:rsid w:val="48520D93"/>
    <w:rsid w:val="485338EE"/>
    <w:rsid w:val="48632B73"/>
    <w:rsid w:val="4866304A"/>
    <w:rsid w:val="48666929"/>
    <w:rsid w:val="48673B34"/>
    <w:rsid w:val="48694821"/>
    <w:rsid w:val="4870272E"/>
    <w:rsid w:val="48781F90"/>
    <w:rsid w:val="487C045C"/>
    <w:rsid w:val="488B54C3"/>
    <w:rsid w:val="488F6BA7"/>
    <w:rsid w:val="48935069"/>
    <w:rsid w:val="489D138C"/>
    <w:rsid w:val="48A14E30"/>
    <w:rsid w:val="48AA48EF"/>
    <w:rsid w:val="48AC7A80"/>
    <w:rsid w:val="48B417A1"/>
    <w:rsid w:val="48B82DDC"/>
    <w:rsid w:val="48CB137D"/>
    <w:rsid w:val="48CE5FFB"/>
    <w:rsid w:val="48EF75A3"/>
    <w:rsid w:val="48F11C44"/>
    <w:rsid w:val="48F51046"/>
    <w:rsid w:val="48FC0CEE"/>
    <w:rsid w:val="4907500B"/>
    <w:rsid w:val="490E482D"/>
    <w:rsid w:val="49123258"/>
    <w:rsid w:val="491303EE"/>
    <w:rsid w:val="491D2D07"/>
    <w:rsid w:val="491F6C50"/>
    <w:rsid w:val="49257EA3"/>
    <w:rsid w:val="492655FA"/>
    <w:rsid w:val="49276ADE"/>
    <w:rsid w:val="493A7381"/>
    <w:rsid w:val="493B61E0"/>
    <w:rsid w:val="49403A0C"/>
    <w:rsid w:val="494B3260"/>
    <w:rsid w:val="494D712F"/>
    <w:rsid w:val="495049E2"/>
    <w:rsid w:val="49551312"/>
    <w:rsid w:val="495A6802"/>
    <w:rsid w:val="495B23D3"/>
    <w:rsid w:val="495D70FC"/>
    <w:rsid w:val="49605FAE"/>
    <w:rsid w:val="49665187"/>
    <w:rsid w:val="49667651"/>
    <w:rsid w:val="49667D9B"/>
    <w:rsid w:val="4968356D"/>
    <w:rsid w:val="496C351D"/>
    <w:rsid w:val="496E2FD1"/>
    <w:rsid w:val="496F21E9"/>
    <w:rsid w:val="49701AE3"/>
    <w:rsid w:val="497160AE"/>
    <w:rsid w:val="49723371"/>
    <w:rsid w:val="49725015"/>
    <w:rsid w:val="49796255"/>
    <w:rsid w:val="498144B9"/>
    <w:rsid w:val="49821F37"/>
    <w:rsid w:val="498C6613"/>
    <w:rsid w:val="4995730D"/>
    <w:rsid w:val="499936D4"/>
    <w:rsid w:val="49A17776"/>
    <w:rsid w:val="49A64A0C"/>
    <w:rsid w:val="49AC4623"/>
    <w:rsid w:val="49B14B6A"/>
    <w:rsid w:val="49C94EF9"/>
    <w:rsid w:val="49C9628E"/>
    <w:rsid w:val="49D30679"/>
    <w:rsid w:val="49D66936"/>
    <w:rsid w:val="49DC7715"/>
    <w:rsid w:val="49E05B69"/>
    <w:rsid w:val="49E47A67"/>
    <w:rsid w:val="49EC4C38"/>
    <w:rsid w:val="49F15A1E"/>
    <w:rsid w:val="49F43999"/>
    <w:rsid w:val="49F96609"/>
    <w:rsid w:val="4A010B3F"/>
    <w:rsid w:val="4A011E57"/>
    <w:rsid w:val="4A023139"/>
    <w:rsid w:val="4A026DB0"/>
    <w:rsid w:val="4A043F63"/>
    <w:rsid w:val="4A0E28DD"/>
    <w:rsid w:val="4A0F6F8C"/>
    <w:rsid w:val="4A1D53F0"/>
    <w:rsid w:val="4A25750C"/>
    <w:rsid w:val="4A383FF2"/>
    <w:rsid w:val="4A43441A"/>
    <w:rsid w:val="4A4A2D17"/>
    <w:rsid w:val="4A576232"/>
    <w:rsid w:val="4A5F5608"/>
    <w:rsid w:val="4A621EEC"/>
    <w:rsid w:val="4A6B7B00"/>
    <w:rsid w:val="4A714337"/>
    <w:rsid w:val="4A754B9C"/>
    <w:rsid w:val="4A780936"/>
    <w:rsid w:val="4A7B576F"/>
    <w:rsid w:val="4A81396E"/>
    <w:rsid w:val="4A8761EF"/>
    <w:rsid w:val="4A8F5CD2"/>
    <w:rsid w:val="4A942A1F"/>
    <w:rsid w:val="4A9471CC"/>
    <w:rsid w:val="4A953FF9"/>
    <w:rsid w:val="4AB12B78"/>
    <w:rsid w:val="4AB157CE"/>
    <w:rsid w:val="4AB514CD"/>
    <w:rsid w:val="4AB70785"/>
    <w:rsid w:val="4ABB0BA0"/>
    <w:rsid w:val="4ABB6464"/>
    <w:rsid w:val="4ABE5653"/>
    <w:rsid w:val="4AC3005A"/>
    <w:rsid w:val="4AC81EE0"/>
    <w:rsid w:val="4ACB55BC"/>
    <w:rsid w:val="4ACC3548"/>
    <w:rsid w:val="4AD3522C"/>
    <w:rsid w:val="4AE365A5"/>
    <w:rsid w:val="4AE431C4"/>
    <w:rsid w:val="4AF10901"/>
    <w:rsid w:val="4AF42DA7"/>
    <w:rsid w:val="4AF561A9"/>
    <w:rsid w:val="4AF6408A"/>
    <w:rsid w:val="4AFB1081"/>
    <w:rsid w:val="4AFB4873"/>
    <w:rsid w:val="4B026B58"/>
    <w:rsid w:val="4B041B9A"/>
    <w:rsid w:val="4B101F79"/>
    <w:rsid w:val="4B107CD3"/>
    <w:rsid w:val="4B1114A5"/>
    <w:rsid w:val="4B130AD3"/>
    <w:rsid w:val="4B135A53"/>
    <w:rsid w:val="4B1F651E"/>
    <w:rsid w:val="4B20735B"/>
    <w:rsid w:val="4B2535A8"/>
    <w:rsid w:val="4B29564B"/>
    <w:rsid w:val="4B32078D"/>
    <w:rsid w:val="4B353FB6"/>
    <w:rsid w:val="4B35649A"/>
    <w:rsid w:val="4B3D47B7"/>
    <w:rsid w:val="4B400096"/>
    <w:rsid w:val="4B4743EA"/>
    <w:rsid w:val="4B4749BC"/>
    <w:rsid w:val="4B5214A2"/>
    <w:rsid w:val="4B530C46"/>
    <w:rsid w:val="4B5A386C"/>
    <w:rsid w:val="4B5D6CE6"/>
    <w:rsid w:val="4B603D34"/>
    <w:rsid w:val="4B630C8C"/>
    <w:rsid w:val="4B6A5C10"/>
    <w:rsid w:val="4B6E0A0B"/>
    <w:rsid w:val="4B7023D8"/>
    <w:rsid w:val="4B715173"/>
    <w:rsid w:val="4B765D25"/>
    <w:rsid w:val="4B7A0FF7"/>
    <w:rsid w:val="4B814C16"/>
    <w:rsid w:val="4B8E0F3E"/>
    <w:rsid w:val="4B914D02"/>
    <w:rsid w:val="4B930325"/>
    <w:rsid w:val="4B9365AA"/>
    <w:rsid w:val="4B9A5E64"/>
    <w:rsid w:val="4B9E5D19"/>
    <w:rsid w:val="4BA324B2"/>
    <w:rsid w:val="4BA41C4F"/>
    <w:rsid w:val="4BA5087B"/>
    <w:rsid w:val="4BB5632A"/>
    <w:rsid w:val="4BB9723D"/>
    <w:rsid w:val="4BB977B1"/>
    <w:rsid w:val="4BBA69E0"/>
    <w:rsid w:val="4BBB12EC"/>
    <w:rsid w:val="4BDA5FBE"/>
    <w:rsid w:val="4BDB3EA6"/>
    <w:rsid w:val="4BE474C0"/>
    <w:rsid w:val="4BE70D22"/>
    <w:rsid w:val="4BEB208F"/>
    <w:rsid w:val="4BED257E"/>
    <w:rsid w:val="4BF91630"/>
    <w:rsid w:val="4BFE286D"/>
    <w:rsid w:val="4C01106E"/>
    <w:rsid w:val="4C017F6F"/>
    <w:rsid w:val="4C056F15"/>
    <w:rsid w:val="4C113F1B"/>
    <w:rsid w:val="4C12602A"/>
    <w:rsid w:val="4C1C049B"/>
    <w:rsid w:val="4C1E6299"/>
    <w:rsid w:val="4C222DA1"/>
    <w:rsid w:val="4C223151"/>
    <w:rsid w:val="4C3D015D"/>
    <w:rsid w:val="4C4345AF"/>
    <w:rsid w:val="4C4459F0"/>
    <w:rsid w:val="4C475F3F"/>
    <w:rsid w:val="4C4A0649"/>
    <w:rsid w:val="4C522D7F"/>
    <w:rsid w:val="4C527B07"/>
    <w:rsid w:val="4C5F5A10"/>
    <w:rsid w:val="4C7519E1"/>
    <w:rsid w:val="4C7525E5"/>
    <w:rsid w:val="4C791F13"/>
    <w:rsid w:val="4C7A679F"/>
    <w:rsid w:val="4C7C753D"/>
    <w:rsid w:val="4C7E5ECA"/>
    <w:rsid w:val="4C7F4EB6"/>
    <w:rsid w:val="4C876AA5"/>
    <w:rsid w:val="4C8A351C"/>
    <w:rsid w:val="4C8C3872"/>
    <w:rsid w:val="4C8C7F07"/>
    <w:rsid w:val="4C9174F1"/>
    <w:rsid w:val="4C9226C3"/>
    <w:rsid w:val="4C971873"/>
    <w:rsid w:val="4C9A49FA"/>
    <w:rsid w:val="4CAD3BAD"/>
    <w:rsid w:val="4CB20CEA"/>
    <w:rsid w:val="4CB336D5"/>
    <w:rsid w:val="4CB65165"/>
    <w:rsid w:val="4CBF061F"/>
    <w:rsid w:val="4CBF4FE7"/>
    <w:rsid w:val="4CC01B71"/>
    <w:rsid w:val="4CC13607"/>
    <w:rsid w:val="4CCA6911"/>
    <w:rsid w:val="4CCD4B72"/>
    <w:rsid w:val="4CCD6A4F"/>
    <w:rsid w:val="4CD0664E"/>
    <w:rsid w:val="4CD43AFD"/>
    <w:rsid w:val="4CD460EF"/>
    <w:rsid w:val="4CD77DEF"/>
    <w:rsid w:val="4CDB4776"/>
    <w:rsid w:val="4CE372B9"/>
    <w:rsid w:val="4CE377D5"/>
    <w:rsid w:val="4CE532D9"/>
    <w:rsid w:val="4CE56FD4"/>
    <w:rsid w:val="4CE6741B"/>
    <w:rsid w:val="4CEB7D50"/>
    <w:rsid w:val="4CF51418"/>
    <w:rsid w:val="4CFB2CBD"/>
    <w:rsid w:val="4CFF3647"/>
    <w:rsid w:val="4D090A1F"/>
    <w:rsid w:val="4D0C3802"/>
    <w:rsid w:val="4D0D4AC4"/>
    <w:rsid w:val="4D0E00FB"/>
    <w:rsid w:val="4D174658"/>
    <w:rsid w:val="4D176606"/>
    <w:rsid w:val="4D1C63A4"/>
    <w:rsid w:val="4D1F3891"/>
    <w:rsid w:val="4D262356"/>
    <w:rsid w:val="4D2F4C68"/>
    <w:rsid w:val="4D2F7BCC"/>
    <w:rsid w:val="4D3205CD"/>
    <w:rsid w:val="4D331587"/>
    <w:rsid w:val="4D361961"/>
    <w:rsid w:val="4D442D8C"/>
    <w:rsid w:val="4D444B4C"/>
    <w:rsid w:val="4D4B3B8B"/>
    <w:rsid w:val="4D5C6150"/>
    <w:rsid w:val="4D6705DB"/>
    <w:rsid w:val="4D80363C"/>
    <w:rsid w:val="4D814991"/>
    <w:rsid w:val="4D8F0D36"/>
    <w:rsid w:val="4D940948"/>
    <w:rsid w:val="4D955BE1"/>
    <w:rsid w:val="4D9A2895"/>
    <w:rsid w:val="4D9B33E8"/>
    <w:rsid w:val="4DA620AB"/>
    <w:rsid w:val="4DAB2E70"/>
    <w:rsid w:val="4DAB3253"/>
    <w:rsid w:val="4DAC5702"/>
    <w:rsid w:val="4DAF7F11"/>
    <w:rsid w:val="4DB05018"/>
    <w:rsid w:val="4DB13FCA"/>
    <w:rsid w:val="4DB15BA5"/>
    <w:rsid w:val="4DB36BDD"/>
    <w:rsid w:val="4DB44B92"/>
    <w:rsid w:val="4DB9358E"/>
    <w:rsid w:val="4DB97C27"/>
    <w:rsid w:val="4DBA68C2"/>
    <w:rsid w:val="4DC07906"/>
    <w:rsid w:val="4DC204AE"/>
    <w:rsid w:val="4DC85738"/>
    <w:rsid w:val="4DC879E3"/>
    <w:rsid w:val="4DCE2AC2"/>
    <w:rsid w:val="4DD15573"/>
    <w:rsid w:val="4DD3407B"/>
    <w:rsid w:val="4DD67EB3"/>
    <w:rsid w:val="4DDF0175"/>
    <w:rsid w:val="4DDF3E76"/>
    <w:rsid w:val="4DE35EE4"/>
    <w:rsid w:val="4DEC4FB0"/>
    <w:rsid w:val="4DF357C3"/>
    <w:rsid w:val="4DF95072"/>
    <w:rsid w:val="4DF975A0"/>
    <w:rsid w:val="4E075D8A"/>
    <w:rsid w:val="4E161FCA"/>
    <w:rsid w:val="4E176C78"/>
    <w:rsid w:val="4E190BBD"/>
    <w:rsid w:val="4E1F0B83"/>
    <w:rsid w:val="4E257865"/>
    <w:rsid w:val="4E276701"/>
    <w:rsid w:val="4E2D6F5C"/>
    <w:rsid w:val="4E2E4455"/>
    <w:rsid w:val="4E36105F"/>
    <w:rsid w:val="4E3715BC"/>
    <w:rsid w:val="4E3A31DF"/>
    <w:rsid w:val="4E473A98"/>
    <w:rsid w:val="4E4B5462"/>
    <w:rsid w:val="4E50025A"/>
    <w:rsid w:val="4E555E9D"/>
    <w:rsid w:val="4E57668F"/>
    <w:rsid w:val="4E682D8D"/>
    <w:rsid w:val="4E76128C"/>
    <w:rsid w:val="4E7A5024"/>
    <w:rsid w:val="4E821522"/>
    <w:rsid w:val="4E8474D7"/>
    <w:rsid w:val="4E8574D6"/>
    <w:rsid w:val="4E8605FF"/>
    <w:rsid w:val="4E880D3F"/>
    <w:rsid w:val="4E8C537F"/>
    <w:rsid w:val="4E933050"/>
    <w:rsid w:val="4E942087"/>
    <w:rsid w:val="4E9B5301"/>
    <w:rsid w:val="4E9E3ED5"/>
    <w:rsid w:val="4EA61320"/>
    <w:rsid w:val="4EA702EA"/>
    <w:rsid w:val="4EA75B41"/>
    <w:rsid w:val="4EA94614"/>
    <w:rsid w:val="4EB75E5F"/>
    <w:rsid w:val="4EBA7DE9"/>
    <w:rsid w:val="4EBC683D"/>
    <w:rsid w:val="4EBF36BC"/>
    <w:rsid w:val="4EC00FAD"/>
    <w:rsid w:val="4EC8501A"/>
    <w:rsid w:val="4ED14139"/>
    <w:rsid w:val="4ED340D2"/>
    <w:rsid w:val="4ED5677C"/>
    <w:rsid w:val="4ED74FCF"/>
    <w:rsid w:val="4EDA3B01"/>
    <w:rsid w:val="4EDB41C6"/>
    <w:rsid w:val="4EE3037F"/>
    <w:rsid w:val="4EE54236"/>
    <w:rsid w:val="4EE71B8D"/>
    <w:rsid w:val="4EE83CF3"/>
    <w:rsid w:val="4EE97266"/>
    <w:rsid w:val="4EEB2F58"/>
    <w:rsid w:val="4EF10441"/>
    <w:rsid w:val="4EF31987"/>
    <w:rsid w:val="4EF80773"/>
    <w:rsid w:val="4F0E1611"/>
    <w:rsid w:val="4F20167A"/>
    <w:rsid w:val="4F201D6A"/>
    <w:rsid w:val="4F285192"/>
    <w:rsid w:val="4F2B6EE9"/>
    <w:rsid w:val="4F3109EA"/>
    <w:rsid w:val="4F37258E"/>
    <w:rsid w:val="4F3D1FCC"/>
    <w:rsid w:val="4F424760"/>
    <w:rsid w:val="4F4661CB"/>
    <w:rsid w:val="4F4F6674"/>
    <w:rsid w:val="4F547AE0"/>
    <w:rsid w:val="4F640514"/>
    <w:rsid w:val="4F6839A9"/>
    <w:rsid w:val="4F704402"/>
    <w:rsid w:val="4F7266F9"/>
    <w:rsid w:val="4F797C5D"/>
    <w:rsid w:val="4F7A7FCB"/>
    <w:rsid w:val="4F803908"/>
    <w:rsid w:val="4F974A08"/>
    <w:rsid w:val="4F976527"/>
    <w:rsid w:val="4F9843DC"/>
    <w:rsid w:val="4F9D4950"/>
    <w:rsid w:val="4F9D4A63"/>
    <w:rsid w:val="4FA519E9"/>
    <w:rsid w:val="4FA6040E"/>
    <w:rsid w:val="4FA62E9D"/>
    <w:rsid w:val="4FAD2D57"/>
    <w:rsid w:val="4FAE43F8"/>
    <w:rsid w:val="4FB016C9"/>
    <w:rsid w:val="4FB15F59"/>
    <w:rsid w:val="4FB500F8"/>
    <w:rsid w:val="4FBA34BE"/>
    <w:rsid w:val="4FC62A8C"/>
    <w:rsid w:val="4FCA2D69"/>
    <w:rsid w:val="4FDC686F"/>
    <w:rsid w:val="4FE136D2"/>
    <w:rsid w:val="4FE20F0D"/>
    <w:rsid w:val="4FE2642E"/>
    <w:rsid w:val="4FE51552"/>
    <w:rsid w:val="4FE93D51"/>
    <w:rsid w:val="4FF17CE4"/>
    <w:rsid w:val="50015049"/>
    <w:rsid w:val="50032260"/>
    <w:rsid w:val="50036ECF"/>
    <w:rsid w:val="500835D7"/>
    <w:rsid w:val="5015417A"/>
    <w:rsid w:val="501F6A25"/>
    <w:rsid w:val="50265438"/>
    <w:rsid w:val="503046B4"/>
    <w:rsid w:val="503404A9"/>
    <w:rsid w:val="50367EAF"/>
    <w:rsid w:val="5039462F"/>
    <w:rsid w:val="503B3CCC"/>
    <w:rsid w:val="50437C79"/>
    <w:rsid w:val="50445A5E"/>
    <w:rsid w:val="50455111"/>
    <w:rsid w:val="504D156B"/>
    <w:rsid w:val="504F5C3D"/>
    <w:rsid w:val="50504C4B"/>
    <w:rsid w:val="505140A1"/>
    <w:rsid w:val="506434D9"/>
    <w:rsid w:val="5069679C"/>
    <w:rsid w:val="506B19F1"/>
    <w:rsid w:val="506B2170"/>
    <w:rsid w:val="50767227"/>
    <w:rsid w:val="50800A83"/>
    <w:rsid w:val="508F1B83"/>
    <w:rsid w:val="508F60CB"/>
    <w:rsid w:val="50925C92"/>
    <w:rsid w:val="50945046"/>
    <w:rsid w:val="509900DE"/>
    <w:rsid w:val="509A2DB8"/>
    <w:rsid w:val="509C6E7C"/>
    <w:rsid w:val="509D345E"/>
    <w:rsid w:val="509E3BC1"/>
    <w:rsid w:val="50AC471D"/>
    <w:rsid w:val="50B05F89"/>
    <w:rsid w:val="50B16152"/>
    <w:rsid w:val="50B3752A"/>
    <w:rsid w:val="50B42A18"/>
    <w:rsid w:val="50B54EDD"/>
    <w:rsid w:val="50B834F7"/>
    <w:rsid w:val="50BC273D"/>
    <w:rsid w:val="50BE6A7A"/>
    <w:rsid w:val="50C1031E"/>
    <w:rsid w:val="50C1372C"/>
    <w:rsid w:val="50C615C3"/>
    <w:rsid w:val="50C71699"/>
    <w:rsid w:val="50C820AA"/>
    <w:rsid w:val="50C97702"/>
    <w:rsid w:val="50D3499D"/>
    <w:rsid w:val="50D45E08"/>
    <w:rsid w:val="50DB6B76"/>
    <w:rsid w:val="50DD0FE9"/>
    <w:rsid w:val="50E82A86"/>
    <w:rsid w:val="50FA0554"/>
    <w:rsid w:val="50FC2196"/>
    <w:rsid w:val="510D7AE7"/>
    <w:rsid w:val="510E7CB4"/>
    <w:rsid w:val="511300BE"/>
    <w:rsid w:val="51164F82"/>
    <w:rsid w:val="511C3DBC"/>
    <w:rsid w:val="511F17B2"/>
    <w:rsid w:val="512B0DC9"/>
    <w:rsid w:val="51314B29"/>
    <w:rsid w:val="51355098"/>
    <w:rsid w:val="51402FEF"/>
    <w:rsid w:val="5141652C"/>
    <w:rsid w:val="51427765"/>
    <w:rsid w:val="51467837"/>
    <w:rsid w:val="514B1704"/>
    <w:rsid w:val="514B7F93"/>
    <w:rsid w:val="514F496A"/>
    <w:rsid w:val="514F5B2D"/>
    <w:rsid w:val="51616FB0"/>
    <w:rsid w:val="5162104E"/>
    <w:rsid w:val="516D5DA7"/>
    <w:rsid w:val="517207AF"/>
    <w:rsid w:val="51730B5D"/>
    <w:rsid w:val="51766F1A"/>
    <w:rsid w:val="517B14E0"/>
    <w:rsid w:val="517C42AD"/>
    <w:rsid w:val="51814634"/>
    <w:rsid w:val="51890C9C"/>
    <w:rsid w:val="518C07B2"/>
    <w:rsid w:val="518E3BE9"/>
    <w:rsid w:val="519156B9"/>
    <w:rsid w:val="519B6277"/>
    <w:rsid w:val="519D347C"/>
    <w:rsid w:val="519D419E"/>
    <w:rsid w:val="51A057B7"/>
    <w:rsid w:val="51A23F4F"/>
    <w:rsid w:val="51A26C59"/>
    <w:rsid w:val="51A96C75"/>
    <w:rsid w:val="51AF2B38"/>
    <w:rsid w:val="51BE11FE"/>
    <w:rsid w:val="51C30799"/>
    <w:rsid w:val="51C33B14"/>
    <w:rsid w:val="51C703E5"/>
    <w:rsid w:val="51CC2073"/>
    <w:rsid w:val="51D0354B"/>
    <w:rsid w:val="51E0553D"/>
    <w:rsid w:val="51E724FE"/>
    <w:rsid w:val="51EC675D"/>
    <w:rsid w:val="51F23C36"/>
    <w:rsid w:val="51F2421C"/>
    <w:rsid w:val="51F607BD"/>
    <w:rsid w:val="51F652A9"/>
    <w:rsid w:val="51F759F7"/>
    <w:rsid w:val="51F84753"/>
    <w:rsid w:val="5200119E"/>
    <w:rsid w:val="5202436F"/>
    <w:rsid w:val="520E2CAB"/>
    <w:rsid w:val="521A722A"/>
    <w:rsid w:val="521A7355"/>
    <w:rsid w:val="522F6472"/>
    <w:rsid w:val="52300D16"/>
    <w:rsid w:val="52350458"/>
    <w:rsid w:val="52490824"/>
    <w:rsid w:val="524D13AE"/>
    <w:rsid w:val="524D1815"/>
    <w:rsid w:val="525106EC"/>
    <w:rsid w:val="5254494F"/>
    <w:rsid w:val="52572E16"/>
    <w:rsid w:val="5257404F"/>
    <w:rsid w:val="526F7576"/>
    <w:rsid w:val="52782BB0"/>
    <w:rsid w:val="52830489"/>
    <w:rsid w:val="52881C54"/>
    <w:rsid w:val="529750D4"/>
    <w:rsid w:val="52A26ADE"/>
    <w:rsid w:val="52A66410"/>
    <w:rsid w:val="52AB04FA"/>
    <w:rsid w:val="52B065C3"/>
    <w:rsid w:val="52B37316"/>
    <w:rsid w:val="52B5503B"/>
    <w:rsid w:val="52B71185"/>
    <w:rsid w:val="52BA6F8E"/>
    <w:rsid w:val="52C01D9C"/>
    <w:rsid w:val="52CA3E51"/>
    <w:rsid w:val="52CC154C"/>
    <w:rsid w:val="52D03D8D"/>
    <w:rsid w:val="52D366D3"/>
    <w:rsid w:val="52D544B8"/>
    <w:rsid w:val="52D73DB9"/>
    <w:rsid w:val="52DE203B"/>
    <w:rsid w:val="52DF6A1E"/>
    <w:rsid w:val="52E433B8"/>
    <w:rsid w:val="52EF15E7"/>
    <w:rsid w:val="52FB76F0"/>
    <w:rsid w:val="52FC1CFC"/>
    <w:rsid w:val="52FD197E"/>
    <w:rsid w:val="52FE46DF"/>
    <w:rsid w:val="530212E2"/>
    <w:rsid w:val="53082DD7"/>
    <w:rsid w:val="530911C5"/>
    <w:rsid w:val="530A6FA4"/>
    <w:rsid w:val="53110D0D"/>
    <w:rsid w:val="5311637C"/>
    <w:rsid w:val="5320580C"/>
    <w:rsid w:val="532503DE"/>
    <w:rsid w:val="53263761"/>
    <w:rsid w:val="532E56D2"/>
    <w:rsid w:val="5330182D"/>
    <w:rsid w:val="53302057"/>
    <w:rsid w:val="53344350"/>
    <w:rsid w:val="533C6312"/>
    <w:rsid w:val="53412478"/>
    <w:rsid w:val="53416CC6"/>
    <w:rsid w:val="53444341"/>
    <w:rsid w:val="534F241D"/>
    <w:rsid w:val="53555D1B"/>
    <w:rsid w:val="53635771"/>
    <w:rsid w:val="53660B43"/>
    <w:rsid w:val="536C05A9"/>
    <w:rsid w:val="537265B3"/>
    <w:rsid w:val="53751CFB"/>
    <w:rsid w:val="53764934"/>
    <w:rsid w:val="537B002E"/>
    <w:rsid w:val="537B5887"/>
    <w:rsid w:val="53856885"/>
    <w:rsid w:val="5388236E"/>
    <w:rsid w:val="53883495"/>
    <w:rsid w:val="53885503"/>
    <w:rsid w:val="538C44E7"/>
    <w:rsid w:val="53915A74"/>
    <w:rsid w:val="53932B0D"/>
    <w:rsid w:val="53932F7A"/>
    <w:rsid w:val="53953DCF"/>
    <w:rsid w:val="5398258F"/>
    <w:rsid w:val="539A4EB5"/>
    <w:rsid w:val="53A039CC"/>
    <w:rsid w:val="53A1505A"/>
    <w:rsid w:val="53A20D6A"/>
    <w:rsid w:val="53A34062"/>
    <w:rsid w:val="53A54884"/>
    <w:rsid w:val="53AE0F08"/>
    <w:rsid w:val="53B1708B"/>
    <w:rsid w:val="53B44B0B"/>
    <w:rsid w:val="53B740AD"/>
    <w:rsid w:val="53BA2CF6"/>
    <w:rsid w:val="53BA3C0C"/>
    <w:rsid w:val="53BF536C"/>
    <w:rsid w:val="53BF6826"/>
    <w:rsid w:val="53C3796D"/>
    <w:rsid w:val="53C75BC4"/>
    <w:rsid w:val="53CA73CF"/>
    <w:rsid w:val="53CF4DB7"/>
    <w:rsid w:val="53D27EF7"/>
    <w:rsid w:val="53D53047"/>
    <w:rsid w:val="53DA7562"/>
    <w:rsid w:val="53DE62D7"/>
    <w:rsid w:val="53E67748"/>
    <w:rsid w:val="53FE7F2E"/>
    <w:rsid w:val="54037D81"/>
    <w:rsid w:val="54063E08"/>
    <w:rsid w:val="540A3E1C"/>
    <w:rsid w:val="54121145"/>
    <w:rsid w:val="54262871"/>
    <w:rsid w:val="542D7B83"/>
    <w:rsid w:val="54327E00"/>
    <w:rsid w:val="543437E8"/>
    <w:rsid w:val="54396E8B"/>
    <w:rsid w:val="543A73C5"/>
    <w:rsid w:val="543D36A4"/>
    <w:rsid w:val="543D4268"/>
    <w:rsid w:val="543D716C"/>
    <w:rsid w:val="5440153A"/>
    <w:rsid w:val="544438A9"/>
    <w:rsid w:val="5444589A"/>
    <w:rsid w:val="54486D5E"/>
    <w:rsid w:val="544B6B5F"/>
    <w:rsid w:val="544D7D8B"/>
    <w:rsid w:val="5456313D"/>
    <w:rsid w:val="5456396A"/>
    <w:rsid w:val="54593E0A"/>
    <w:rsid w:val="54694B43"/>
    <w:rsid w:val="546C6F63"/>
    <w:rsid w:val="546C7FD0"/>
    <w:rsid w:val="54800732"/>
    <w:rsid w:val="54867A21"/>
    <w:rsid w:val="548B2D3D"/>
    <w:rsid w:val="548D2CC8"/>
    <w:rsid w:val="549006BB"/>
    <w:rsid w:val="54947768"/>
    <w:rsid w:val="549C740C"/>
    <w:rsid w:val="549D6512"/>
    <w:rsid w:val="54A37CBA"/>
    <w:rsid w:val="54A46E49"/>
    <w:rsid w:val="54AC4BB6"/>
    <w:rsid w:val="54B30476"/>
    <w:rsid w:val="54B33C51"/>
    <w:rsid w:val="54BB30C7"/>
    <w:rsid w:val="54C06EFF"/>
    <w:rsid w:val="54D73FA3"/>
    <w:rsid w:val="54DD16B0"/>
    <w:rsid w:val="54DF31A5"/>
    <w:rsid w:val="54E206F0"/>
    <w:rsid w:val="54E85290"/>
    <w:rsid w:val="54EB385B"/>
    <w:rsid w:val="54EE191B"/>
    <w:rsid w:val="54F73313"/>
    <w:rsid w:val="54F80955"/>
    <w:rsid w:val="55004478"/>
    <w:rsid w:val="55083CB2"/>
    <w:rsid w:val="550D2A6B"/>
    <w:rsid w:val="550E7022"/>
    <w:rsid w:val="551056F4"/>
    <w:rsid w:val="551F46EA"/>
    <w:rsid w:val="55277044"/>
    <w:rsid w:val="552A714F"/>
    <w:rsid w:val="55330A9A"/>
    <w:rsid w:val="55351242"/>
    <w:rsid w:val="55353FF5"/>
    <w:rsid w:val="553B1D71"/>
    <w:rsid w:val="55402811"/>
    <w:rsid w:val="55415E11"/>
    <w:rsid w:val="554A1148"/>
    <w:rsid w:val="554D0998"/>
    <w:rsid w:val="555170A7"/>
    <w:rsid w:val="55533B7F"/>
    <w:rsid w:val="55627A8A"/>
    <w:rsid w:val="556C1846"/>
    <w:rsid w:val="557C4FF7"/>
    <w:rsid w:val="557E7EEE"/>
    <w:rsid w:val="557F1323"/>
    <w:rsid w:val="5587536D"/>
    <w:rsid w:val="558E2ED5"/>
    <w:rsid w:val="55940FA7"/>
    <w:rsid w:val="559B174B"/>
    <w:rsid w:val="559B1CF8"/>
    <w:rsid w:val="55A23D2C"/>
    <w:rsid w:val="55A33A60"/>
    <w:rsid w:val="55A73F28"/>
    <w:rsid w:val="55B14D70"/>
    <w:rsid w:val="55B308E8"/>
    <w:rsid w:val="55B776FD"/>
    <w:rsid w:val="55BB3F41"/>
    <w:rsid w:val="55BC13D0"/>
    <w:rsid w:val="55C83127"/>
    <w:rsid w:val="55CE0CF4"/>
    <w:rsid w:val="55D11E51"/>
    <w:rsid w:val="55D16272"/>
    <w:rsid w:val="55D16E1C"/>
    <w:rsid w:val="55D40144"/>
    <w:rsid w:val="55D67D9D"/>
    <w:rsid w:val="55DE4B9C"/>
    <w:rsid w:val="55E46C6F"/>
    <w:rsid w:val="55F90A9E"/>
    <w:rsid w:val="55FC79B1"/>
    <w:rsid w:val="56025D12"/>
    <w:rsid w:val="561D378D"/>
    <w:rsid w:val="561E497B"/>
    <w:rsid w:val="56232FA9"/>
    <w:rsid w:val="563A70FA"/>
    <w:rsid w:val="563A77C6"/>
    <w:rsid w:val="563D7A33"/>
    <w:rsid w:val="56412C03"/>
    <w:rsid w:val="56427033"/>
    <w:rsid w:val="5645036E"/>
    <w:rsid w:val="564C2720"/>
    <w:rsid w:val="56564CE8"/>
    <w:rsid w:val="565F042C"/>
    <w:rsid w:val="565F2C31"/>
    <w:rsid w:val="566176B9"/>
    <w:rsid w:val="56654482"/>
    <w:rsid w:val="566A7BF4"/>
    <w:rsid w:val="566F47F7"/>
    <w:rsid w:val="566F7329"/>
    <w:rsid w:val="567042C9"/>
    <w:rsid w:val="567207E6"/>
    <w:rsid w:val="56764C4B"/>
    <w:rsid w:val="56777341"/>
    <w:rsid w:val="567F7EC3"/>
    <w:rsid w:val="56887E92"/>
    <w:rsid w:val="568D1546"/>
    <w:rsid w:val="568E179A"/>
    <w:rsid w:val="56957FC3"/>
    <w:rsid w:val="56960A61"/>
    <w:rsid w:val="569D1A4B"/>
    <w:rsid w:val="56A327D3"/>
    <w:rsid w:val="56A91D31"/>
    <w:rsid w:val="56B22A9C"/>
    <w:rsid w:val="56B5021D"/>
    <w:rsid w:val="56B83AC5"/>
    <w:rsid w:val="56B85264"/>
    <w:rsid w:val="56BE5EAD"/>
    <w:rsid w:val="56C058EF"/>
    <w:rsid w:val="56C105E1"/>
    <w:rsid w:val="56C113CF"/>
    <w:rsid w:val="56CA48A2"/>
    <w:rsid w:val="56CE1AF1"/>
    <w:rsid w:val="56D13D4F"/>
    <w:rsid w:val="56D80671"/>
    <w:rsid w:val="56D96861"/>
    <w:rsid w:val="56DE2ACC"/>
    <w:rsid w:val="56E324D7"/>
    <w:rsid w:val="56E56344"/>
    <w:rsid w:val="56EC0877"/>
    <w:rsid w:val="56ED678A"/>
    <w:rsid w:val="56EF512A"/>
    <w:rsid w:val="56F00346"/>
    <w:rsid w:val="56F922E8"/>
    <w:rsid w:val="56FD2186"/>
    <w:rsid w:val="57007F2C"/>
    <w:rsid w:val="5707480B"/>
    <w:rsid w:val="571145B8"/>
    <w:rsid w:val="57153968"/>
    <w:rsid w:val="571931E7"/>
    <w:rsid w:val="571E32E7"/>
    <w:rsid w:val="572079BD"/>
    <w:rsid w:val="572F19CA"/>
    <w:rsid w:val="57363302"/>
    <w:rsid w:val="573E1DDE"/>
    <w:rsid w:val="57474610"/>
    <w:rsid w:val="574929DF"/>
    <w:rsid w:val="574D390C"/>
    <w:rsid w:val="576A2C2C"/>
    <w:rsid w:val="578117A6"/>
    <w:rsid w:val="57843CE8"/>
    <w:rsid w:val="578812C5"/>
    <w:rsid w:val="578D44BC"/>
    <w:rsid w:val="578E6A6B"/>
    <w:rsid w:val="578F35EA"/>
    <w:rsid w:val="5792381D"/>
    <w:rsid w:val="57A236E9"/>
    <w:rsid w:val="57A2446A"/>
    <w:rsid w:val="57B046E1"/>
    <w:rsid w:val="57B2003C"/>
    <w:rsid w:val="57B22AC1"/>
    <w:rsid w:val="57B451B0"/>
    <w:rsid w:val="57B72A76"/>
    <w:rsid w:val="57B91DA6"/>
    <w:rsid w:val="57BB1708"/>
    <w:rsid w:val="57BB5F40"/>
    <w:rsid w:val="57C05104"/>
    <w:rsid w:val="57C3426C"/>
    <w:rsid w:val="57CD1E3E"/>
    <w:rsid w:val="57CE1F93"/>
    <w:rsid w:val="57CE6A00"/>
    <w:rsid w:val="57EC20DA"/>
    <w:rsid w:val="57F14ED1"/>
    <w:rsid w:val="57F27EAA"/>
    <w:rsid w:val="57F921EB"/>
    <w:rsid w:val="58061381"/>
    <w:rsid w:val="5806354F"/>
    <w:rsid w:val="58101C65"/>
    <w:rsid w:val="581859A9"/>
    <w:rsid w:val="58201E9C"/>
    <w:rsid w:val="582C5F09"/>
    <w:rsid w:val="584414A5"/>
    <w:rsid w:val="584F6274"/>
    <w:rsid w:val="58532BF4"/>
    <w:rsid w:val="58593521"/>
    <w:rsid w:val="58656B18"/>
    <w:rsid w:val="586754CD"/>
    <w:rsid w:val="586D09FC"/>
    <w:rsid w:val="58760C67"/>
    <w:rsid w:val="587755CC"/>
    <w:rsid w:val="587D3F99"/>
    <w:rsid w:val="588743D1"/>
    <w:rsid w:val="5887701A"/>
    <w:rsid w:val="58880951"/>
    <w:rsid w:val="588A371E"/>
    <w:rsid w:val="588F399C"/>
    <w:rsid w:val="5891295A"/>
    <w:rsid w:val="5891617D"/>
    <w:rsid w:val="58927AB5"/>
    <w:rsid w:val="589A0C00"/>
    <w:rsid w:val="589A448D"/>
    <w:rsid w:val="58A262D7"/>
    <w:rsid w:val="58AA3137"/>
    <w:rsid w:val="58B27AD7"/>
    <w:rsid w:val="58B54151"/>
    <w:rsid w:val="58B55447"/>
    <w:rsid w:val="58B77EC9"/>
    <w:rsid w:val="58B915D8"/>
    <w:rsid w:val="58BB22E5"/>
    <w:rsid w:val="58BB29A2"/>
    <w:rsid w:val="58D27BC3"/>
    <w:rsid w:val="58D52287"/>
    <w:rsid w:val="58DB5FF8"/>
    <w:rsid w:val="58DD2306"/>
    <w:rsid w:val="58DE0504"/>
    <w:rsid w:val="58E80082"/>
    <w:rsid w:val="58FC47D3"/>
    <w:rsid w:val="59080B13"/>
    <w:rsid w:val="591117E4"/>
    <w:rsid w:val="59122D3B"/>
    <w:rsid w:val="59155A8B"/>
    <w:rsid w:val="5924286A"/>
    <w:rsid w:val="592D3065"/>
    <w:rsid w:val="59321C12"/>
    <w:rsid w:val="59345C43"/>
    <w:rsid w:val="593C603E"/>
    <w:rsid w:val="593F1F35"/>
    <w:rsid w:val="594D3815"/>
    <w:rsid w:val="59522963"/>
    <w:rsid w:val="595274C1"/>
    <w:rsid w:val="59595D65"/>
    <w:rsid w:val="59695E46"/>
    <w:rsid w:val="59797F6E"/>
    <w:rsid w:val="597D7D6C"/>
    <w:rsid w:val="59830551"/>
    <w:rsid w:val="598428FF"/>
    <w:rsid w:val="59883613"/>
    <w:rsid w:val="598A1CD1"/>
    <w:rsid w:val="5990638D"/>
    <w:rsid w:val="599F0A26"/>
    <w:rsid w:val="59A10799"/>
    <w:rsid w:val="59A4218C"/>
    <w:rsid w:val="59AD6BA4"/>
    <w:rsid w:val="59B4528D"/>
    <w:rsid w:val="59B550E4"/>
    <w:rsid w:val="59BF44E6"/>
    <w:rsid w:val="59BF4640"/>
    <w:rsid w:val="59BF75DF"/>
    <w:rsid w:val="59C0439F"/>
    <w:rsid w:val="59C278DD"/>
    <w:rsid w:val="59C45287"/>
    <w:rsid w:val="59C55C77"/>
    <w:rsid w:val="59C57ADB"/>
    <w:rsid w:val="59CA142B"/>
    <w:rsid w:val="59CF2689"/>
    <w:rsid w:val="59DB43E7"/>
    <w:rsid w:val="59E007D2"/>
    <w:rsid w:val="59E1263C"/>
    <w:rsid w:val="59E76BEE"/>
    <w:rsid w:val="59F5719E"/>
    <w:rsid w:val="59FA67AE"/>
    <w:rsid w:val="59FD7B4C"/>
    <w:rsid w:val="5A017973"/>
    <w:rsid w:val="5A030B8D"/>
    <w:rsid w:val="5A040EEC"/>
    <w:rsid w:val="5A057717"/>
    <w:rsid w:val="5A105AE3"/>
    <w:rsid w:val="5A147E2F"/>
    <w:rsid w:val="5A163D08"/>
    <w:rsid w:val="5A1A3F0B"/>
    <w:rsid w:val="5A331A0E"/>
    <w:rsid w:val="5A37019C"/>
    <w:rsid w:val="5A39069E"/>
    <w:rsid w:val="5A446991"/>
    <w:rsid w:val="5A537171"/>
    <w:rsid w:val="5A5546CC"/>
    <w:rsid w:val="5A680C46"/>
    <w:rsid w:val="5A6C188B"/>
    <w:rsid w:val="5A7316CE"/>
    <w:rsid w:val="5A7719F1"/>
    <w:rsid w:val="5A780542"/>
    <w:rsid w:val="5A8A17E9"/>
    <w:rsid w:val="5A8C0DFC"/>
    <w:rsid w:val="5A8E07AA"/>
    <w:rsid w:val="5A8E46F9"/>
    <w:rsid w:val="5A8E4E24"/>
    <w:rsid w:val="5A9C38F0"/>
    <w:rsid w:val="5A9D1906"/>
    <w:rsid w:val="5AB3577D"/>
    <w:rsid w:val="5AB70C29"/>
    <w:rsid w:val="5AB83A84"/>
    <w:rsid w:val="5ABD234F"/>
    <w:rsid w:val="5ABE1F06"/>
    <w:rsid w:val="5ABE2233"/>
    <w:rsid w:val="5ABE2CBC"/>
    <w:rsid w:val="5AC24652"/>
    <w:rsid w:val="5AC50801"/>
    <w:rsid w:val="5AC71306"/>
    <w:rsid w:val="5AC71E83"/>
    <w:rsid w:val="5AC77CA8"/>
    <w:rsid w:val="5AC907D6"/>
    <w:rsid w:val="5ACC3F7E"/>
    <w:rsid w:val="5AD33B35"/>
    <w:rsid w:val="5AD50D4A"/>
    <w:rsid w:val="5AD9693C"/>
    <w:rsid w:val="5ADB6699"/>
    <w:rsid w:val="5ADC59F5"/>
    <w:rsid w:val="5ADD074D"/>
    <w:rsid w:val="5ADF69E4"/>
    <w:rsid w:val="5AE80F0A"/>
    <w:rsid w:val="5AEF6BF3"/>
    <w:rsid w:val="5AF2334A"/>
    <w:rsid w:val="5AF40D09"/>
    <w:rsid w:val="5AF72285"/>
    <w:rsid w:val="5AF80757"/>
    <w:rsid w:val="5AFC6960"/>
    <w:rsid w:val="5B03341E"/>
    <w:rsid w:val="5B0536A1"/>
    <w:rsid w:val="5B0A1889"/>
    <w:rsid w:val="5B0B3236"/>
    <w:rsid w:val="5B1142FA"/>
    <w:rsid w:val="5B135224"/>
    <w:rsid w:val="5B166204"/>
    <w:rsid w:val="5B172E92"/>
    <w:rsid w:val="5B254206"/>
    <w:rsid w:val="5B295287"/>
    <w:rsid w:val="5B3043CC"/>
    <w:rsid w:val="5B331248"/>
    <w:rsid w:val="5B3573BF"/>
    <w:rsid w:val="5B465608"/>
    <w:rsid w:val="5B473A48"/>
    <w:rsid w:val="5B4F1603"/>
    <w:rsid w:val="5B556710"/>
    <w:rsid w:val="5B5B621D"/>
    <w:rsid w:val="5B5F5AF7"/>
    <w:rsid w:val="5B66425A"/>
    <w:rsid w:val="5B6864DD"/>
    <w:rsid w:val="5B687259"/>
    <w:rsid w:val="5B6D31BC"/>
    <w:rsid w:val="5B756083"/>
    <w:rsid w:val="5B7B737E"/>
    <w:rsid w:val="5B7C3CD0"/>
    <w:rsid w:val="5B7F750E"/>
    <w:rsid w:val="5B8831D2"/>
    <w:rsid w:val="5B8A0369"/>
    <w:rsid w:val="5B947675"/>
    <w:rsid w:val="5B950902"/>
    <w:rsid w:val="5B967D16"/>
    <w:rsid w:val="5B9737C3"/>
    <w:rsid w:val="5BA17467"/>
    <w:rsid w:val="5BA53FB8"/>
    <w:rsid w:val="5BA84175"/>
    <w:rsid w:val="5BAB5397"/>
    <w:rsid w:val="5BAC3670"/>
    <w:rsid w:val="5BAE043C"/>
    <w:rsid w:val="5BAF18C5"/>
    <w:rsid w:val="5BB17E6A"/>
    <w:rsid w:val="5BB72F23"/>
    <w:rsid w:val="5BB93B22"/>
    <w:rsid w:val="5BCA5F0B"/>
    <w:rsid w:val="5BCE1149"/>
    <w:rsid w:val="5BCF1002"/>
    <w:rsid w:val="5BD94392"/>
    <w:rsid w:val="5BDB7559"/>
    <w:rsid w:val="5BDE3C73"/>
    <w:rsid w:val="5BDF5D95"/>
    <w:rsid w:val="5BE403A3"/>
    <w:rsid w:val="5BE57131"/>
    <w:rsid w:val="5BE663CF"/>
    <w:rsid w:val="5BE93A18"/>
    <w:rsid w:val="5BEB6007"/>
    <w:rsid w:val="5BF01B41"/>
    <w:rsid w:val="5BFA5F0E"/>
    <w:rsid w:val="5BFE7528"/>
    <w:rsid w:val="5BFE7ABA"/>
    <w:rsid w:val="5C0768D9"/>
    <w:rsid w:val="5C1264AA"/>
    <w:rsid w:val="5C156246"/>
    <w:rsid w:val="5C2B7622"/>
    <w:rsid w:val="5C2E7A91"/>
    <w:rsid w:val="5C3014F8"/>
    <w:rsid w:val="5C3520DC"/>
    <w:rsid w:val="5C384210"/>
    <w:rsid w:val="5C3B5F3D"/>
    <w:rsid w:val="5C3C5BCF"/>
    <w:rsid w:val="5C412B9C"/>
    <w:rsid w:val="5C4B5244"/>
    <w:rsid w:val="5C4E283B"/>
    <w:rsid w:val="5C4F17D1"/>
    <w:rsid w:val="5C514191"/>
    <w:rsid w:val="5C545656"/>
    <w:rsid w:val="5C573BBC"/>
    <w:rsid w:val="5C5A238F"/>
    <w:rsid w:val="5C5C4DBF"/>
    <w:rsid w:val="5C697E40"/>
    <w:rsid w:val="5C6A6E86"/>
    <w:rsid w:val="5C711BBB"/>
    <w:rsid w:val="5C7550ED"/>
    <w:rsid w:val="5C773DE8"/>
    <w:rsid w:val="5C7A31FA"/>
    <w:rsid w:val="5C7B3F1C"/>
    <w:rsid w:val="5C7D5999"/>
    <w:rsid w:val="5C7E18E7"/>
    <w:rsid w:val="5C833F27"/>
    <w:rsid w:val="5C8728C3"/>
    <w:rsid w:val="5C8C1D76"/>
    <w:rsid w:val="5C940535"/>
    <w:rsid w:val="5C981DBF"/>
    <w:rsid w:val="5C985BDE"/>
    <w:rsid w:val="5C9A3172"/>
    <w:rsid w:val="5CB073B8"/>
    <w:rsid w:val="5CB838D7"/>
    <w:rsid w:val="5CC550D2"/>
    <w:rsid w:val="5CC95471"/>
    <w:rsid w:val="5CCF6DD7"/>
    <w:rsid w:val="5CD275BE"/>
    <w:rsid w:val="5CD61C6B"/>
    <w:rsid w:val="5CDA2FE0"/>
    <w:rsid w:val="5CDC7D67"/>
    <w:rsid w:val="5CE62510"/>
    <w:rsid w:val="5CED1259"/>
    <w:rsid w:val="5CEE19DF"/>
    <w:rsid w:val="5CF37837"/>
    <w:rsid w:val="5CF72D31"/>
    <w:rsid w:val="5CF9113C"/>
    <w:rsid w:val="5D031A27"/>
    <w:rsid w:val="5D060F84"/>
    <w:rsid w:val="5D0A2939"/>
    <w:rsid w:val="5D0B433F"/>
    <w:rsid w:val="5D100AA8"/>
    <w:rsid w:val="5D195441"/>
    <w:rsid w:val="5D1A2638"/>
    <w:rsid w:val="5D1F7DEB"/>
    <w:rsid w:val="5D283143"/>
    <w:rsid w:val="5D2928F2"/>
    <w:rsid w:val="5D2A2A78"/>
    <w:rsid w:val="5D2F781C"/>
    <w:rsid w:val="5D3D4C17"/>
    <w:rsid w:val="5D423120"/>
    <w:rsid w:val="5D484178"/>
    <w:rsid w:val="5D5A4455"/>
    <w:rsid w:val="5D6508ED"/>
    <w:rsid w:val="5D6C3F87"/>
    <w:rsid w:val="5D797461"/>
    <w:rsid w:val="5D7F2609"/>
    <w:rsid w:val="5D851817"/>
    <w:rsid w:val="5D891DC6"/>
    <w:rsid w:val="5D8D61CB"/>
    <w:rsid w:val="5D9229BB"/>
    <w:rsid w:val="5D995DEF"/>
    <w:rsid w:val="5D9B73F2"/>
    <w:rsid w:val="5D9E40D1"/>
    <w:rsid w:val="5DA50A67"/>
    <w:rsid w:val="5DA52C6F"/>
    <w:rsid w:val="5DAB1F64"/>
    <w:rsid w:val="5DB50A24"/>
    <w:rsid w:val="5DBA2E4F"/>
    <w:rsid w:val="5DBB3FB7"/>
    <w:rsid w:val="5DBE4F01"/>
    <w:rsid w:val="5DC02A02"/>
    <w:rsid w:val="5DC02FF7"/>
    <w:rsid w:val="5DC76936"/>
    <w:rsid w:val="5DCB25F9"/>
    <w:rsid w:val="5DCD213C"/>
    <w:rsid w:val="5DCF0001"/>
    <w:rsid w:val="5DD47828"/>
    <w:rsid w:val="5DE7726F"/>
    <w:rsid w:val="5DF81E88"/>
    <w:rsid w:val="5DFA1B01"/>
    <w:rsid w:val="5E002188"/>
    <w:rsid w:val="5E062857"/>
    <w:rsid w:val="5E092F5C"/>
    <w:rsid w:val="5E0F58FC"/>
    <w:rsid w:val="5E144D76"/>
    <w:rsid w:val="5E24561C"/>
    <w:rsid w:val="5E2467F1"/>
    <w:rsid w:val="5E262176"/>
    <w:rsid w:val="5E265933"/>
    <w:rsid w:val="5E33362E"/>
    <w:rsid w:val="5E351885"/>
    <w:rsid w:val="5E376169"/>
    <w:rsid w:val="5E3937FA"/>
    <w:rsid w:val="5E4A0878"/>
    <w:rsid w:val="5E52134D"/>
    <w:rsid w:val="5E5D1E64"/>
    <w:rsid w:val="5E5F172B"/>
    <w:rsid w:val="5E620D7D"/>
    <w:rsid w:val="5E6B5E05"/>
    <w:rsid w:val="5E706EB6"/>
    <w:rsid w:val="5E721901"/>
    <w:rsid w:val="5E767A1B"/>
    <w:rsid w:val="5E7711F8"/>
    <w:rsid w:val="5E774724"/>
    <w:rsid w:val="5E856D1C"/>
    <w:rsid w:val="5E867CDA"/>
    <w:rsid w:val="5E872274"/>
    <w:rsid w:val="5E8C1BF6"/>
    <w:rsid w:val="5E8E75E6"/>
    <w:rsid w:val="5E965320"/>
    <w:rsid w:val="5E980B3F"/>
    <w:rsid w:val="5E9817CB"/>
    <w:rsid w:val="5EA15B72"/>
    <w:rsid w:val="5EA74785"/>
    <w:rsid w:val="5EA84CEE"/>
    <w:rsid w:val="5EAA063B"/>
    <w:rsid w:val="5EAB402C"/>
    <w:rsid w:val="5EB822A5"/>
    <w:rsid w:val="5EBB25E4"/>
    <w:rsid w:val="5EBC467A"/>
    <w:rsid w:val="5EBD7FE0"/>
    <w:rsid w:val="5EBF72EA"/>
    <w:rsid w:val="5EC34B73"/>
    <w:rsid w:val="5EC844A7"/>
    <w:rsid w:val="5ECD42AB"/>
    <w:rsid w:val="5ED01686"/>
    <w:rsid w:val="5ED273C9"/>
    <w:rsid w:val="5EE32718"/>
    <w:rsid w:val="5EEC2EDC"/>
    <w:rsid w:val="5EF05EE3"/>
    <w:rsid w:val="5EF066BD"/>
    <w:rsid w:val="5EF3542E"/>
    <w:rsid w:val="5EF438C5"/>
    <w:rsid w:val="5EF94C7D"/>
    <w:rsid w:val="5EFC6C17"/>
    <w:rsid w:val="5EFF39EF"/>
    <w:rsid w:val="5F033D48"/>
    <w:rsid w:val="5F0454EA"/>
    <w:rsid w:val="5F074FDA"/>
    <w:rsid w:val="5F0D016E"/>
    <w:rsid w:val="5F16734D"/>
    <w:rsid w:val="5F1A2B43"/>
    <w:rsid w:val="5F1D2968"/>
    <w:rsid w:val="5F1D4ACC"/>
    <w:rsid w:val="5F1D7DF9"/>
    <w:rsid w:val="5F20010D"/>
    <w:rsid w:val="5F26799B"/>
    <w:rsid w:val="5F2977A7"/>
    <w:rsid w:val="5F354861"/>
    <w:rsid w:val="5F375B8C"/>
    <w:rsid w:val="5F3C3DA1"/>
    <w:rsid w:val="5F4078B7"/>
    <w:rsid w:val="5F4B3119"/>
    <w:rsid w:val="5F4C6DA5"/>
    <w:rsid w:val="5F532E49"/>
    <w:rsid w:val="5F57402D"/>
    <w:rsid w:val="5F5D70A4"/>
    <w:rsid w:val="5F5E4966"/>
    <w:rsid w:val="5F5F7803"/>
    <w:rsid w:val="5F6444EC"/>
    <w:rsid w:val="5F6713CD"/>
    <w:rsid w:val="5F68556B"/>
    <w:rsid w:val="5F6F579B"/>
    <w:rsid w:val="5F7068BF"/>
    <w:rsid w:val="5F73441E"/>
    <w:rsid w:val="5F7833E5"/>
    <w:rsid w:val="5F796000"/>
    <w:rsid w:val="5F7E1816"/>
    <w:rsid w:val="5F804BA0"/>
    <w:rsid w:val="5F94143B"/>
    <w:rsid w:val="5F9B767B"/>
    <w:rsid w:val="5F9C2067"/>
    <w:rsid w:val="5FAD335B"/>
    <w:rsid w:val="5FB41FF1"/>
    <w:rsid w:val="5FB837BB"/>
    <w:rsid w:val="5FB96E19"/>
    <w:rsid w:val="5FBD433B"/>
    <w:rsid w:val="5FBF1413"/>
    <w:rsid w:val="5FBF3AD3"/>
    <w:rsid w:val="5FD364AD"/>
    <w:rsid w:val="5FE423E2"/>
    <w:rsid w:val="5FE6641B"/>
    <w:rsid w:val="5FEC6107"/>
    <w:rsid w:val="5FED2E8C"/>
    <w:rsid w:val="5FED4DD3"/>
    <w:rsid w:val="5FFE7ED3"/>
    <w:rsid w:val="60067C32"/>
    <w:rsid w:val="600F53C2"/>
    <w:rsid w:val="60151892"/>
    <w:rsid w:val="602251DD"/>
    <w:rsid w:val="60264695"/>
    <w:rsid w:val="602A6F49"/>
    <w:rsid w:val="602B2C02"/>
    <w:rsid w:val="60302764"/>
    <w:rsid w:val="603A0B6F"/>
    <w:rsid w:val="603C144B"/>
    <w:rsid w:val="603E4A2C"/>
    <w:rsid w:val="604759BF"/>
    <w:rsid w:val="604D3EDF"/>
    <w:rsid w:val="60507BAF"/>
    <w:rsid w:val="60525DDE"/>
    <w:rsid w:val="60546C3A"/>
    <w:rsid w:val="605811E1"/>
    <w:rsid w:val="6058714A"/>
    <w:rsid w:val="60591150"/>
    <w:rsid w:val="60634D37"/>
    <w:rsid w:val="606465F2"/>
    <w:rsid w:val="60662A29"/>
    <w:rsid w:val="60697AB0"/>
    <w:rsid w:val="606E1A66"/>
    <w:rsid w:val="60785C94"/>
    <w:rsid w:val="607E1548"/>
    <w:rsid w:val="60874FFF"/>
    <w:rsid w:val="60887AF3"/>
    <w:rsid w:val="608D68BA"/>
    <w:rsid w:val="608F3307"/>
    <w:rsid w:val="609F695D"/>
    <w:rsid w:val="60A06F01"/>
    <w:rsid w:val="60A33034"/>
    <w:rsid w:val="60A632AB"/>
    <w:rsid w:val="60AA64BC"/>
    <w:rsid w:val="60AC18FC"/>
    <w:rsid w:val="60B60A2B"/>
    <w:rsid w:val="60BC2876"/>
    <w:rsid w:val="60BF0BD4"/>
    <w:rsid w:val="60C72393"/>
    <w:rsid w:val="60CB56DB"/>
    <w:rsid w:val="60CC405A"/>
    <w:rsid w:val="60CD6BD5"/>
    <w:rsid w:val="60CE7B5E"/>
    <w:rsid w:val="60D35490"/>
    <w:rsid w:val="60E575C1"/>
    <w:rsid w:val="60F42E99"/>
    <w:rsid w:val="60F72DDE"/>
    <w:rsid w:val="60FC0784"/>
    <w:rsid w:val="610223CF"/>
    <w:rsid w:val="610712C2"/>
    <w:rsid w:val="61135BDB"/>
    <w:rsid w:val="61165023"/>
    <w:rsid w:val="611B7B5F"/>
    <w:rsid w:val="61213D89"/>
    <w:rsid w:val="61255C2B"/>
    <w:rsid w:val="61284484"/>
    <w:rsid w:val="61335163"/>
    <w:rsid w:val="613525CC"/>
    <w:rsid w:val="613D205E"/>
    <w:rsid w:val="613E1A4D"/>
    <w:rsid w:val="613E62DE"/>
    <w:rsid w:val="61424A1D"/>
    <w:rsid w:val="614B32B7"/>
    <w:rsid w:val="615E3351"/>
    <w:rsid w:val="61761FA3"/>
    <w:rsid w:val="61771654"/>
    <w:rsid w:val="617C49EC"/>
    <w:rsid w:val="618A47D7"/>
    <w:rsid w:val="618C361A"/>
    <w:rsid w:val="618E28CB"/>
    <w:rsid w:val="61907509"/>
    <w:rsid w:val="619135DF"/>
    <w:rsid w:val="61930BFC"/>
    <w:rsid w:val="619C6AC3"/>
    <w:rsid w:val="61A335A4"/>
    <w:rsid w:val="61A34E0D"/>
    <w:rsid w:val="61AE073D"/>
    <w:rsid w:val="61B87326"/>
    <w:rsid w:val="61C31195"/>
    <w:rsid w:val="61C408F9"/>
    <w:rsid w:val="61CC1E24"/>
    <w:rsid w:val="61CD0799"/>
    <w:rsid w:val="61D20330"/>
    <w:rsid w:val="61D53D2A"/>
    <w:rsid w:val="61DA7F23"/>
    <w:rsid w:val="61DE0B3B"/>
    <w:rsid w:val="61DF0CC8"/>
    <w:rsid w:val="61E215D8"/>
    <w:rsid w:val="61E5241B"/>
    <w:rsid w:val="61EE666D"/>
    <w:rsid w:val="61F1566B"/>
    <w:rsid w:val="61FE091F"/>
    <w:rsid w:val="620A5D06"/>
    <w:rsid w:val="621339FD"/>
    <w:rsid w:val="62171DC5"/>
    <w:rsid w:val="621907A5"/>
    <w:rsid w:val="621B3775"/>
    <w:rsid w:val="622B4287"/>
    <w:rsid w:val="62300FCA"/>
    <w:rsid w:val="623045F3"/>
    <w:rsid w:val="62312441"/>
    <w:rsid w:val="62332E09"/>
    <w:rsid w:val="62364782"/>
    <w:rsid w:val="62371F96"/>
    <w:rsid w:val="62387CA7"/>
    <w:rsid w:val="62400F9D"/>
    <w:rsid w:val="624C7C85"/>
    <w:rsid w:val="624E6393"/>
    <w:rsid w:val="62561499"/>
    <w:rsid w:val="626065DF"/>
    <w:rsid w:val="62692188"/>
    <w:rsid w:val="626D6F41"/>
    <w:rsid w:val="626E5A6F"/>
    <w:rsid w:val="6275641B"/>
    <w:rsid w:val="627E10FF"/>
    <w:rsid w:val="627F51C7"/>
    <w:rsid w:val="628C698F"/>
    <w:rsid w:val="628D29CF"/>
    <w:rsid w:val="629A7D29"/>
    <w:rsid w:val="629A7DB0"/>
    <w:rsid w:val="62AD034C"/>
    <w:rsid w:val="62B65FA4"/>
    <w:rsid w:val="62B70EB8"/>
    <w:rsid w:val="62B90E98"/>
    <w:rsid w:val="62C5376A"/>
    <w:rsid w:val="62C717C6"/>
    <w:rsid w:val="62C765D9"/>
    <w:rsid w:val="62CB0F33"/>
    <w:rsid w:val="62D82405"/>
    <w:rsid w:val="62DB35C2"/>
    <w:rsid w:val="62E35224"/>
    <w:rsid w:val="62E661ED"/>
    <w:rsid w:val="62EC1915"/>
    <w:rsid w:val="62F0799F"/>
    <w:rsid w:val="630D5D27"/>
    <w:rsid w:val="63152169"/>
    <w:rsid w:val="63172689"/>
    <w:rsid w:val="63172A66"/>
    <w:rsid w:val="63177A0B"/>
    <w:rsid w:val="631C7086"/>
    <w:rsid w:val="63226458"/>
    <w:rsid w:val="63252F98"/>
    <w:rsid w:val="632A00FF"/>
    <w:rsid w:val="63302C6D"/>
    <w:rsid w:val="6330387A"/>
    <w:rsid w:val="63367C3C"/>
    <w:rsid w:val="633873AA"/>
    <w:rsid w:val="633A4811"/>
    <w:rsid w:val="633D2603"/>
    <w:rsid w:val="634572FD"/>
    <w:rsid w:val="634660C0"/>
    <w:rsid w:val="634B0B5F"/>
    <w:rsid w:val="634C6973"/>
    <w:rsid w:val="634E31D8"/>
    <w:rsid w:val="63564B54"/>
    <w:rsid w:val="636D32A3"/>
    <w:rsid w:val="637176C3"/>
    <w:rsid w:val="637D2844"/>
    <w:rsid w:val="63886471"/>
    <w:rsid w:val="638E7A78"/>
    <w:rsid w:val="6392490A"/>
    <w:rsid w:val="6394356A"/>
    <w:rsid w:val="6397471E"/>
    <w:rsid w:val="63992FEE"/>
    <w:rsid w:val="63A35805"/>
    <w:rsid w:val="63A35A07"/>
    <w:rsid w:val="63A55E6E"/>
    <w:rsid w:val="63AB18A5"/>
    <w:rsid w:val="63B12578"/>
    <w:rsid w:val="63B264F8"/>
    <w:rsid w:val="63B4486D"/>
    <w:rsid w:val="63B81FCB"/>
    <w:rsid w:val="63BA4952"/>
    <w:rsid w:val="63BF1E0E"/>
    <w:rsid w:val="63BF6E3F"/>
    <w:rsid w:val="63C335F4"/>
    <w:rsid w:val="63C61B2C"/>
    <w:rsid w:val="63CD1113"/>
    <w:rsid w:val="63CE1843"/>
    <w:rsid w:val="63D40BE9"/>
    <w:rsid w:val="63D4787D"/>
    <w:rsid w:val="63DC437E"/>
    <w:rsid w:val="63E010A4"/>
    <w:rsid w:val="63E01398"/>
    <w:rsid w:val="63E31B72"/>
    <w:rsid w:val="63E740E7"/>
    <w:rsid w:val="63E777BB"/>
    <w:rsid w:val="63E97E46"/>
    <w:rsid w:val="63EA7DDB"/>
    <w:rsid w:val="63EE13FF"/>
    <w:rsid w:val="63F0619D"/>
    <w:rsid w:val="63F226F5"/>
    <w:rsid w:val="63F82BF6"/>
    <w:rsid w:val="63F97098"/>
    <w:rsid w:val="63FE11FA"/>
    <w:rsid w:val="64040426"/>
    <w:rsid w:val="64091F55"/>
    <w:rsid w:val="64102431"/>
    <w:rsid w:val="6415471B"/>
    <w:rsid w:val="64155E25"/>
    <w:rsid w:val="641637AA"/>
    <w:rsid w:val="641C439F"/>
    <w:rsid w:val="641F1C8F"/>
    <w:rsid w:val="6426456D"/>
    <w:rsid w:val="642D54E3"/>
    <w:rsid w:val="64307A46"/>
    <w:rsid w:val="6432208F"/>
    <w:rsid w:val="6433521E"/>
    <w:rsid w:val="6440023F"/>
    <w:rsid w:val="64497AAC"/>
    <w:rsid w:val="644B18E4"/>
    <w:rsid w:val="644E7621"/>
    <w:rsid w:val="646372A5"/>
    <w:rsid w:val="646A7E35"/>
    <w:rsid w:val="646B2603"/>
    <w:rsid w:val="646D58E0"/>
    <w:rsid w:val="6475602A"/>
    <w:rsid w:val="647838E3"/>
    <w:rsid w:val="64791055"/>
    <w:rsid w:val="647E4300"/>
    <w:rsid w:val="647F131C"/>
    <w:rsid w:val="648171F1"/>
    <w:rsid w:val="64825558"/>
    <w:rsid w:val="648B217B"/>
    <w:rsid w:val="648C6658"/>
    <w:rsid w:val="648D6870"/>
    <w:rsid w:val="64941791"/>
    <w:rsid w:val="649459E3"/>
    <w:rsid w:val="64991AFD"/>
    <w:rsid w:val="64A46188"/>
    <w:rsid w:val="64A5243A"/>
    <w:rsid w:val="64AF3F62"/>
    <w:rsid w:val="64AF7CA6"/>
    <w:rsid w:val="64BD3DBB"/>
    <w:rsid w:val="64D122D0"/>
    <w:rsid w:val="64DB7494"/>
    <w:rsid w:val="64DC0F61"/>
    <w:rsid w:val="64E00B4F"/>
    <w:rsid w:val="64E03341"/>
    <w:rsid w:val="64EA5182"/>
    <w:rsid w:val="64F531DE"/>
    <w:rsid w:val="64F83485"/>
    <w:rsid w:val="64F8665D"/>
    <w:rsid w:val="64F9122B"/>
    <w:rsid w:val="64FE5CB0"/>
    <w:rsid w:val="65055510"/>
    <w:rsid w:val="650859E9"/>
    <w:rsid w:val="651307E1"/>
    <w:rsid w:val="65141F12"/>
    <w:rsid w:val="652260A5"/>
    <w:rsid w:val="652E1513"/>
    <w:rsid w:val="65300861"/>
    <w:rsid w:val="65307500"/>
    <w:rsid w:val="65373578"/>
    <w:rsid w:val="65387F15"/>
    <w:rsid w:val="653A2578"/>
    <w:rsid w:val="653B6113"/>
    <w:rsid w:val="653C30D4"/>
    <w:rsid w:val="65400A67"/>
    <w:rsid w:val="65474988"/>
    <w:rsid w:val="65487A94"/>
    <w:rsid w:val="654C0FCF"/>
    <w:rsid w:val="654E6F77"/>
    <w:rsid w:val="655D7702"/>
    <w:rsid w:val="65643B57"/>
    <w:rsid w:val="656E57A3"/>
    <w:rsid w:val="657218A4"/>
    <w:rsid w:val="657A1C34"/>
    <w:rsid w:val="658C65A9"/>
    <w:rsid w:val="659825E5"/>
    <w:rsid w:val="65A01246"/>
    <w:rsid w:val="65A47C6C"/>
    <w:rsid w:val="65AB4E9E"/>
    <w:rsid w:val="65C166BD"/>
    <w:rsid w:val="65C1737B"/>
    <w:rsid w:val="65C803D9"/>
    <w:rsid w:val="65CC04EC"/>
    <w:rsid w:val="65CC25AA"/>
    <w:rsid w:val="65CC7DB5"/>
    <w:rsid w:val="65CF3484"/>
    <w:rsid w:val="65D30842"/>
    <w:rsid w:val="65D3243C"/>
    <w:rsid w:val="65D331B2"/>
    <w:rsid w:val="65D50EE5"/>
    <w:rsid w:val="65D851D0"/>
    <w:rsid w:val="65E0118B"/>
    <w:rsid w:val="65E20696"/>
    <w:rsid w:val="65E6594A"/>
    <w:rsid w:val="65E8776B"/>
    <w:rsid w:val="65EE2CE8"/>
    <w:rsid w:val="65F64E72"/>
    <w:rsid w:val="65F73A92"/>
    <w:rsid w:val="660057FE"/>
    <w:rsid w:val="66044225"/>
    <w:rsid w:val="66076D55"/>
    <w:rsid w:val="660E70B3"/>
    <w:rsid w:val="660F2A80"/>
    <w:rsid w:val="66182301"/>
    <w:rsid w:val="661C0DEE"/>
    <w:rsid w:val="661F0E5C"/>
    <w:rsid w:val="662610C5"/>
    <w:rsid w:val="66285EE5"/>
    <w:rsid w:val="662C4891"/>
    <w:rsid w:val="66326561"/>
    <w:rsid w:val="663734CF"/>
    <w:rsid w:val="6638005D"/>
    <w:rsid w:val="663E7A87"/>
    <w:rsid w:val="664064F7"/>
    <w:rsid w:val="66471B32"/>
    <w:rsid w:val="66484FDF"/>
    <w:rsid w:val="66496AA8"/>
    <w:rsid w:val="664A682F"/>
    <w:rsid w:val="664B41E9"/>
    <w:rsid w:val="66540D79"/>
    <w:rsid w:val="6659436D"/>
    <w:rsid w:val="665B10E1"/>
    <w:rsid w:val="66600FED"/>
    <w:rsid w:val="666152C9"/>
    <w:rsid w:val="66666FE4"/>
    <w:rsid w:val="666A3E58"/>
    <w:rsid w:val="666B22F3"/>
    <w:rsid w:val="66794B03"/>
    <w:rsid w:val="667D4D7A"/>
    <w:rsid w:val="668132DA"/>
    <w:rsid w:val="66817B87"/>
    <w:rsid w:val="66844F5E"/>
    <w:rsid w:val="66887760"/>
    <w:rsid w:val="6689103A"/>
    <w:rsid w:val="668D0656"/>
    <w:rsid w:val="669B667F"/>
    <w:rsid w:val="66AB74AC"/>
    <w:rsid w:val="66B402A7"/>
    <w:rsid w:val="66C6363B"/>
    <w:rsid w:val="66C7015F"/>
    <w:rsid w:val="66C9097F"/>
    <w:rsid w:val="66CC5FD0"/>
    <w:rsid w:val="66CE2847"/>
    <w:rsid w:val="66CF611A"/>
    <w:rsid w:val="66D1297A"/>
    <w:rsid w:val="66D20725"/>
    <w:rsid w:val="66D35998"/>
    <w:rsid w:val="66DC03F3"/>
    <w:rsid w:val="66E7319A"/>
    <w:rsid w:val="66E856F1"/>
    <w:rsid w:val="66F426F8"/>
    <w:rsid w:val="66FA3A44"/>
    <w:rsid w:val="66FE7878"/>
    <w:rsid w:val="670511A8"/>
    <w:rsid w:val="671254FC"/>
    <w:rsid w:val="671F124A"/>
    <w:rsid w:val="6725361A"/>
    <w:rsid w:val="67307A8C"/>
    <w:rsid w:val="673C7160"/>
    <w:rsid w:val="675001A4"/>
    <w:rsid w:val="676A3FA4"/>
    <w:rsid w:val="67747B74"/>
    <w:rsid w:val="677A33C6"/>
    <w:rsid w:val="67864119"/>
    <w:rsid w:val="67866403"/>
    <w:rsid w:val="67877D33"/>
    <w:rsid w:val="678A5743"/>
    <w:rsid w:val="678F54F9"/>
    <w:rsid w:val="67956CDE"/>
    <w:rsid w:val="67A5668C"/>
    <w:rsid w:val="67A57D7F"/>
    <w:rsid w:val="67A90C11"/>
    <w:rsid w:val="67B05469"/>
    <w:rsid w:val="67B44FA2"/>
    <w:rsid w:val="67B74878"/>
    <w:rsid w:val="67BE0D42"/>
    <w:rsid w:val="67C168DB"/>
    <w:rsid w:val="67CF570E"/>
    <w:rsid w:val="67D86C77"/>
    <w:rsid w:val="67DF33F1"/>
    <w:rsid w:val="67F36A96"/>
    <w:rsid w:val="67F94717"/>
    <w:rsid w:val="68012F40"/>
    <w:rsid w:val="680377E5"/>
    <w:rsid w:val="68091D11"/>
    <w:rsid w:val="680B7AA2"/>
    <w:rsid w:val="68134396"/>
    <w:rsid w:val="681F3372"/>
    <w:rsid w:val="681F6961"/>
    <w:rsid w:val="682329D0"/>
    <w:rsid w:val="68256D95"/>
    <w:rsid w:val="68271215"/>
    <w:rsid w:val="6829348E"/>
    <w:rsid w:val="682B6CD1"/>
    <w:rsid w:val="683354B9"/>
    <w:rsid w:val="68346028"/>
    <w:rsid w:val="683F0BBE"/>
    <w:rsid w:val="684041A5"/>
    <w:rsid w:val="68465E25"/>
    <w:rsid w:val="68531CFD"/>
    <w:rsid w:val="685329CE"/>
    <w:rsid w:val="68536DBB"/>
    <w:rsid w:val="6854444E"/>
    <w:rsid w:val="6857623F"/>
    <w:rsid w:val="685C4AEF"/>
    <w:rsid w:val="685D501F"/>
    <w:rsid w:val="68610A2F"/>
    <w:rsid w:val="68613B3A"/>
    <w:rsid w:val="68651877"/>
    <w:rsid w:val="686A69F8"/>
    <w:rsid w:val="68714356"/>
    <w:rsid w:val="687230F4"/>
    <w:rsid w:val="68763796"/>
    <w:rsid w:val="687A2EAB"/>
    <w:rsid w:val="68805514"/>
    <w:rsid w:val="6881318C"/>
    <w:rsid w:val="6887470A"/>
    <w:rsid w:val="688A2400"/>
    <w:rsid w:val="689254AB"/>
    <w:rsid w:val="689544A2"/>
    <w:rsid w:val="6895733C"/>
    <w:rsid w:val="6897048E"/>
    <w:rsid w:val="689807D9"/>
    <w:rsid w:val="689E3224"/>
    <w:rsid w:val="68A10294"/>
    <w:rsid w:val="68A13C2B"/>
    <w:rsid w:val="68A44586"/>
    <w:rsid w:val="68A75AA9"/>
    <w:rsid w:val="68AA50D4"/>
    <w:rsid w:val="68BD1995"/>
    <w:rsid w:val="68BF2AB2"/>
    <w:rsid w:val="68C25663"/>
    <w:rsid w:val="68CA1DDA"/>
    <w:rsid w:val="68CA1F4E"/>
    <w:rsid w:val="68E93F12"/>
    <w:rsid w:val="68EC6B32"/>
    <w:rsid w:val="68ED452F"/>
    <w:rsid w:val="68ED53B9"/>
    <w:rsid w:val="68EF1B95"/>
    <w:rsid w:val="68F10F3C"/>
    <w:rsid w:val="68F56EA5"/>
    <w:rsid w:val="68FF304C"/>
    <w:rsid w:val="69004F74"/>
    <w:rsid w:val="69026556"/>
    <w:rsid w:val="690D0378"/>
    <w:rsid w:val="691149C5"/>
    <w:rsid w:val="69136853"/>
    <w:rsid w:val="69151074"/>
    <w:rsid w:val="69164E8F"/>
    <w:rsid w:val="691E7133"/>
    <w:rsid w:val="6921225E"/>
    <w:rsid w:val="6922789C"/>
    <w:rsid w:val="69246FF7"/>
    <w:rsid w:val="692877A4"/>
    <w:rsid w:val="69292B92"/>
    <w:rsid w:val="69315FAA"/>
    <w:rsid w:val="69316E2F"/>
    <w:rsid w:val="69357874"/>
    <w:rsid w:val="69371AC3"/>
    <w:rsid w:val="693B41FE"/>
    <w:rsid w:val="69405D20"/>
    <w:rsid w:val="69470579"/>
    <w:rsid w:val="694A6A2A"/>
    <w:rsid w:val="694E2071"/>
    <w:rsid w:val="6951089D"/>
    <w:rsid w:val="6966748E"/>
    <w:rsid w:val="69701EB4"/>
    <w:rsid w:val="697160ED"/>
    <w:rsid w:val="69766163"/>
    <w:rsid w:val="69797D16"/>
    <w:rsid w:val="697A3B33"/>
    <w:rsid w:val="697C5A91"/>
    <w:rsid w:val="697E53A6"/>
    <w:rsid w:val="697E6ACF"/>
    <w:rsid w:val="69831701"/>
    <w:rsid w:val="698A237B"/>
    <w:rsid w:val="69912AB1"/>
    <w:rsid w:val="699E1C7F"/>
    <w:rsid w:val="699E5222"/>
    <w:rsid w:val="69B2032B"/>
    <w:rsid w:val="69B4171F"/>
    <w:rsid w:val="69B67599"/>
    <w:rsid w:val="69B708EF"/>
    <w:rsid w:val="69C20276"/>
    <w:rsid w:val="69C22FA0"/>
    <w:rsid w:val="69C63668"/>
    <w:rsid w:val="69CA0E3D"/>
    <w:rsid w:val="69CF2EB9"/>
    <w:rsid w:val="69D44760"/>
    <w:rsid w:val="69D64D8F"/>
    <w:rsid w:val="69DA37D6"/>
    <w:rsid w:val="69DA70DD"/>
    <w:rsid w:val="69E86E98"/>
    <w:rsid w:val="69ED79FA"/>
    <w:rsid w:val="69F07BAC"/>
    <w:rsid w:val="69F85974"/>
    <w:rsid w:val="69FB6243"/>
    <w:rsid w:val="69FC583A"/>
    <w:rsid w:val="69FD5A2B"/>
    <w:rsid w:val="6A0723DE"/>
    <w:rsid w:val="6A0B1B97"/>
    <w:rsid w:val="6A110F7F"/>
    <w:rsid w:val="6A115DD7"/>
    <w:rsid w:val="6A1344EE"/>
    <w:rsid w:val="6A1838EC"/>
    <w:rsid w:val="6A1861FC"/>
    <w:rsid w:val="6A1A395E"/>
    <w:rsid w:val="6A1B42DD"/>
    <w:rsid w:val="6A1E6B5A"/>
    <w:rsid w:val="6A245DA5"/>
    <w:rsid w:val="6A286BED"/>
    <w:rsid w:val="6A2E2F08"/>
    <w:rsid w:val="6A3A2555"/>
    <w:rsid w:val="6A482A6E"/>
    <w:rsid w:val="6A4E11A1"/>
    <w:rsid w:val="6A506D48"/>
    <w:rsid w:val="6A520EC7"/>
    <w:rsid w:val="6A570BC4"/>
    <w:rsid w:val="6A622D9A"/>
    <w:rsid w:val="6A6267FA"/>
    <w:rsid w:val="6A657F7A"/>
    <w:rsid w:val="6A6860B5"/>
    <w:rsid w:val="6A6E7B8D"/>
    <w:rsid w:val="6A751E00"/>
    <w:rsid w:val="6A7E5B30"/>
    <w:rsid w:val="6A894AB1"/>
    <w:rsid w:val="6A8D098F"/>
    <w:rsid w:val="6A8D330E"/>
    <w:rsid w:val="6A8F4FBE"/>
    <w:rsid w:val="6A91210A"/>
    <w:rsid w:val="6A98682F"/>
    <w:rsid w:val="6A9A2B61"/>
    <w:rsid w:val="6A9B4FCC"/>
    <w:rsid w:val="6A9B62CC"/>
    <w:rsid w:val="6AA5413A"/>
    <w:rsid w:val="6AA67DD9"/>
    <w:rsid w:val="6AA71BD6"/>
    <w:rsid w:val="6AAB3429"/>
    <w:rsid w:val="6AAD3A5C"/>
    <w:rsid w:val="6AAF1B8F"/>
    <w:rsid w:val="6AB177B5"/>
    <w:rsid w:val="6AB51D8E"/>
    <w:rsid w:val="6ABB430D"/>
    <w:rsid w:val="6AC35C7A"/>
    <w:rsid w:val="6ACB1A74"/>
    <w:rsid w:val="6ACC7F9A"/>
    <w:rsid w:val="6AD6761F"/>
    <w:rsid w:val="6ADA3802"/>
    <w:rsid w:val="6AE5396B"/>
    <w:rsid w:val="6AE80503"/>
    <w:rsid w:val="6AEF03D4"/>
    <w:rsid w:val="6AF034E1"/>
    <w:rsid w:val="6AF87E20"/>
    <w:rsid w:val="6AF97625"/>
    <w:rsid w:val="6AFB4879"/>
    <w:rsid w:val="6AFC4602"/>
    <w:rsid w:val="6AFE1F32"/>
    <w:rsid w:val="6B026E01"/>
    <w:rsid w:val="6B027495"/>
    <w:rsid w:val="6B072279"/>
    <w:rsid w:val="6B255275"/>
    <w:rsid w:val="6B322639"/>
    <w:rsid w:val="6B330173"/>
    <w:rsid w:val="6B4553A7"/>
    <w:rsid w:val="6B4B6063"/>
    <w:rsid w:val="6B4E7556"/>
    <w:rsid w:val="6B5B6548"/>
    <w:rsid w:val="6B5E173F"/>
    <w:rsid w:val="6B5F73CB"/>
    <w:rsid w:val="6B67224A"/>
    <w:rsid w:val="6B8639F9"/>
    <w:rsid w:val="6B8A7741"/>
    <w:rsid w:val="6B8C6102"/>
    <w:rsid w:val="6B8F5FBA"/>
    <w:rsid w:val="6B956B5B"/>
    <w:rsid w:val="6B964540"/>
    <w:rsid w:val="6B9B5385"/>
    <w:rsid w:val="6B9C494F"/>
    <w:rsid w:val="6BA34EE8"/>
    <w:rsid w:val="6BA7348E"/>
    <w:rsid w:val="6BA7723B"/>
    <w:rsid w:val="6BAE70EF"/>
    <w:rsid w:val="6BB400BE"/>
    <w:rsid w:val="6BC155C2"/>
    <w:rsid w:val="6BC65399"/>
    <w:rsid w:val="6BD23EC8"/>
    <w:rsid w:val="6BD45817"/>
    <w:rsid w:val="6BD748C8"/>
    <w:rsid w:val="6BDF0B2B"/>
    <w:rsid w:val="6BFB507D"/>
    <w:rsid w:val="6BFF61EC"/>
    <w:rsid w:val="6C083CE5"/>
    <w:rsid w:val="6C1C0CE0"/>
    <w:rsid w:val="6C213803"/>
    <w:rsid w:val="6C217D0E"/>
    <w:rsid w:val="6C264A13"/>
    <w:rsid w:val="6C3378FF"/>
    <w:rsid w:val="6C350CA5"/>
    <w:rsid w:val="6C381E68"/>
    <w:rsid w:val="6C452D18"/>
    <w:rsid w:val="6C475952"/>
    <w:rsid w:val="6C527DCB"/>
    <w:rsid w:val="6C540433"/>
    <w:rsid w:val="6C5A65AF"/>
    <w:rsid w:val="6C5B4308"/>
    <w:rsid w:val="6C5D7155"/>
    <w:rsid w:val="6C636C38"/>
    <w:rsid w:val="6C75279F"/>
    <w:rsid w:val="6C832144"/>
    <w:rsid w:val="6C872E3C"/>
    <w:rsid w:val="6C877568"/>
    <w:rsid w:val="6C9129CA"/>
    <w:rsid w:val="6C937CF2"/>
    <w:rsid w:val="6C984C78"/>
    <w:rsid w:val="6C9922D8"/>
    <w:rsid w:val="6C9A09D8"/>
    <w:rsid w:val="6CA10EA3"/>
    <w:rsid w:val="6CA67BE1"/>
    <w:rsid w:val="6CA82831"/>
    <w:rsid w:val="6CAC1457"/>
    <w:rsid w:val="6CAD71C1"/>
    <w:rsid w:val="6CB01F26"/>
    <w:rsid w:val="6CB77EE1"/>
    <w:rsid w:val="6CBC23BE"/>
    <w:rsid w:val="6CC02721"/>
    <w:rsid w:val="6CC10EBE"/>
    <w:rsid w:val="6CD221E5"/>
    <w:rsid w:val="6CD630CC"/>
    <w:rsid w:val="6CFB08D0"/>
    <w:rsid w:val="6D0B038C"/>
    <w:rsid w:val="6D0B6BCA"/>
    <w:rsid w:val="6D157A80"/>
    <w:rsid w:val="6D1D499A"/>
    <w:rsid w:val="6D264A2A"/>
    <w:rsid w:val="6D2E17C1"/>
    <w:rsid w:val="6D32150B"/>
    <w:rsid w:val="6D3845B8"/>
    <w:rsid w:val="6D4068A9"/>
    <w:rsid w:val="6D44005A"/>
    <w:rsid w:val="6D4460E0"/>
    <w:rsid w:val="6D4A5A75"/>
    <w:rsid w:val="6D58104C"/>
    <w:rsid w:val="6D5A01FA"/>
    <w:rsid w:val="6D5A61BC"/>
    <w:rsid w:val="6D6834E4"/>
    <w:rsid w:val="6D6E1F33"/>
    <w:rsid w:val="6D7E1B46"/>
    <w:rsid w:val="6D836FE3"/>
    <w:rsid w:val="6D8469A1"/>
    <w:rsid w:val="6D876F65"/>
    <w:rsid w:val="6D88697E"/>
    <w:rsid w:val="6D91744B"/>
    <w:rsid w:val="6D93651B"/>
    <w:rsid w:val="6DA0635E"/>
    <w:rsid w:val="6DAF2426"/>
    <w:rsid w:val="6DB34098"/>
    <w:rsid w:val="6DB44E7E"/>
    <w:rsid w:val="6DB545B6"/>
    <w:rsid w:val="6DB73126"/>
    <w:rsid w:val="6DB75D52"/>
    <w:rsid w:val="6DB94B45"/>
    <w:rsid w:val="6DBE0AB3"/>
    <w:rsid w:val="6DBE77CB"/>
    <w:rsid w:val="6DCC5E07"/>
    <w:rsid w:val="6DCD5FD8"/>
    <w:rsid w:val="6DD125D3"/>
    <w:rsid w:val="6DD30FAF"/>
    <w:rsid w:val="6DD45A6D"/>
    <w:rsid w:val="6DDF375C"/>
    <w:rsid w:val="6DE02FB4"/>
    <w:rsid w:val="6DE05680"/>
    <w:rsid w:val="6DE109BD"/>
    <w:rsid w:val="6DE22DD7"/>
    <w:rsid w:val="6DE60117"/>
    <w:rsid w:val="6DE73514"/>
    <w:rsid w:val="6DEA120C"/>
    <w:rsid w:val="6DEC6A0F"/>
    <w:rsid w:val="6DF57072"/>
    <w:rsid w:val="6DF603E9"/>
    <w:rsid w:val="6DFD6735"/>
    <w:rsid w:val="6E004852"/>
    <w:rsid w:val="6E061C5F"/>
    <w:rsid w:val="6E0D42F1"/>
    <w:rsid w:val="6E12141F"/>
    <w:rsid w:val="6E17710E"/>
    <w:rsid w:val="6E1804FC"/>
    <w:rsid w:val="6E1A5C19"/>
    <w:rsid w:val="6E291D12"/>
    <w:rsid w:val="6E2A6CF8"/>
    <w:rsid w:val="6E3A4C63"/>
    <w:rsid w:val="6E3E5401"/>
    <w:rsid w:val="6E435769"/>
    <w:rsid w:val="6E4B66DE"/>
    <w:rsid w:val="6E514CED"/>
    <w:rsid w:val="6E5B5B5D"/>
    <w:rsid w:val="6E61237F"/>
    <w:rsid w:val="6E641B01"/>
    <w:rsid w:val="6E647EBC"/>
    <w:rsid w:val="6E676A1E"/>
    <w:rsid w:val="6E77633E"/>
    <w:rsid w:val="6E79349A"/>
    <w:rsid w:val="6E7D2305"/>
    <w:rsid w:val="6E853731"/>
    <w:rsid w:val="6E895EAF"/>
    <w:rsid w:val="6E9154B8"/>
    <w:rsid w:val="6E931B03"/>
    <w:rsid w:val="6EA64111"/>
    <w:rsid w:val="6EAA50EB"/>
    <w:rsid w:val="6EAC5A7E"/>
    <w:rsid w:val="6EB563D5"/>
    <w:rsid w:val="6EBD0F55"/>
    <w:rsid w:val="6EBD26DE"/>
    <w:rsid w:val="6EC95E08"/>
    <w:rsid w:val="6ECC374A"/>
    <w:rsid w:val="6ECD5294"/>
    <w:rsid w:val="6ED40F44"/>
    <w:rsid w:val="6ED7410E"/>
    <w:rsid w:val="6ED9115B"/>
    <w:rsid w:val="6ED92677"/>
    <w:rsid w:val="6EE559E0"/>
    <w:rsid w:val="6EEB57D0"/>
    <w:rsid w:val="6EEF1780"/>
    <w:rsid w:val="6EEF7970"/>
    <w:rsid w:val="6EF30B43"/>
    <w:rsid w:val="6F0057C4"/>
    <w:rsid w:val="6F0751A8"/>
    <w:rsid w:val="6F120484"/>
    <w:rsid w:val="6F190867"/>
    <w:rsid w:val="6F1A5F8A"/>
    <w:rsid w:val="6F225983"/>
    <w:rsid w:val="6F28299D"/>
    <w:rsid w:val="6F2A1580"/>
    <w:rsid w:val="6F2C0DAA"/>
    <w:rsid w:val="6F377216"/>
    <w:rsid w:val="6F400D79"/>
    <w:rsid w:val="6F4556E7"/>
    <w:rsid w:val="6F4B0401"/>
    <w:rsid w:val="6F4E11DF"/>
    <w:rsid w:val="6F4F026E"/>
    <w:rsid w:val="6F555FE1"/>
    <w:rsid w:val="6F5A231C"/>
    <w:rsid w:val="6F641F5D"/>
    <w:rsid w:val="6F6B646E"/>
    <w:rsid w:val="6F6D1D2A"/>
    <w:rsid w:val="6F6D6756"/>
    <w:rsid w:val="6F713401"/>
    <w:rsid w:val="6F751EB8"/>
    <w:rsid w:val="6F7C17ED"/>
    <w:rsid w:val="6F842750"/>
    <w:rsid w:val="6F8D32DA"/>
    <w:rsid w:val="6F8E6A02"/>
    <w:rsid w:val="6F900B13"/>
    <w:rsid w:val="6F9500AA"/>
    <w:rsid w:val="6F987CE3"/>
    <w:rsid w:val="6F990CFC"/>
    <w:rsid w:val="6F9C4952"/>
    <w:rsid w:val="6FA471F6"/>
    <w:rsid w:val="6FA53696"/>
    <w:rsid w:val="6FA83163"/>
    <w:rsid w:val="6FAB024F"/>
    <w:rsid w:val="6FB4413E"/>
    <w:rsid w:val="6FCA5E85"/>
    <w:rsid w:val="6FD70C8E"/>
    <w:rsid w:val="6FE12929"/>
    <w:rsid w:val="6FE972F9"/>
    <w:rsid w:val="6FEF4E39"/>
    <w:rsid w:val="6FF549E0"/>
    <w:rsid w:val="6FFC547A"/>
    <w:rsid w:val="6FFC5590"/>
    <w:rsid w:val="70093D57"/>
    <w:rsid w:val="70097B19"/>
    <w:rsid w:val="700D5BEE"/>
    <w:rsid w:val="7014516B"/>
    <w:rsid w:val="70150057"/>
    <w:rsid w:val="701B4843"/>
    <w:rsid w:val="701C71DB"/>
    <w:rsid w:val="702A0B29"/>
    <w:rsid w:val="702B06E0"/>
    <w:rsid w:val="702E5024"/>
    <w:rsid w:val="70324A85"/>
    <w:rsid w:val="70382FD3"/>
    <w:rsid w:val="70435760"/>
    <w:rsid w:val="7047529D"/>
    <w:rsid w:val="70476F85"/>
    <w:rsid w:val="70494469"/>
    <w:rsid w:val="704B0A22"/>
    <w:rsid w:val="705640C7"/>
    <w:rsid w:val="705A138C"/>
    <w:rsid w:val="705A4983"/>
    <w:rsid w:val="705D6EF9"/>
    <w:rsid w:val="705F52EF"/>
    <w:rsid w:val="70683868"/>
    <w:rsid w:val="706A7EB6"/>
    <w:rsid w:val="706D1DD0"/>
    <w:rsid w:val="70705D99"/>
    <w:rsid w:val="70720CCF"/>
    <w:rsid w:val="7082353E"/>
    <w:rsid w:val="70824C68"/>
    <w:rsid w:val="70856B87"/>
    <w:rsid w:val="70875F7B"/>
    <w:rsid w:val="708B4CEE"/>
    <w:rsid w:val="708F0BB5"/>
    <w:rsid w:val="708F36CF"/>
    <w:rsid w:val="70956F21"/>
    <w:rsid w:val="70962660"/>
    <w:rsid w:val="70A45F91"/>
    <w:rsid w:val="70A5705F"/>
    <w:rsid w:val="70A76DEB"/>
    <w:rsid w:val="70AC5245"/>
    <w:rsid w:val="70AD6ED1"/>
    <w:rsid w:val="70AE2968"/>
    <w:rsid w:val="70B04472"/>
    <w:rsid w:val="70BB5298"/>
    <w:rsid w:val="70C44AD9"/>
    <w:rsid w:val="70C93FAF"/>
    <w:rsid w:val="70D527EE"/>
    <w:rsid w:val="70D60E90"/>
    <w:rsid w:val="70D73E47"/>
    <w:rsid w:val="70D92F21"/>
    <w:rsid w:val="70DB0688"/>
    <w:rsid w:val="70DD5927"/>
    <w:rsid w:val="70DE276B"/>
    <w:rsid w:val="70E132FA"/>
    <w:rsid w:val="70E136CD"/>
    <w:rsid w:val="70E62053"/>
    <w:rsid w:val="70F202D5"/>
    <w:rsid w:val="70F530D1"/>
    <w:rsid w:val="71183A75"/>
    <w:rsid w:val="71214EFF"/>
    <w:rsid w:val="71215D14"/>
    <w:rsid w:val="71242C41"/>
    <w:rsid w:val="71245370"/>
    <w:rsid w:val="712D001E"/>
    <w:rsid w:val="71381A63"/>
    <w:rsid w:val="71405749"/>
    <w:rsid w:val="71436D51"/>
    <w:rsid w:val="71460C86"/>
    <w:rsid w:val="714714D5"/>
    <w:rsid w:val="714E56E1"/>
    <w:rsid w:val="7150636D"/>
    <w:rsid w:val="71550CB0"/>
    <w:rsid w:val="7156337E"/>
    <w:rsid w:val="71571330"/>
    <w:rsid w:val="715B5300"/>
    <w:rsid w:val="71645191"/>
    <w:rsid w:val="71665B90"/>
    <w:rsid w:val="716E6B79"/>
    <w:rsid w:val="71756399"/>
    <w:rsid w:val="71785EF9"/>
    <w:rsid w:val="71796331"/>
    <w:rsid w:val="717B413B"/>
    <w:rsid w:val="719103C9"/>
    <w:rsid w:val="71911CD5"/>
    <w:rsid w:val="719235B7"/>
    <w:rsid w:val="719646F0"/>
    <w:rsid w:val="719F23C9"/>
    <w:rsid w:val="71AB51B9"/>
    <w:rsid w:val="71AF6295"/>
    <w:rsid w:val="71B14314"/>
    <w:rsid w:val="71C10999"/>
    <w:rsid w:val="71C7125F"/>
    <w:rsid w:val="71C86D4A"/>
    <w:rsid w:val="71CD0394"/>
    <w:rsid w:val="71D27F8A"/>
    <w:rsid w:val="71D33388"/>
    <w:rsid w:val="71D35DA6"/>
    <w:rsid w:val="71DB5923"/>
    <w:rsid w:val="71E1503B"/>
    <w:rsid w:val="71E74AD9"/>
    <w:rsid w:val="71F66BDB"/>
    <w:rsid w:val="71FA364F"/>
    <w:rsid w:val="71FF3ECA"/>
    <w:rsid w:val="72001670"/>
    <w:rsid w:val="72022A39"/>
    <w:rsid w:val="72073927"/>
    <w:rsid w:val="72164D8C"/>
    <w:rsid w:val="721A40EC"/>
    <w:rsid w:val="721C4D9B"/>
    <w:rsid w:val="722002C3"/>
    <w:rsid w:val="72203923"/>
    <w:rsid w:val="7221445D"/>
    <w:rsid w:val="72217EAA"/>
    <w:rsid w:val="7223534E"/>
    <w:rsid w:val="72260A8A"/>
    <w:rsid w:val="722A12B4"/>
    <w:rsid w:val="722B0ADB"/>
    <w:rsid w:val="722B69FC"/>
    <w:rsid w:val="722F7BD2"/>
    <w:rsid w:val="723233C2"/>
    <w:rsid w:val="72355D2A"/>
    <w:rsid w:val="723C2FA7"/>
    <w:rsid w:val="723C4228"/>
    <w:rsid w:val="723E4CA8"/>
    <w:rsid w:val="72402AB6"/>
    <w:rsid w:val="724376DF"/>
    <w:rsid w:val="72485631"/>
    <w:rsid w:val="72495F8C"/>
    <w:rsid w:val="724C15C0"/>
    <w:rsid w:val="72541E8D"/>
    <w:rsid w:val="72553024"/>
    <w:rsid w:val="725B5276"/>
    <w:rsid w:val="725D158A"/>
    <w:rsid w:val="725D51E5"/>
    <w:rsid w:val="726233F9"/>
    <w:rsid w:val="726A50FF"/>
    <w:rsid w:val="726A7FE2"/>
    <w:rsid w:val="726E1BA3"/>
    <w:rsid w:val="72750781"/>
    <w:rsid w:val="727564A2"/>
    <w:rsid w:val="727573C8"/>
    <w:rsid w:val="7277116B"/>
    <w:rsid w:val="727C6F98"/>
    <w:rsid w:val="727C7C7C"/>
    <w:rsid w:val="72830CD7"/>
    <w:rsid w:val="72833677"/>
    <w:rsid w:val="728910F7"/>
    <w:rsid w:val="728C682B"/>
    <w:rsid w:val="728E0AF4"/>
    <w:rsid w:val="72963CD5"/>
    <w:rsid w:val="729667D1"/>
    <w:rsid w:val="72990592"/>
    <w:rsid w:val="729C59BC"/>
    <w:rsid w:val="729C6F3E"/>
    <w:rsid w:val="729E6E48"/>
    <w:rsid w:val="72A47987"/>
    <w:rsid w:val="72A613FA"/>
    <w:rsid w:val="72B0172E"/>
    <w:rsid w:val="72B501C9"/>
    <w:rsid w:val="72B656A5"/>
    <w:rsid w:val="72BA1FD7"/>
    <w:rsid w:val="72CC71D1"/>
    <w:rsid w:val="72DC24C3"/>
    <w:rsid w:val="72DD7C74"/>
    <w:rsid w:val="72E73D7E"/>
    <w:rsid w:val="72F939C4"/>
    <w:rsid w:val="72FC6EDD"/>
    <w:rsid w:val="72FE7901"/>
    <w:rsid w:val="72FF0266"/>
    <w:rsid w:val="73021948"/>
    <w:rsid w:val="73056A73"/>
    <w:rsid w:val="730602B5"/>
    <w:rsid w:val="73060B3E"/>
    <w:rsid w:val="73083C6B"/>
    <w:rsid w:val="730E7C53"/>
    <w:rsid w:val="73104A1B"/>
    <w:rsid w:val="73122968"/>
    <w:rsid w:val="73137A9A"/>
    <w:rsid w:val="731E33A6"/>
    <w:rsid w:val="731F5D5E"/>
    <w:rsid w:val="73284C95"/>
    <w:rsid w:val="7329156C"/>
    <w:rsid w:val="733046A8"/>
    <w:rsid w:val="73347DEC"/>
    <w:rsid w:val="7340704E"/>
    <w:rsid w:val="7346760A"/>
    <w:rsid w:val="7347505F"/>
    <w:rsid w:val="73475E72"/>
    <w:rsid w:val="73603052"/>
    <w:rsid w:val="73641D7B"/>
    <w:rsid w:val="736432F1"/>
    <w:rsid w:val="73664776"/>
    <w:rsid w:val="73676319"/>
    <w:rsid w:val="736B6C67"/>
    <w:rsid w:val="7372726F"/>
    <w:rsid w:val="737647E8"/>
    <w:rsid w:val="737C0BDA"/>
    <w:rsid w:val="73821394"/>
    <w:rsid w:val="73863695"/>
    <w:rsid w:val="738A1A97"/>
    <w:rsid w:val="738A5B9F"/>
    <w:rsid w:val="738A69D3"/>
    <w:rsid w:val="73947CD5"/>
    <w:rsid w:val="739764D5"/>
    <w:rsid w:val="739909D7"/>
    <w:rsid w:val="73A37519"/>
    <w:rsid w:val="73AB3D2F"/>
    <w:rsid w:val="73AC26D9"/>
    <w:rsid w:val="73BA21C4"/>
    <w:rsid w:val="73C2526D"/>
    <w:rsid w:val="73C51AD5"/>
    <w:rsid w:val="73CC742B"/>
    <w:rsid w:val="73DC038C"/>
    <w:rsid w:val="73DD5478"/>
    <w:rsid w:val="73DF24CE"/>
    <w:rsid w:val="73E34C00"/>
    <w:rsid w:val="73E6264B"/>
    <w:rsid w:val="73E84F83"/>
    <w:rsid w:val="73EF4563"/>
    <w:rsid w:val="73EF6311"/>
    <w:rsid w:val="73F075C2"/>
    <w:rsid w:val="73F1153B"/>
    <w:rsid w:val="73F3615C"/>
    <w:rsid w:val="73F50642"/>
    <w:rsid w:val="73F90894"/>
    <w:rsid w:val="73FD21F3"/>
    <w:rsid w:val="7403355D"/>
    <w:rsid w:val="74041184"/>
    <w:rsid w:val="741D5486"/>
    <w:rsid w:val="741E793C"/>
    <w:rsid w:val="74254B70"/>
    <w:rsid w:val="74255D49"/>
    <w:rsid w:val="742D44EB"/>
    <w:rsid w:val="74396D46"/>
    <w:rsid w:val="743A131D"/>
    <w:rsid w:val="743B02F6"/>
    <w:rsid w:val="743E7F5F"/>
    <w:rsid w:val="7441460A"/>
    <w:rsid w:val="744455D8"/>
    <w:rsid w:val="74461948"/>
    <w:rsid w:val="74470596"/>
    <w:rsid w:val="74502DCF"/>
    <w:rsid w:val="74551DB4"/>
    <w:rsid w:val="745D37E9"/>
    <w:rsid w:val="745E3944"/>
    <w:rsid w:val="7469386E"/>
    <w:rsid w:val="746B027D"/>
    <w:rsid w:val="746E2C61"/>
    <w:rsid w:val="746E4FB3"/>
    <w:rsid w:val="74716CEC"/>
    <w:rsid w:val="74716FEF"/>
    <w:rsid w:val="747B21EB"/>
    <w:rsid w:val="748030A0"/>
    <w:rsid w:val="7481492B"/>
    <w:rsid w:val="74825F8C"/>
    <w:rsid w:val="74862321"/>
    <w:rsid w:val="748F1829"/>
    <w:rsid w:val="74903A36"/>
    <w:rsid w:val="74994B03"/>
    <w:rsid w:val="749A350A"/>
    <w:rsid w:val="749B0247"/>
    <w:rsid w:val="74A079B9"/>
    <w:rsid w:val="74AF7AAC"/>
    <w:rsid w:val="74B11555"/>
    <w:rsid w:val="74B120CF"/>
    <w:rsid w:val="74BB2FFF"/>
    <w:rsid w:val="74C27A3E"/>
    <w:rsid w:val="74C47D9F"/>
    <w:rsid w:val="74C5603C"/>
    <w:rsid w:val="74C86C47"/>
    <w:rsid w:val="74CF3C39"/>
    <w:rsid w:val="74E3370B"/>
    <w:rsid w:val="74ED3C3A"/>
    <w:rsid w:val="74EE00A3"/>
    <w:rsid w:val="74F12970"/>
    <w:rsid w:val="74F40DE4"/>
    <w:rsid w:val="74F42BCD"/>
    <w:rsid w:val="74F459DF"/>
    <w:rsid w:val="74FA5B62"/>
    <w:rsid w:val="75044E90"/>
    <w:rsid w:val="750B583F"/>
    <w:rsid w:val="750C5611"/>
    <w:rsid w:val="750C5F2D"/>
    <w:rsid w:val="75120AC9"/>
    <w:rsid w:val="751A6A93"/>
    <w:rsid w:val="751C7107"/>
    <w:rsid w:val="75260237"/>
    <w:rsid w:val="75261C2C"/>
    <w:rsid w:val="75294D42"/>
    <w:rsid w:val="75317186"/>
    <w:rsid w:val="75330190"/>
    <w:rsid w:val="753558B8"/>
    <w:rsid w:val="753B4753"/>
    <w:rsid w:val="75426D42"/>
    <w:rsid w:val="75440422"/>
    <w:rsid w:val="754409E3"/>
    <w:rsid w:val="75457F6E"/>
    <w:rsid w:val="754735BF"/>
    <w:rsid w:val="754B3440"/>
    <w:rsid w:val="754E32C2"/>
    <w:rsid w:val="754F6358"/>
    <w:rsid w:val="75575DFE"/>
    <w:rsid w:val="75587EE6"/>
    <w:rsid w:val="7560609C"/>
    <w:rsid w:val="75616907"/>
    <w:rsid w:val="7567048A"/>
    <w:rsid w:val="75681E19"/>
    <w:rsid w:val="756B2D96"/>
    <w:rsid w:val="756D6902"/>
    <w:rsid w:val="756F646A"/>
    <w:rsid w:val="757F4939"/>
    <w:rsid w:val="75817890"/>
    <w:rsid w:val="75902D2D"/>
    <w:rsid w:val="759F4233"/>
    <w:rsid w:val="75A86778"/>
    <w:rsid w:val="75AC3972"/>
    <w:rsid w:val="75AD1708"/>
    <w:rsid w:val="75B21026"/>
    <w:rsid w:val="75B24AC0"/>
    <w:rsid w:val="75BD5016"/>
    <w:rsid w:val="75BE0042"/>
    <w:rsid w:val="75C26815"/>
    <w:rsid w:val="75C458AB"/>
    <w:rsid w:val="75C56E38"/>
    <w:rsid w:val="75C940D3"/>
    <w:rsid w:val="75CB5887"/>
    <w:rsid w:val="75D57D9E"/>
    <w:rsid w:val="75E20001"/>
    <w:rsid w:val="75EF6F1E"/>
    <w:rsid w:val="75F36D46"/>
    <w:rsid w:val="75F728CA"/>
    <w:rsid w:val="75FA33B1"/>
    <w:rsid w:val="75FC3CD4"/>
    <w:rsid w:val="75FF4623"/>
    <w:rsid w:val="76086C42"/>
    <w:rsid w:val="760C0D0B"/>
    <w:rsid w:val="761157EE"/>
    <w:rsid w:val="76170E60"/>
    <w:rsid w:val="761756AB"/>
    <w:rsid w:val="761E6A3A"/>
    <w:rsid w:val="762012F0"/>
    <w:rsid w:val="762930FF"/>
    <w:rsid w:val="762B7B74"/>
    <w:rsid w:val="762C7B9F"/>
    <w:rsid w:val="762F69FA"/>
    <w:rsid w:val="7631632C"/>
    <w:rsid w:val="763402C5"/>
    <w:rsid w:val="7635099D"/>
    <w:rsid w:val="76361809"/>
    <w:rsid w:val="763D77BA"/>
    <w:rsid w:val="764255EC"/>
    <w:rsid w:val="76440C7A"/>
    <w:rsid w:val="76440DF5"/>
    <w:rsid w:val="76471136"/>
    <w:rsid w:val="76485E1A"/>
    <w:rsid w:val="764D63D2"/>
    <w:rsid w:val="76531EC4"/>
    <w:rsid w:val="765B31FA"/>
    <w:rsid w:val="7661787C"/>
    <w:rsid w:val="767844A2"/>
    <w:rsid w:val="768974BF"/>
    <w:rsid w:val="768B2E10"/>
    <w:rsid w:val="7692685B"/>
    <w:rsid w:val="76A72ED3"/>
    <w:rsid w:val="76AA1E21"/>
    <w:rsid w:val="76AA5627"/>
    <w:rsid w:val="76AB3227"/>
    <w:rsid w:val="76AC7185"/>
    <w:rsid w:val="76B046B9"/>
    <w:rsid w:val="76B274E6"/>
    <w:rsid w:val="76C70C12"/>
    <w:rsid w:val="76D956F9"/>
    <w:rsid w:val="76E421C9"/>
    <w:rsid w:val="77031CCA"/>
    <w:rsid w:val="77062981"/>
    <w:rsid w:val="77065E4C"/>
    <w:rsid w:val="77071480"/>
    <w:rsid w:val="770A230E"/>
    <w:rsid w:val="771734B1"/>
    <w:rsid w:val="772A1273"/>
    <w:rsid w:val="772B30DC"/>
    <w:rsid w:val="7731537E"/>
    <w:rsid w:val="773504DF"/>
    <w:rsid w:val="77363F88"/>
    <w:rsid w:val="77461799"/>
    <w:rsid w:val="774E6775"/>
    <w:rsid w:val="775301BE"/>
    <w:rsid w:val="776077BC"/>
    <w:rsid w:val="77615FC8"/>
    <w:rsid w:val="7762504C"/>
    <w:rsid w:val="77643417"/>
    <w:rsid w:val="7766015E"/>
    <w:rsid w:val="77753C1D"/>
    <w:rsid w:val="77762421"/>
    <w:rsid w:val="77793511"/>
    <w:rsid w:val="7779731D"/>
    <w:rsid w:val="777B0FF6"/>
    <w:rsid w:val="777C4E72"/>
    <w:rsid w:val="777C4E96"/>
    <w:rsid w:val="77861394"/>
    <w:rsid w:val="7788359B"/>
    <w:rsid w:val="778F2CAF"/>
    <w:rsid w:val="779A0F51"/>
    <w:rsid w:val="779A6F64"/>
    <w:rsid w:val="779D6114"/>
    <w:rsid w:val="77B56B1F"/>
    <w:rsid w:val="77BD2BD0"/>
    <w:rsid w:val="77C04A6E"/>
    <w:rsid w:val="77C475AE"/>
    <w:rsid w:val="77D771B2"/>
    <w:rsid w:val="77E11EC7"/>
    <w:rsid w:val="77E612ED"/>
    <w:rsid w:val="77EF3C6C"/>
    <w:rsid w:val="77F6720F"/>
    <w:rsid w:val="78002BF2"/>
    <w:rsid w:val="780164C2"/>
    <w:rsid w:val="780A1D10"/>
    <w:rsid w:val="780A4E60"/>
    <w:rsid w:val="780F09F4"/>
    <w:rsid w:val="7814228C"/>
    <w:rsid w:val="782B04B9"/>
    <w:rsid w:val="782E127C"/>
    <w:rsid w:val="7831047C"/>
    <w:rsid w:val="7838226D"/>
    <w:rsid w:val="783D726E"/>
    <w:rsid w:val="783E2751"/>
    <w:rsid w:val="7840718E"/>
    <w:rsid w:val="784117DD"/>
    <w:rsid w:val="78444D04"/>
    <w:rsid w:val="7847020A"/>
    <w:rsid w:val="78494F70"/>
    <w:rsid w:val="785106FD"/>
    <w:rsid w:val="78516322"/>
    <w:rsid w:val="7854148B"/>
    <w:rsid w:val="78602818"/>
    <w:rsid w:val="786A1924"/>
    <w:rsid w:val="786B60D6"/>
    <w:rsid w:val="786D3CA8"/>
    <w:rsid w:val="78722827"/>
    <w:rsid w:val="787615C6"/>
    <w:rsid w:val="787A563C"/>
    <w:rsid w:val="787B369B"/>
    <w:rsid w:val="787B7209"/>
    <w:rsid w:val="7882105D"/>
    <w:rsid w:val="78895D73"/>
    <w:rsid w:val="788F1BA6"/>
    <w:rsid w:val="789069BC"/>
    <w:rsid w:val="78921637"/>
    <w:rsid w:val="78A90480"/>
    <w:rsid w:val="78A91DD2"/>
    <w:rsid w:val="78AD47C0"/>
    <w:rsid w:val="78AF3105"/>
    <w:rsid w:val="78B01942"/>
    <w:rsid w:val="78B8545D"/>
    <w:rsid w:val="78B95727"/>
    <w:rsid w:val="78C75915"/>
    <w:rsid w:val="78C80C25"/>
    <w:rsid w:val="78E64C77"/>
    <w:rsid w:val="78E87FED"/>
    <w:rsid w:val="78F55E41"/>
    <w:rsid w:val="78F914A2"/>
    <w:rsid w:val="78FC5CD9"/>
    <w:rsid w:val="79016FCD"/>
    <w:rsid w:val="79090A0E"/>
    <w:rsid w:val="79156750"/>
    <w:rsid w:val="79175EC4"/>
    <w:rsid w:val="791E2E49"/>
    <w:rsid w:val="79255EFC"/>
    <w:rsid w:val="79297B2E"/>
    <w:rsid w:val="792A4E72"/>
    <w:rsid w:val="79310CBE"/>
    <w:rsid w:val="7937588E"/>
    <w:rsid w:val="794044F8"/>
    <w:rsid w:val="79425D8D"/>
    <w:rsid w:val="794514C8"/>
    <w:rsid w:val="794767D5"/>
    <w:rsid w:val="7955191C"/>
    <w:rsid w:val="79552487"/>
    <w:rsid w:val="796201A7"/>
    <w:rsid w:val="796A4680"/>
    <w:rsid w:val="796D403C"/>
    <w:rsid w:val="796F6F2A"/>
    <w:rsid w:val="79704173"/>
    <w:rsid w:val="7974654D"/>
    <w:rsid w:val="797B0822"/>
    <w:rsid w:val="7987396D"/>
    <w:rsid w:val="7990174C"/>
    <w:rsid w:val="799A00E2"/>
    <w:rsid w:val="799F7E92"/>
    <w:rsid w:val="79A51F64"/>
    <w:rsid w:val="79A56E82"/>
    <w:rsid w:val="79A66D26"/>
    <w:rsid w:val="79AE10B3"/>
    <w:rsid w:val="79C8634C"/>
    <w:rsid w:val="79C9797E"/>
    <w:rsid w:val="79CC4BF4"/>
    <w:rsid w:val="79CC5482"/>
    <w:rsid w:val="79D366F5"/>
    <w:rsid w:val="79D818C5"/>
    <w:rsid w:val="79DA35C0"/>
    <w:rsid w:val="79E26A94"/>
    <w:rsid w:val="79FF0440"/>
    <w:rsid w:val="79FF6656"/>
    <w:rsid w:val="7A066E53"/>
    <w:rsid w:val="7A0C7D43"/>
    <w:rsid w:val="7A0D1054"/>
    <w:rsid w:val="7A0E56CC"/>
    <w:rsid w:val="7A0F1D51"/>
    <w:rsid w:val="7A125974"/>
    <w:rsid w:val="7A135088"/>
    <w:rsid w:val="7A1D0975"/>
    <w:rsid w:val="7A232871"/>
    <w:rsid w:val="7A2A0CEF"/>
    <w:rsid w:val="7A364017"/>
    <w:rsid w:val="7A3C569A"/>
    <w:rsid w:val="7A3D108A"/>
    <w:rsid w:val="7A3D1747"/>
    <w:rsid w:val="7A407969"/>
    <w:rsid w:val="7A444E47"/>
    <w:rsid w:val="7A473A99"/>
    <w:rsid w:val="7A493AAD"/>
    <w:rsid w:val="7A4963AC"/>
    <w:rsid w:val="7A52003F"/>
    <w:rsid w:val="7A5F2835"/>
    <w:rsid w:val="7A6B5561"/>
    <w:rsid w:val="7A6C5D14"/>
    <w:rsid w:val="7A717640"/>
    <w:rsid w:val="7A8265E1"/>
    <w:rsid w:val="7A8B182A"/>
    <w:rsid w:val="7A8C22DE"/>
    <w:rsid w:val="7A9434F0"/>
    <w:rsid w:val="7AAD2E93"/>
    <w:rsid w:val="7AAD7310"/>
    <w:rsid w:val="7AB53793"/>
    <w:rsid w:val="7ABB6011"/>
    <w:rsid w:val="7ABC0F24"/>
    <w:rsid w:val="7AC04563"/>
    <w:rsid w:val="7AC357A8"/>
    <w:rsid w:val="7AC4259F"/>
    <w:rsid w:val="7AC46D70"/>
    <w:rsid w:val="7AC57EE1"/>
    <w:rsid w:val="7ACB126B"/>
    <w:rsid w:val="7ACD6C80"/>
    <w:rsid w:val="7AD60715"/>
    <w:rsid w:val="7AD63EC6"/>
    <w:rsid w:val="7AED4CCE"/>
    <w:rsid w:val="7AED5A6F"/>
    <w:rsid w:val="7AF46C57"/>
    <w:rsid w:val="7AF56BAC"/>
    <w:rsid w:val="7AFA7971"/>
    <w:rsid w:val="7B056D0C"/>
    <w:rsid w:val="7B06411C"/>
    <w:rsid w:val="7B1337F5"/>
    <w:rsid w:val="7B156E7A"/>
    <w:rsid w:val="7B263B2F"/>
    <w:rsid w:val="7B2739A6"/>
    <w:rsid w:val="7B2A5821"/>
    <w:rsid w:val="7B2F1239"/>
    <w:rsid w:val="7B31237D"/>
    <w:rsid w:val="7B321DC2"/>
    <w:rsid w:val="7B3361E1"/>
    <w:rsid w:val="7B42038D"/>
    <w:rsid w:val="7B4F0D3B"/>
    <w:rsid w:val="7B4F7C0A"/>
    <w:rsid w:val="7B542C0E"/>
    <w:rsid w:val="7B5A546B"/>
    <w:rsid w:val="7B644ABF"/>
    <w:rsid w:val="7B686D42"/>
    <w:rsid w:val="7B691563"/>
    <w:rsid w:val="7B6951CC"/>
    <w:rsid w:val="7B700A87"/>
    <w:rsid w:val="7B704064"/>
    <w:rsid w:val="7B711E8E"/>
    <w:rsid w:val="7B754F5D"/>
    <w:rsid w:val="7B777C9C"/>
    <w:rsid w:val="7B784E3E"/>
    <w:rsid w:val="7B7C5F5C"/>
    <w:rsid w:val="7B804F3A"/>
    <w:rsid w:val="7B826AC0"/>
    <w:rsid w:val="7B841746"/>
    <w:rsid w:val="7B872481"/>
    <w:rsid w:val="7B875081"/>
    <w:rsid w:val="7B883920"/>
    <w:rsid w:val="7B8F0A21"/>
    <w:rsid w:val="7B945E1C"/>
    <w:rsid w:val="7BA56DA9"/>
    <w:rsid w:val="7BAC0C94"/>
    <w:rsid w:val="7BAF03A7"/>
    <w:rsid w:val="7BAF2DFB"/>
    <w:rsid w:val="7BB10350"/>
    <w:rsid w:val="7BB51E1C"/>
    <w:rsid w:val="7BB541EB"/>
    <w:rsid w:val="7BBC3FC9"/>
    <w:rsid w:val="7BBD6A89"/>
    <w:rsid w:val="7BC45BFD"/>
    <w:rsid w:val="7BC65BF5"/>
    <w:rsid w:val="7BC8031E"/>
    <w:rsid w:val="7BC87A14"/>
    <w:rsid w:val="7BCA07CF"/>
    <w:rsid w:val="7BCD2B01"/>
    <w:rsid w:val="7BCD3187"/>
    <w:rsid w:val="7BD03592"/>
    <w:rsid w:val="7BE47FDE"/>
    <w:rsid w:val="7BE50267"/>
    <w:rsid w:val="7BED2ED6"/>
    <w:rsid w:val="7BEF1D5B"/>
    <w:rsid w:val="7BEF52FC"/>
    <w:rsid w:val="7BF02DB2"/>
    <w:rsid w:val="7BF32D45"/>
    <w:rsid w:val="7BF569FE"/>
    <w:rsid w:val="7BF63228"/>
    <w:rsid w:val="7BF75E57"/>
    <w:rsid w:val="7BF80F0E"/>
    <w:rsid w:val="7BFE6124"/>
    <w:rsid w:val="7C1331F8"/>
    <w:rsid w:val="7C176C2A"/>
    <w:rsid w:val="7C1801DA"/>
    <w:rsid w:val="7C180A5D"/>
    <w:rsid w:val="7C222B4B"/>
    <w:rsid w:val="7C255059"/>
    <w:rsid w:val="7C296BFC"/>
    <w:rsid w:val="7C297C7E"/>
    <w:rsid w:val="7C2D37D8"/>
    <w:rsid w:val="7C2F6044"/>
    <w:rsid w:val="7C300952"/>
    <w:rsid w:val="7C310F5C"/>
    <w:rsid w:val="7C3C0745"/>
    <w:rsid w:val="7C46717C"/>
    <w:rsid w:val="7C4904C2"/>
    <w:rsid w:val="7C4D3E60"/>
    <w:rsid w:val="7C665DEB"/>
    <w:rsid w:val="7C6C5AC7"/>
    <w:rsid w:val="7C714792"/>
    <w:rsid w:val="7C7F7FA6"/>
    <w:rsid w:val="7C840892"/>
    <w:rsid w:val="7C8E2B03"/>
    <w:rsid w:val="7C95065F"/>
    <w:rsid w:val="7C964C3F"/>
    <w:rsid w:val="7C96619D"/>
    <w:rsid w:val="7C9F0C7F"/>
    <w:rsid w:val="7CA0449C"/>
    <w:rsid w:val="7CA42405"/>
    <w:rsid w:val="7CA852AF"/>
    <w:rsid w:val="7CB162C7"/>
    <w:rsid w:val="7CB452AF"/>
    <w:rsid w:val="7CBA42BC"/>
    <w:rsid w:val="7CC120A0"/>
    <w:rsid w:val="7CC52305"/>
    <w:rsid w:val="7CC6544B"/>
    <w:rsid w:val="7CD465A6"/>
    <w:rsid w:val="7CD831EE"/>
    <w:rsid w:val="7CDD7C12"/>
    <w:rsid w:val="7CE7405E"/>
    <w:rsid w:val="7CE923A9"/>
    <w:rsid w:val="7CEF1391"/>
    <w:rsid w:val="7CF50DEC"/>
    <w:rsid w:val="7CF74128"/>
    <w:rsid w:val="7CF82BE3"/>
    <w:rsid w:val="7CFB45FF"/>
    <w:rsid w:val="7D0239FF"/>
    <w:rsid w:val="7D0E1FE7"/>
    <w:rsid w:val="7D0F595A"/>
    <w:rsid w:val="7D1725FD"/>
    <w:rsid w:val="7D1915CD"/>
    <w:rsid w:val="7D195EFA"/>
    <w:rsid w:val="7D281228"/>
    <w:rsid w:val="7D2E7EAA"/>
    <w:rsid w:val="7D3046BB"/>
    <w:rsid w:val="7D3E18D7"/>
    <w:rsid w:val="7D3E7419"/>
    <w:rsid w:val="7D4138B7"/>
    <w:rsid w:val="7D526CF1"/>
    <w:rsid w:val="7D5357DA"/>
    <w:rsid w:val="7D590D0C"/>
    <w:rsid w:val="7D5E40CD"/>
    <w:rsid w:val="7D68038D"/>
    <w:rsid w:val="7D6E179B"/>
    <w:rsid w:val="7D6F741B"/>
    <w:rsid w:val="7D73703A"/>
    <w:rsid w:val="7D835DA2"/>
    <w:rsid w:val="7D881E94"/>
    <w:rsid w:val="7D8A55E6"/>
    <w:rsid w:val="7D930953"/>
    <w:rsid w:val="7D987154"/>
    <w:rsid w:val="7DA15276"/>
    <w:rsid w:val="7DA31C7B"/>
    <w:rsid w:val="7DA43CB1"/>
    <w:rsid w:val="7DA94AB8"/>
    <w:rsid w:val="7DAC0A3B"/>
    <w:rsid w:val="7DAF0B03"/>
    <w:rsid w:val="7DB855C9"/>
    <w:rsid w:val="7DC12179"/>
    <w:rsid w:val="7DC25170"/>
    <w:rsid w:val="7DCD56F2"/>
    <w:rsid w:val="7DCE6771"/>
    <w:rsid w:val="7DD00954"/>
    <w:rsid w:val="7DD25D1B"/>
    <w:rsid w:val="7DD56596"/>
    <w:rsid w:val="7DD75163"/>
    <w:rsid w:val="7DD81BC4"/>
    <w:rsid w:val="7DDE289D"/>
    <w:rsid w:val="7DE74837"/>
    <w:rsid w:val="7DE75420"/>
    <w:rsid w:val="7DEC1F08"/>
    <w:rsid w:val="7DEF1E09"/>
    <w:rsid w:val="7DFC6DBF"/>
    <w:rsid w:val="7E0E7ACB"/>
    <w:rsid w:val="7E1C289A"/>
    <w:rsid w:val="7E1D06FE"/>
    <w:rsid w:val="7E1F7A35"/>
    <w:rsid w:val="7E265DEF"/>
    <w:rsid w:val="7E281352"/>
    <w:rsid w:val="7E3C0991"/>
    <w:rsid w:val="7E3F5964"/>
    <w:rsid w:val="7E41717E"/>
    <w:rsid w:val="7E442000"/>
    <w:rsid w:val="7E45224D"/>
    <w:rsid w:val="7E535F5E"/>
    <w:rsid w:val="7E5E25A9"/>
    <w:rsid w:val="7E686CBB"/>
    <w:rsid w:val="7E6974FF"/>
    <w:rsid w:val="7E7202C2"/>
    <w:rsid w:val="7E78072D"/>
    <w:rsid w:val="7E795863"/>
    <w:rsid w:val="7E800983"/>
    <w:rsid w:val="7E88721F"/>
    <w:rsid w:val="7E8E2E2A"/>
    <w:rsid w:val="7E94451E"/>
    <w:rsid w:val="7E947DDC"/>
    <w:rsid w:val="7EA7709C"/>
    <w:rsid w:val="7EA805EC"/>
    <w:rsid w:val="7EAD3B8F"/>
    <w:rsid w:val="7EAF6CB5"/>
    <w:rsid w:val="7EB048F6"/>
    <w:rsid w:val="7EB669BD"/>
    <w:rsid w:val="7EB75707"/>
    <w:rsid w:val="7EB93482"/>
    <w:rsid w:val="7EB97C47"/>
    <w:rsid w:val="7EBD4FA9"/>
    <w:rsid w:val="7EC37269"/>
    <w:rsid w:val="7ED472F2"/>
    <w:rsid w:val="7ED700CE"/>
    <w:rsid w:val="7ED9445D"/>
    <w:rsid w:val="7EDA6486"/>
    <w:rsid w:val="7EE245EF"/>
    <w:rsid w:val="7EEC2668"/>
    <w:rsid w:val="7EEC5D82"/>
    <w:rsid w:val="7F001080"/>
    <w:rsid w:val="7F001CE7"/>
    <w:rsid w:val="7F041ED9"/>
    <w:rsid w:val="7F0F38D1"/>
    <w:rsid w:val="7F147667"/>
    <w:rsid w:val="7F26327B"/>
    <w:rsid w:val="7F28430C"/>
    <w:rsid w:val="7F3A70FD"/>
    <w:rsid w:val="7F3C0615"/>
    <w:rsid w:val="7F494366"/>
    <w:rsid w:val="7F4A0F3C"/>
    <w:rsid w:val="7F5A611C"/>
    <w:rsid w:val="7F5B2AAD"/>
    <w:rsid w:val="7F607DBB"/>
    <w:rsid w:val="7F6110A0"/>
    <w:rsid w:val="7F695D89"/>
    <w:rsid w:val="7F75754E"/>
    <w:rsid w:val="7F762448"/>
    <w:rsid w:val="7F7C5A60"/>
    <w:rsid w:val="7F8F7270"/>
    <w:rsid w:val="7F904AAF"/>
    <w:rsid w:val="7F930807"/>
    <w:rsid w:val="7F9F508F"/>
    <w:rsid w:val="7FA36202"/>
    <w:rsid w:val="7FA66D04"/>
    <w:rsid w:val="7FAE7BC7"/>
    <w:rsid w:val="7FB032A1"/>
    <w:rsid w:val="7FB72333"/>
    <w:rsid w:val="7FBA5CE2"/>
    <w:rsid w:val="7FBB19BA"/>
    <w:rsid w:val="7FBC48A4"/>
    <w:rsid w:val="7FC068AF"/>
    <w:rsid w:val="7FCA3A95"/>
    <w:rsid w:val="7FD25A09"/>
    <w:rsid w:val="7FDD7A04"/>
    <w:rsid w:val="7FDE3AED"/>
    <w:rsid w:val="7FE16BCC"/>
    <w:rsid w:val="7FE47E50"/>
    <w:rsid w:val="7FE64F58"/>
    <w:rsid w:val="7FF43436"/>
    <w:rsid w:val="7FF82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qFormat="1" w:unhideWhenUsed="0" w:uiPriority="39"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qFormat="1"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unhideWhenUsed="0" w:uiPriority="0" w:semiHidden="0" w:name="Body Text First Indent 2" w:locked="1"/>
    <w:lsdException w:unhideWhenUsed="0" w:uiPriority="0" w:semiHidden="0" w:name="Note Heading" w:locked="1"/>
    <w:lsdException w:qFormat="1" w:uiPriority="0" w:semiHidden="0" w:name="Body Text 2" w:locked="1"/>
    <w:lsdException w:unhideWhenUsed="0" w:uiPriority="0" w:semiHidden="0" w:name="Body Text 3" w:locked="1"/>
    <w:lsdException w:unhideWhenUsed="0" w:uiPriority="0" w:semiHidden="0" w:name="Body Text Indent 2" w:locked="1"/>
    <w:lsdException w:qFormat="1" w:unhideWhenUsed="0" w:uiPriority="0" w:semiHidden="0" w:name="Body Text Indent 3" w:locked="1"/>
    <w:lsdException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ocked="1"/>
    <w:lsdException w:qFormat="1" w:unhideWhenUsed="0" w:uiPriority="0" w:semiHidden="0" w:name="HTML Code" w:locked="1"/>
    <w:lsdException w:qFormat="1" w:unhideWhenUsed="0" w:uiPriority="0" w:semiHidden="0" w:name="HTML Definition" w:locked="1"/>
    <w:lsdException w:qFormat="1" w:unhideWhenUsed="0" w:uiPriority="0" w:semiHidden="0" w:name="HTML Keyboard" w:locked="1"/>
    <w:lsdException w:qFormat="1" w:uiPriority="99" w:semiHidden="0" w:name="HTML Preformatted" w:locked="1"/>
    <w:lsdException w:qFormat="1" w:unhideWhenUsed="0" w:uiPriority="0" w:semiHidden="0" w:name="HTML Sample" w:locked="1"/>
    <w:lsdException w:unhideWhenUsed="0" w:uiPriority="0" w:semiHidden="0" w:name="HTML Typewriter" w:locked="1"/>
    <w:lsdException w:qFormat="1"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qFormat/>
    <w:locked/>
    <w:uiPriority w:val="0"/>
    <w:pPr>
      <w:keepNext/>
      <w:keepLines/>
      <w:spacing w:before="260" w:after="260" w:line="413" w:lineRule="auto"/>
      <w:outlineLvl w:val="1"/>
    </w:pPr>
    <w:rPr>
      <w:rFonts w:ascii="Arial" w:hAnsi="Arial" w:eastAsia="黑体"/>
      <w:b/>
      <w:sz w:val="32"/>
    </w:rPr>
  </w:style>
  <w:style w:type="paragraph" w:styleId="6">
    <w:name w:val="heading 3"/>
    <w:basedOn w:val="1"/>
    <w:next w:val="1"/>
    <w:semiHidden/>
    <w:unhideWhenUsed/>
    <w:qFormat/>
    <w:locked/>
    <w:uiPriority w:val="0"/>
    <w:pPr>
      <w:spacing w:beforeAutospacing="1" w:afterAutospacing="1"/>
      <w:jc w:val="left"/>
      <w:outlineLvl w:val="2"/>
    </w:pPr>
    <w:rPr>
      <w:rFonts w:hint="eastAsia" w:ascii="宋体" w:hAnsi="宋体"/>
      <w:b/>
      <w:bCs/>
      <w:kern w:val="0"/>
      <w:sz w:val="27"/>
      <w:szCs w:val="27"/>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50"/>
    <w:autoRedefine/>
    <w:qFormat/>
    <w:uiPriority w:val="99"/>
    <w:pPr>
      <w:tabs>
        <w:tab w:val="center" w:pos="4153"/>
        <w:tab w:val="right" w:pos="8306"/>
      </w:tabs>
      <w:snapToGrid w:val="0"/>
      <w:jc w:val="left"/>
    </w:pPr>
    <w:rPr>
      <w:kern w:val="0"/>
      <w:sz w:val="18"/>
      <w:szCs w:val="20"/>
    </w:rPr>
  </w:style>
  <w:style w:type="paragraph" w:styleId="3">
    <w:name w:val="macro"/>
    <w:qFormat/>
    <w:locked/>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200" w:firstLineChars="200"/>
    </w:pPr>
    <w:rPr>
      <w:rFonts w:ascii="Courier New" w:hAnsi="Courier New" w:eastAsia="宋体" w:cs="Times New Roman"/>
      <w:kern w:val="2"/>
      <w:sz w:val="24"/>
      <w:szCs w:val="24"/>
      <w:lang w:val="en-US" w:eastAsia="zh-CN" w:bidi="ar-SA"/>
    </w:rPr>
  </w:style>
  <w:style w:type="paragraph" w:styleId="7">
    <w:name w:val="Normal Indent"/>
    <w:basedOn w:val="1"/>
    <w:autoRedefine/>
    <w:qFormat/>
    <w:locked/>
    <w:uiPriority w:val="0"/>
    <w:pPr>
      <w:ind w:firstLine="420" w:firstLineChars="200"/>
    </w:pPr>
    <w:rPr>
      <w:rFonts w:cs="黑体"/>
    </w:rPr>
  </w:style>
  <w:style w:type="paragraph" w:styleId="8">
    <w:name w:val="caption"/>
    <w:basedOn w:val="1"/>
    <w:next w:val="1"/>
    <w:autoRedefine/>
    <w:qFormat/>
    <w:locked/>
    <w:uiPriority w:val="0"/>
    <w:pPr>
      <w:spacing w:before="152" w:after="160"/>
    </w:pPr>
    <w:rPr>
      <w:rFonts w:ascii="黑体" w:hAnsi="宋体" w:eastAsia="黑体" w:cs="Arial"/>
      <w:sz w:val="24"/>
    </w:rPr>
  </w:style>
  <w:style w:type="paragraph" w:styleId="9">
    <w:name w:val="Document Map"/>
    <w:basedOn w:val="1"/>
    <w:link w:val="130"/>
    <w:qFormat/>
    <w:locked/>
    <w:uiPriority w:val="0"/>
    <w:rPr>
      <w:rFonts w:ascii="宋体"/>
      <w:sz w:val="18"/>
      <w:szCs w:val="18"/>
    </w:rPr>
  </w:style>
  <w:style w:type="paragraph" w:styleId="10">
    <w:name w:val="annotation text"/>
    <w:basedOn w:val="1"/>
    <w:link w:val="46"/>
    <w:autoRedefine/>
    <w:semiHidden/>
    <w:qFormat/>
    <w:uiPriority w:val="0"/>
    <w:pPr>
      <w:jc w:val="left"/>
    </w:pPr>
    <w:rPr>
      <w:kern w:val="0"/>
      <w:sz w:val="24"/>
      <w:szCs w:val="20"/>
    </w:rPr>
  </w:style>
  <w:style w:type="paragraph" w:styleId="11">
    <w:name w:val="Body Text"/>
    <w:basedOn w:val="1"/>
    <w:next w:val="7"/>
    <w:link w:val="45"/>
    <w:autoRedefine/>
    <w:qFormat/>
    <w:uiPriority w:val="0"/>
    <w:pPr>
      <w:widowControl/>
      <w:snapToGrid w:val="0"/>
      <w:spacing w:before="60" w:after="160" w:line="259" w:lineRule="auto"/>
      <w:ind w:right="113"/>
    </w:pPr>
    <w:rPr>
      <w:kern w:val="0"/>
      <w:sz w:val="18"/>
      <w:szCs w:val="20"/>
    </w:rPr>
  </w:style>
  <w:style w:type="paragraph" w:styleId="12">
    <w:name w:val="Body Text Indent"/>
    <w:basedOn w:val="1"/>
    <w:link w:val="47"/>
    <w:autoRedefine/>
    <w:qFormat/>
    <w:uiPriority w:val="0"/>
    <w:pPr>
      <w:spacing w:after="120"/>
      <w:ind w:left="420" w:leftChars="200"/>
    </w:pPr>
    <w:rPr>
      <w:kern w:val="0"/>
      <w:sz w:val="24"/>
      <w:szCs w:val="20"/>
    </w:rPr>
  </w:style>
  <w:style w:type="paragraph" w:styleId="13">
    <w:name w:val="toc 5"/>
    <w:basedOn w:val="1"/>
    <w:next w:val="1"/>
    <w:autoRedefine/>
    <w:qFormat/>
    <w:locked/>
    <w:uiPriority w:val="39"/>
    <w:pPr>
      <w:ind w:left="960"/>
      <w:jc w:val="left"/>
    </w:pPr>
    <w:rPr>
      <w:rFonts w:ascii="Calibri" w:hAnsi="Calibri"/>
      <w:sz w:val="18"/>
      <w:szCs w:val="18"/>
    </w:rPr>
  </w:style>
  <w:style w:type="paragraph" w:styleId="14">
    <w:name w:val="Plain Text"/>
    <w:basedOn w:val="1"/>
    <w:next w:val="15"/>
    <w:autoRedefine/>
    <w:qFormat/>
    <w:locked/>
    <w:uiPriority w:val="0"/>
    <w:rPr>
      <w:rFonts w:ascii="宋体" w:hAnsi="Courier New" w:cs="Courier New"/>
    </w:rPr>
  </w:style>
  <w:style w:type="paragraph" w:styleId="15">
    <w:name w:val="toc 1"/>
    <w:basedOn w:val="1"/>
    <w:next w:val="1"/>
    <w:unhideWhenUsed/>
    <w:qFormat/>
    <w:locked/>
    <w:uiPriority w:val="0"/>
  </w:style>
  <w:style w:type="paragraph" w:styleId="16">
    <w:name w:val="List Bullet 5"/>
    <w:basedOn w:val="1"/>
    <w:autoRedefine/>
    <w:qFormat/>
    <w:locked/>
    <w:uiPriority w:val="0"/>
    <w:pPr>
      <w:numPr>
        <w:ilvl w:val="0"/>
        <w:numId w:val="1"/>
      </w:numPr>
    </w:pPr>
  </w:style>
  <w:style w:type="paragraph" w:styleId="17">
    <w:name w:val="Date"/>
    <w:basedOn w:val="1"/>
    <w:next w:val="1"/>
    <w:link w:val="48"/>
    <w:autoRedefine/>
    <w:qFormat/>
    <w:uiPriority w:val="0"/>
    <w:pPr>
      <w:ind w:left="100" w:leftChars="2500"/>
    </w:pPr>
    <w:rPr>
      <w:kern w:val="0"/>
      <w:sz w:val="24"/>
      <w:szCs w:val="20"/>
    </w:rPr>
  </w:style>
  <w:style w:type="paragraph" w:styleId="18">
    <w:name w:val="Balloon Text"/>
    <w:basedOn w:val="1"/>
    <w:link w:val="49"/>
    <w:autoRedefine/>
    <w:semiHidden/>
    <w:qFormat/>
    <w:uiPriority w:val="0"/>
    <w:rPr>
      <w:kern w:val="0"/>
      <w:sz w:val="18"/>
      <w:szCs w:val="20"/>
    </w:rPr>
  </w:style>
  <w:style w:type="paragraph" w:styleId="19">
    <w:name w:val="header"/>
    <w:basedOn w:val="1"/>
    <w:link w:val="51"/>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Body Text Indent 3"/>
    <w:basedOn w:val="1"/>
    <w:qFormat/>
    <w:locked/>
    <w:uiPriority w:val="0"/>
    <w:pPr>
      <w:spacing w:after="120"/>
      <w:ind w:left="420" w:leftChars="200"/>
    </w:pPr>
    <w:rPr>
      <w:sz w:val="16"/>
      <w:szCs w:val="16"/>
    </w:rPr>
  </w:style>
  <w:style w:type="paragraph" w:styleId="21">
    <w:name w:val="Body Text 2"/>
    <w:basedOn w:val="1"/>
    <w:unhideWhenUsed/>
    <w:qFormat/>
    <w:locked/>
    <w:uiPriority w:val="0"/>
    <w:pPr>
      <w:spacing w:after="120" w:line="480" w:lineRule="auto"/>
    </w:pPr>
  </w:style>
  <w:style w:type="paragraph" w:styleId="22">
    <w:name w:val="HTML Preformatted"/>
    <w:basedOn w:val="1"/>
    <w:unhideWhenUsed/>
    <w:qFormat/>
    <w:locked/>
    <w:uiPriority w:val="99"/>
    <w:pPr>
      <w:jc w:val="left"/>
    </w:pPr>
    <w:rPr>
      <w:rFonts w:ascii="PingFang SC" w:hAnsi="PingFang SC" w:cs="宋体"/>
      <w:kern w:val="0"/>
      <w:sz w:val="24"/>
    </w:rPr>
  </w:style>
  <w:style w:type="paragraph" w:styleId="23">
    <w:name w:val="Normal (Web)"/>
    <w:basedOn w:val="1"/>
    <w:link w:val="52"/>
    <w:autoRedefine/>
    <w:qFormat/>
    <w:uiPriority w:val="0"/>
    <w:pPr>
      <w:widowControl/>
      <w:spacing w:before="100" w:beforeAutospacing="1" w:after="100" w:afterAutospacing="1"/>
      <w:jc w:val="left"/>
    </w:pPr>
    <w:rPr>
      <w:rFonts w:ascii="宋体" w:hAnsi="宋体"/>
      <w:kern w:val="0"/>
      <w:sz w:val="24"/>
      <w:szCs w:val="20"/>
    </w:rPr>
  </w:style>
  <w:style w:type="paragraph" w:styleId="24">
    <w:name w:val="annotation subject"/>
    <w:basedOn w:val="10"/>
    <w:next w:val="10"/>
    <w:link w:val="53"/>
    <w:autoRedefine/>
    <w:semiHidden/>
    <w:qFormat/>
    <w:uiPriority w:val="0"/>
    <w:rPr>
      <w:b/>
      <w:kern w:val="2"/>
    </w:rPr>
  </w:style>
  <w:style w:type="paragraph" w:styleId="25">
    <w:name w:val="Body Text First Indent"/>
    <w:basedOn w:val="11"/>
    <w:next w:val="1"/>
    <w:autoRedefine/>
    <w:qFormat/>
    <w:locked/>
    <w:uiPriority w:val="0"/>
    <w:pPr>
      <w:ind w:firstLine="420" w:firstLineChars="100"/>
    </w:pPr>
  </w:style>
  <w:style w:type="table" w:styleId="27">
    <w:name w:val="Table Grid"/>
    <w:basedOn w:val="2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autoRedefine/>
    <w:qFormat/>
    <w:locked/>
    <w:uiPriority w:val="0"/>
    <w:rPr>
      <w:b/>
      <w:bCs/>
    </w:rPr>
  </w:style>
  <w:style w:type="character" w:styleId="30">
    <w:name w:val="page number"/>
    <w:basedOn w:val="28"/>
    <w:autoRedefine/>
    <w:qFormat/>
    <w:locked/>
    <w:uiPriority w:val="0"/>
  </w:style>
  <w:style w:type="character" w:styleId="31">
    <w:name w:val="FollowedHyperlink"/>
    <w:basedOn w:val="28"/>
    <w:autoRedefine/>
    <w:qFormat/>
    <w:locked/>
    <w:uiPriority w:val="0"/>
    <w:rPr>
      <w:color w:val="338DE6"/>
      <w:u w:val="none"/>
    </w:rPr>
  </w:style>
  <w:style w:type="character" w:styleId="32">
    <w:name w:val="Emphasis"/>
    <w:basedOn w:val="28"/>
    <w:autoRedefine/>
    <w:qFormat/>
    <w:locked/>
    <w:uiPriority w:val="0"/>
  </w:style>
  <w:style w:type="character" w:styleId="33">
    <w:name w:val="HTML Definition"/>
    <w:basedOn w:val="28"/>
    <w:autoRedefine/>
    <w:qFormat/>
    <w:locked/>
    <w:uiPriority w:val="0"/>
  </w:style>
  <w:style w:type="character" w:styleId="34">
    <w:name w:val="HTML Variable"/>
    <w:basedOn w:val="28"/>
    <w:autoRedefine/>
    <w:qFormat/>
    <w:locked/>
    <w:uiPriority w:val="0"/>
  </w:style>
  <w:style w:type="character" w:styleId="35">
    <w:name w:val="Hyperlink"/>
    <w:basedOn w:val="28"/>
    <w:autoRedefine/>
    <w:qFormat/>
    <w:locked/>
    <w:uiPriority w:val="0"/>
    <w:rPr>
      <w:color w:val="338DE6"/>
      <w:u w:val="none"/>
    </w:rPr>
  </w:style>
  <w:style w:type="character" w:styleId="36">
    <w:name w:val="HTML Code"/>
    <w:basedOn w:val="28"/>
    <w:autoRedefine/>
    <w:qFormat/>
    <w:locked/>
    <w:uiPriority w:val="0"/>
    <w:rPr>
      <w:rFonts w:hint="default" w:ascii="serif" w:hAnsi="serif" w:eastAsia="serif" w:cs="serif"/>
      <w:sz w:val="21"/>
      <w:szCs w:val="21"/>
    </w:rPr>
  </w:style>
  <w:style w:type="character" w:styleId="37">
    <w:name w:val="annotation reference"/>
    <w:basedOn w:val="28"/>
    <w:autoRedefine/>
    <w:semiHidden/>
    <w:qFormat/>
    <w:uiPriority w:val="0"/>
    <w:rPr>
      <w:sz w:val="21"/>
    </w:rPr>
  </w:style>
  <w:style w:type="character" w:styleId="38">
    <w:name w:val="HTML Cite"/>
    <w:basedOn w:val="28"/>
    <w:autoRedefine/>
    <w:qFormat/>
    <w:locked/>
    <w:uiPriority w:val="0"/>
  </w:style>
  <w:style w:type="character" w:styleId="39">
    <w:name w:val="HTML Keyboard"/>
    <w:basedOn w:val="28"/>
    <w:autoRedefine/>
    <w:qFormat/>
    <w:locked/>
    <w:uiPriority w:val="0"/>
    <w:rPr>
      <w:rFonts w:ascii="serif" w:hAnsi="serif" w:eastAsia="serif" w:cs="serif"/>
      <w:sz w:val="21"/>
      <w:szCs w:val="21"/>
    </w:rPr>
  </w:style>
  <w:style w:type="character" w:styleId="40">
    <w:name w:val="HTML Sample"/>
    <w:basedOn w:val="28"/>
    <w:autoRedefine/>
    <w:qFormat/>
    <w:locked/>
    <w:uiPriority w:val="0"/>
    <w:rPr>
      <w:rFonts w:hint="default" w:ascii="serif" w:hAnsi="serif" w:eastAsia="serif" w:cs="serif"/>
      <w:sz w:val="21"/>
      <w:szCs w:val="21"/>
      <w:shd w:val="clear" w:color="auto" w:fill="FFFFFF"/>
    </w:rPr>
  </w:style>
  <w:style w:type="paragraph" w:customStyle="1" w:styleId="41">
    <w:name w:val="xl27"/>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2">
    <w:name w:val="Default"/>
    <w:basedOn w:val="43"/>
    <w:next w:val="44"/>
    <w:autoRedefine/>
    <w:qFormat/>
    <w:uiPriority w:val="0"/>
    <w:pPr>
      <w:autoSpaceDE w:val="0"/>
      <w:autoSpaceDN w:val="0"/>
    </w:pPr>
    <w:rPr>
      <w:rFonts w:ascii="宋体" w:hAnsi="Times New Roman" w:cs="宋体"/>
      <w:color w:val="000000"/>
      <w:sz w:val="24"/>
      <w:szCs w:val="24"/>
    </w:rPr>
  </w:style>
  <w:style w:type="paragraph" w:customStyle="1" w:styleId="43">
    <w:name w:val="纯文本1"/>
    <w:basedOn w:val="1"/>
    <w:next w:val="1"/>
    <w:autoRedefine/>
    <w:qFormat/>
    <w:uiPriority w:val="0"/>
    <w:pPr>
      <w:adjustRightInd w:val="0"/>
    </w:pPr>
    <w:rPr>
      <w:rFonts w:hAnsi="Courier New"/>
      <w:szCs w:val="20"/>
    </w:rPr>
  </w:style>
  <w:style w:type="paragraph" w:customStyle="1" w:styleId="44">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character" w:customStyle="1" w:styleId="45">
    <w:name w:val="正文文本 字符"/>
    <w:link w:val="11"/>
    <w:autoRedefine/>
    <w:qFormat/>
    <w:locked/>
    <w:uiPriority w:val="0"/>
    <w:rPr>
      <w:sz w:val="18"/>
    </w:rPr>
  </w:style>
  <w:style w:type="character" w:customStyle="1" w:styleId="46">
    <w:name w:val="批注文字 字符"/>
    <w:link w:val="10"/>
    <w:autoRedefine/>
    <w:qFormat/>
    <w:locked/>
    <w:uiPriority w:val="0"/>
    <w:rPr>
      <w:rFonts w:ascii="Times New Roman" w:hAnsi="Times New Roman" w:eastAsia="宋体"/>
      <w:sz w:val="24"/>
    </w:rPr>
  </w:style>
  <w:style w:type="character" w:customStyle="1" w:styleId="47">
    <w:name w:val="正文文本缩进 字符"/>
    <w:link w:val="12"/>
    <w:autoRedefine/>
    <w:semiHidden/>
    <w:qFormat/>
    <w:locked/>
    <w:uiPriority w:val="0"/>
    <w:rPr>
      <w:rFonts w:ascii="Times New Roman" w:hAnsi="Times New Roman" w:eastAsia="宋体"/>
      <w:sz w:val="24"/>
    </w:rPr>
  </w:style>
  <w:style w:type="character" w:customStyle="1" w:styleId="48">
    <w:name w:val="日期 字符1"/>
    <w:link w:val="17"/>
    <w:autoRedefine/>
    <w:qFormat/>
    <w:locked/>
    <w:uiPriority w:val="0"/>
    <w:rPr>
      <w:rFonts w:ascii="Times New Roman" w:hAnsi="Times New Roman" w:eastAsia="宋体"/>
      <w:sz w:val="24"/>
    </w:rPr>
  </w:style>
  <w:style w:type="character" w:customStyle="1" w:styleId="49">
    <w:name w:val="批注框文本 字符"/>
    <w:link w:val="18"/>
    <w:autoRedefine/>
    <w:semiHidden/>
    <w:qFormat/>
    <w:locked/>
    <w:uiPriority w:val="0"/>
    <w:rPr>
      <w:rFonts w:ascii="Times New Roman" w:hAnsi="Times New Roman" w:eastAsia="宋体"/>
      <w:sz w:val="18"/>
    </w:rPr>
  </w:style>
  <w:style w:type="character" w:customStyle="1" w:styleId="50">
    <w:name w:val="页脚 字符1"/>
    <w:link w:val="2"/>
    <w:autoRedefine/>
    <w:qFormat/>
    <w:locked/>
    <w:uiPriority w:val="99"/>
    <w:rPr>
      <w:sz w:val="18"/>
    </w:rPr>
  </w:style>
  <w:style w:type="character" w:customStyle="1" w:styleId="51">
    <w:name w:val="页眉 字符"/>
    <w:link w:val="19"/>
    <w:autoRedefine/>
    <w:qFormat/>
    <w:locked/>
    <w:uiPriority w:val="0"/>
    <w:rPr>
      <w:sz w:val="18"/>
    </w:rPr>
  </w:style>
  <w:style w:type="character" w:customStyle="1" w:styleId="52">
    <w:name w:val="普通(网站) 字符"/>
    <w:link w:val="23"/>
    <w:autoRedefine/>
    <w:qFormat/>
    <w:locked/>
    <w:uiPriority w:val="0"/>
    <w:rPr>
      <w:rFonts w:ascii="宋体" w:hAnsi="宋体" w:eastAsia="宋体"/>
      <w:sz w:val="24"/>
    </w:rPr>
  </w:style>
  <w:style w:type="character" w:customStyle="1" w:styleId="53">
    <w:name w:val="批注主题 字符"/>
    <w:link w:val="24"/>
    <w:autoRedefine/>
    <w:semiHidden/>
    <w:qFormat/>
    <w:locked/>
    <w:uiPriority w:val="0"/>
    <w:rPr>
      <w:rFonts w:ascii="Times New Roman" w:hAnsi="Times New Roman" w:eastAsia="宋体"/>
      <w:b/>
      <w:kern w:val="2"/>
      <w:sz w:val="24"/>
    </w:rPr>
  </w:style>
  <w:style w:type="character" w:customStyle="1" w:styleId="54">
    <w:name w:val="页脚 字符"/>
    <w:basedOn w:val="28"/>
    <w:autoRedefine/>
    <w:qFormat/>
    <w:uiPriority w:val="99"/>
  </w:style>
  <w:style w:type="character" w:customStyle="1" w:styleId="55">
    <w:name w:val="正文文本 字符1"/>
    <w:autoRedefine/>
    <w:semiHidden/>
    <w:qFormat/>
    <w:uiPriority w:val="0"/>
    <w:rPr>
      <w:rFonts w:ascii="Times New Roman" w:hAnsi="Times New Roman" w:eastAsia="宋体"/>
      <w:sz w:val="24"/>
    </w:rPr>
  </w:style>
  <w:style w:type="character" w:customStyle="1" w:styleId="56">
    <w:name w:val="表格 Char"/>
    <w:link w:val="57"/>
    <w:autoRedefine/>
    <w:qFormat/>
    <w:locked/>
    <w:uiPriority w:val="0"/>
    <w:rPr>
      <w:rFonts w:ascii="宋体"/>
      <w:sz w:val="21"/>
    </w:rPr>
  </w:style>
  <w:style w:type="paragraph" w:customStyle="1" w:styleId="57">
    <w:name w:val="表格"/>
    <w:basedOn w:val="7"/>
    <w:link w:val="56"/>
    <w:autoRedefine/>
    <w:qFormat/>
    <w:uiPriority w:val="0"/>
    <w:pPr>
      <w:adjustRightInd w:val="0"/>
      <w:snapToGrid w:val="0"/>
      <w:spacing w:beforeLines="10" w:afterLines="10" w:line="259" w:lineRule="auto"/>
      <w:jc w:val="center"/>
    </w:pPr>
    <w:rPr>
      <w:rFonts w:ascii="宋体"/>
      <w:kern w:val="0"/>
      <w:szCs w:val="20"/>
    </w:rPr>
  </w:style>
  <w:style w:type="character" w:customStyle="1" w:styleId="58">
    <w:name w:val="日期 字符"/>
    <w:autoRedefine/>
    <w:semiHidden/>
    <w:qFormat/>
    <w:uiPriority w:val="0"/>
    <w:rPr>
      <w:rFonts w:ascii="Times New Roman" w:hAnsi="Times New Roman" w:eastAsia="宋体"/>
      <w:sz w:val="24"/>
    </w:rPr>
  </w:style>
  <w:style w:type="character" w:customStyle="1" w:styleId="59">
    <w:name w:val="批注文字 字符1"/>
    <w:autoRedefine/>
    <w:semiHidden/>
    <w:qFormat/>
    <w:uiPriority w:val="0"/>
    <w:rPr>
      <w:rFonts w:ascii="Times New Roman" w:hAnsi="Times New Roman" w:eastAsia="宋体"/>
      <w:sz w:val="24"/>
    </w:rPr>
  </w:style>
  <w:style w:type="paragraph" w:customStyle="1" w:styleId="60">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62">
    <w:name w:val="Table Paragraph"/>
    <w:basedOn w:val="1"/>
    <w:autoRedefine/>
    <w:qFormat/>
    <w:uiPriority w:val="0"/>
    <w:pPr>
      <w:jc w:val="left"/>
    </w:pPr>
    <w:rPr>
      <w:rFonts w:ascii="Calibri" w:hAnsi="Calibri"/>
      <w:kern w:val="0"/>
      <w:sz w:val="22"/>
      <w:szCs w:val="22"/>
    </w:rPr>
  </w:style>
  <w:style w:type="paragraph" w:customStyle="1" w:styleId="63">
    <w:name w:val="环评正文"/>
    <w:basedOn w:val="1"/>
    <w:autoRedefine/>
    <w:qFormat/>
    <w:uiPriority w:val="0"/>
    <w:pPr>
      <w:adjustRightInd w:val="0"/>
      <w:snapToGrid w:val="0"/>
      <w:spacing w:line="360" w:lineRule="auto"/>
      <w:ind w:firstLine="560" w:firstLineChars="200"/>
    </w:pPr>
    <w:rPr>
      <w:rFonts w:eastAsia="Times New Roman"/>
      <w:sz w:val="28"/>
    </w:rPr>
  </w:style>
  <w:style w:type="character" w:customStyle="1" w:styleId="64">
    <w:name w:val="fontborder"/>
    <w:basedOn w:val="28"/>
    <w:autoRedefine/>
    <w:qFormat/>
    <w:uiPriority w:val="0"/>
    <w:rPr>
      <w:bdr w:val="single" w:color="000000" w:sz="6" w:space="0"/>
    </w:rPr>
  </w:style>
  <w:style w:type="character" w:customStyle="1" w:styleId="65">
    <w:name w:val="fontstrikethrough"/>
    <w:basedOn w:val="28"/>
    <w:autoRedefine/>
    <w:qFormat/>
    <w:uiPriority w:val="0"/>
    <w:rPr>
      <w:strike/>
    </w:rPr>
  </w:style>
  <w:style w:type="character" w:customStyle="1" w:styleId="66">
    <w:name w:val="bds_more"/>
    <w:basedOn w:val="28"/>
    <w:autoRedefine/>
    <w:qFormat/>
    <w:uiPriority w:val="0"/>
    <w:rPr>
      <w:rFonts w:hint="eastAsia" w:ascii="宋体" w:hAnsi="宋体" w:eastAsia="宋体" w:cs="宋体"/>
    </w:rPr>
  </w:style>
  <w:style w:type="character" w:customStyle="1" w:styleId="67">
    <w:name w:val="bds_more1"/>
    <w:basedOn w:val="28"/>
    <w:autoRedefine/>
    <w:qFormat/>
    <w:uiPriority w:val="0"/>
    <w:rPr>
      <w:rFonts w:ascii="宋体 ! important" w:hAnsi="宋体 ! important" w:eastAsia="宋体 ! important" w:cs="宋体 ! important"/>
      <w:color w:val="454545"/>
      <w:sz w:val="21"/>
      <w:szCs w:val="21"/>
    </w:rPr>
  </w:style>
  <w:style w:type="character" w:customStyle="1" w:styleId="68">
    <w:name w:val="bds_more2"/>
    <w:basedOn w:val="28"/>
    <w:autoRedefine/>
    <w:qFormat/>
    <w:uiPriority w:val="0"/>
    <w:rPr>
      <w:rFonts w:hint="default" w:ascii="宋体 ! important" w:hAnsi="宋体 ! important" w:eastAsia="宋体 ! important" w:cs="宋体 ! important"/>
      <w:color w:val="454545"/>
      <w:sz w:val="18"/>
      <w:szCs w:val="18"/>
    </w:rPr>
  </w:style>
  <w:style w:type="character" w:customStyle="1" w:styleId="69">
    <w:name w:val="bds_nopic"/>
    <w:basedOn w:val="28"/>
    <w:autoRedefine/>
    <w:qFormat/>
    <w:uiPriority w:val="0"/>
  </w:style>
  <w:style w:type="character" w:customStyle="1" w:styleId="70">
    <w:name w:val="bds_nopic1"/>
    <w:basedOn w:val="28"/>
    <w:autoRedefine/>
    <w:qFormat/>
    <w:uiPriority w:val="0"/>
  </w:style>
  <w:style w:type="character" w:customStyle="1" w:styleId="71">
    <w:name w:val="bds_nopic2"/>
    <w:basedOn w:val="28"/>
    <w:autoRedefine/>
    <w:qFormat/>
    <w:uiPriority w:val="0"/>
  </w:style>
  <w:style w:type="paragraph" w:customStyle="1" w:styleId="72">
    <w:name w:val="正文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3">
    <w:name w:val="正文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74">
    <w:name w:val="pass-clearbtn-smsverifycode"/>
    <w:basedOn w:val="28"/>
    <w:autoRedefine/>
    <w:qFormat/>
    <w:uiPriority w:val="0"/>
  </w:style>
  <w:style w:type="character" w:customStyle="1" w:styleId="75">
    <w:name w:val="pass-placeholder-smsverifycode"/>
    <w:basedOn w:val="28"/>
    <w:autoRedefine/>
    <w:qFormat/>
    <w:uiPriority w:val="0"/>
  </w:style>
  <w:style w:type="character" w:customStyle="1" w:styleId="76">
    <w:name w:val="open"/>
    <w:basedOn w:val="28"/>
    <w:autoRedefine/>
    <w:qFormat/>
    <w:uiPriority w:val="0"/>
  </w:style>
  <w:style w:type="character" w:customStyle="1" w:styleId="77">
    <w:name w:val="pass-clearbtn-verifycode"/>
    <w:basedOn w:val="28"/>
    <w:autoRedefine/>
    <w:qFormat/>
    <w:uiPriority w:val="0"/>
  </w:style>
  <w:style w:type="character" w:customStyle="1" w:styleId="78">
    <w:name w:val="pass-placeholder2"/>
    <w:basedOn w:val="28"/>
    <w:autoRedefine/>
    <w:qFormat/>
    <w:uiPriority w:val="0"/>
  </w:style>
  <w:style w:type="character" w:customStyle="1" w:styleId="79">
    <w:name w:val="pass-item-timer2"/>
    <w:basedOn w:val="28"/>
    <w:autoRedefine/>
    <w:qFormat/>
    <w:uiPriority w:val="0"/>
  </w:style>
  <w:style w:type="character" w:customStyle="1" w:styleId="80">
    <w:name w:val="tang-pass-qrcode-list-gx"/>
    <w:basedOn w:val="28"/>
    <w:autoRedefine/>
    <w:qFormat/>
    <w:uiPriority w:val="0"/>
  </w:style>
  <w:style w:type="character" w:customStyle="1" w:styleId="81">
    <w:name w:val="pass-placeholder-smsphone"/>
    <w:basedOn w:val="28"/>
    <w:autoRedefine/>
    <w:qFormat/>
    <w:uiPriority w:val="0"/>
  </w:style>
  <w:style w:type="character" w:customStyle="1" w:styleId="82">
    <w:name w:val="pass-item-time-timing2"/>
    <w:basedOn w:val="28"/>
    <w:autoRedefine/>
    <w:qFormat/>
    <w:uiPriority w:val="0"/>
  </w:style>
  <w:style w:type="character" w:customStyle="1" w:styleId="83">
    <w:name w:val="tang-pass-qrcode-list-aq"/>
    <w:basedOn w:val="28"/>
    <w:autoRedefine/>
    <w:qFormat/>
    <w:uiPriority w:val="0"/>
  </w:style>
  <w:style w:type="character" w:customStyle="1" w:styleId="84">
    <w:name w:val="tang-pass-qrcode-list-bj"/>
    <w:basedOn w:val="28"/>
    <w:autoRedefine/>
    <w:qFormat/>
    <w:uiPriority w:val="0"/>
  </w:style>
  <w:style w:type="character" w:customStyle="1" w:styleId="85">
    <w:name w:val="cur1"/>
    <w:basedOn w:val="28"/>
    <w:autoRedefine/>
    <w:qFormat/>
    <w:uiPriority w:val="0"/>
    <w:rPr>
      <w:color w:val="FFFFFF"/>
      <w:shd w:val="clear" w:color="auto" w:fill="2F6B98"/>
    </w:rPr>
  </w:style>
  <w:style w:type="character" w:customStyle="1" w:styleId="86">
    <w:name w:val="lable"/>
    <w:basedOn w:val="28"/>
    <w:autoRedefine/>
    <w:qFormat/>
    <w:uiPriority w:val="0"/>
    <w:rPr>
      <w:sz w:val="24"/>
      <w:szCs w:val="24"/>
    </w:rPr>
  </w:style>
  <w:style w:type="character" w:customStyle="1" w:styleId="87">
    <w:name w:val="lishishuju"/>
    <w:basedOn w:val="28"/>
    <w:autoRedefine/>
    <w:qFormat/>
    <w:uiPriority w:val="0"/>
    <w:rPr>
      <w:b/>
      <w:bCs/>
      <w:color w:val="000052"/>
      <w:sz w:val="24"/>
      <w:szCs w:val="24"/>
      <w:bdr w:val="single" w:color="E3E3E3" w:sz="6" w:space="0"/>
    </w:rPr>
  </w:style>
  <w:style w:type="character" w:customStyle="1" w:styleId="88">
    <w:name w:val="radio-btn"/>
    <w:basedOn w:val="28"/>
    <w:autoRedefine/>
    <w:qFormat/>
    <w:uiPriority w:val="0"/>
    <w:rPr>
      <w:sz w:val="21"/>
      <w:szCs w:val="21"/>
    </w:rPr>
  </w:style>
  <w:style w:type="character" w:customStyle="1" w:styleId="89">
    <w:name w:val="radio-btn1"/>
    <w:basedOn w:val="28"/>
    <w:autoRedefine/>
    <w:qFormat/>
    <w:uiPriority w:val="0"/>
    <w:rPr>
      <w:sz w:val="24"/>
      <w:szCs w:val="24"/>
    </w:rPr>
  </w:style>
  <w:style w:type="character" w:customStyle="1" w:styleId="90">
    <w:name w:val="radio-btn2"/>
    <w:basedOn w:val="28"/>
    <w:autoRedefine/>
    <w:qFormat/>
    <w:uiPriority w:val="0"/>
    <w:rPr>
      <w:sz w:val="24"/>
      <w:szCs w:val="24"/>
    </w:rPr>
  </w:style>
  <w:style w:type="character" w:customStyle="1" w:styleId="91">
    <w:name w:val="znspantitle"/>
    <w:basedOn w:val="28"/>
    <w:autoRedefine/>
    <w:qFormat/>
    <w:uiPriority w:val="0"/>
    <w:rPr>
      <w:b/>
      <w:bCs/>
      <w:color w:val="333333"/>
    </w:rPr>
  </w:style>
  <w:style w:type="paragraph" w:customStyle="1" w:styleId="92">
    <w:name w:val="表格表头"/>
    <w:basedOn w:val="8"/>
    <w:autoRedefine/>
    <w:qFormat/>
    <w:uiPriority w:val="0"/>
    <w:pPr>
      <w:keepNext/>
    </w:pPr>
    <w:rPr>
      <w:rFonts w:ascii="Arial" w:hAnsi="Arial" w:cs="Times New Roman"/>
    </w:rPr>
  </w:style>
  <w:style w:type="paragraph" w:customStyle="1" w:styleId="93">
    <w:name w:val="正文内容"/>
    <w:basedOn w:val="1"/>
    <w:autoRedefine/>
    <w:qFormat/>
    <w:uiPriority w:val="0"/>
    <w:pPr>
      <w:spacing w:line="360" w:lineRule="auto"/>
      <w:ind w:firstLine="200" w:firstLineChars="200"/>
      <w:jc w:val="left"/>
    </w:pPr>
    <w:rPr>
      <w:sz w:val="24"/>
    </w:rPr>
  </w:style>
  <w:style w:type="character" w:customStyle="1" w:styleId="94">
    <w:name w:val="c-icon32"/>
    <w:basedOn w:val="28"/>
    <w:autoRedefine/>
    <w:qFormat/>
    <w:uiPriority w:val="0"/>
  </w:style>
  <w:style w:type="character" w:customStyle="1" w:styleId="95">
    <w:name w:val="hover29"/>
    <w:basedOn w:val="28"/>
    <w:autoRedefine/>
    <w:qFormat/>
    <w:uiPriority w:val="0"/>
    <w:rPr>
      <w:color w:val="315EFB"/>
    </w:rPr>
  </w:style>
  <w:style w:type="character" w:customStyle="1" w:styleId="96">
    <w:name w:val="hover30"/>
    <w:basedOn w:val="28"/>
    <w:autoRedefine/>
    <w:qFormat/>
    <w:uiPriority w:val="0"/>
  </w:style>
  <w:style w:type="paragraph" w:customStyle="1" w:styleId="97">
    <w:name w:val="正文2"/>
    <w:basedOn w:val="1"/>
    <w:autoRedefine/>
    <w:qFormat/>
    <w:uiPriority w:val="0"/>
    <w:pPr>
      <w:widowControl/>
      <w:tabs>
        <w:tab w:val="left" w:pos="900"/>
        <w:tab w:val="left" w:pos="1080"/>
      </w:tabs>
      <w:autoSpaceDE w:val="0"/>
      <w:autoSpaceDN w:val="0"/>
      <w:adjustRightInd w:val="0"/>
      <w:snapToGrid w:val="0"/>
      <w:spacing w:line="360" w:lineRule="auto"/>
      <w:ind w:firstLine="480" w:firstLineChars="200"/>
      <w:jc w:val="left"/>
    </w:pPr>
    <w:rPr>
      <w:kern w:val="0"/>
      <w:sz w:val="24"/>
    </w:rPr>
  </w:style>
  <w:style w:type="paragraph" w:customStyle="1" w:styleId="98">
    <w:name w:val="表格 32"/>
    <w:basedOn w:val="1"/>
    <w:autoRedefine/>
    <w:qFormat/>
    <w:uiPriority w:val="0"/>
    <w:pPr>
      <w:autoSpaceDE w:val="0"/>
      <w:autoSpaceDN w:val="0"/>
      <w:adjustRightInd w:val="0"/>
      <w:jc w:val="center"/>
      <w:textAlignment w:val="baseline"/>
    </w:pPr>
    <w:rPr>
      <w:rFonts w:ascii="宋体" w:hAnsi="Impact"/>
      <w:kern w:val="24"/>
      <w:sz w:val="24"/>
      <w:szCs w:val="20"/>
    </w:rPr>
  </w:style>
  <w:style w:type="paragraph" w:customStyle="1" w:styleId="99">
    <w:name w:val="表中正文字"/>
    <w:basedOn w:val="1"/>
    <w:autoRedefine/>
    <w:qFormat/>
    <w:uiPriority w:val="0"/>
    <w:pPr>
      <w:widowControl/>
      <w:jc w:val="center"/>
    </w:pPr>
    <w:rPr>
      <w:rFonts w:ascii="Calibri" w:hAnsi="Calibri"/>
      <w:szCs w:val="21"/>
    </w:rPr>
  </w:style>
  <w:style w:type="paragraph" w:customStyle="1" w:styleId="100">
    <w:name w:val="AA正文"/>
    <w:basedOn w:val="1"/>
    <w:autoRedefine/>
    <w:qFormat/>
    <w:uiPriority w:val="0"/>
    <w:pPr>
      <w:adjustRightInd w:val="0"/>
      <w:snapToGrid w:val="0"/>
      <w:spacing w:line="480" w:lineRule="exact"/>
      <w:ind w:firstLine="200" w:firstLineChars="200"/>
    </w:pPr>
  </w:style>
  <w:style w:type="character" w:customStyle="1" w:styleId="101">
    <w:name w:val="font51"/>
    <w:basedOn w:val="28"/>
    <w:autoRedefine/>
    <w:qFormat/>
    <w:uiPriority w:val="0"/>
    <w:rPr>
      <w:rFonts w:hint="default" w:ascii="Times New Roman" w:hAnsi="Times New Roman" w:cs="Times New Roman"/>
      <w:b/>
      <w:bCs/>
      <w:color w:val="000000"/>
      <w:sz w:val="21"/>
      <w:szCs w:val="21"/>
      <w:u w:val="none"/>
    </w:rPr>
  </w:style>
  <w:style w:type="paragraph" w:customStyle="1" w:styleId="102">
    <w:name w:val="p0"/>
    <w:basedOn w:val="1"/>
    <w:autoRedefine/>
    <w:qFormat/>
    <w:uiPriority w:val="0"/>
    <w:pPr>
      <w:widowControl/>
    </w:pPr>
    <w:rPr>
      <w:rFonts w:hint="eastAsia" w:ascii="宋体" w:hAnsi="宋体"/>
      <w:kern w:val="0"/>
      <w:szCs w:val="21"/>
    </w:rPr>
  </w:style>
  <w:style w:type="character" w:customStyle="1" w:styleId="103">
    <w:name w:val="16"/>
    <w:basedOn w:val="28"/>
    <w:autoRedefine/>
    <w:qFormat/>
    <w:uiPriority w:val="0"/>
    <w:rPr>
      <w:rFonts w:hint="default" w:ascii="Times New Roman" w:hAnsi="Times New Roman" w:cs="Times New Roman"/>
      <w:b/>
      <w:color w:val="000000"/>
      <w:sz w:val="21"/>
      <w:szCs w:val="21"/>
    </w:rPr>
  </w:style>
  <w:style w:type="character" w:customStyle="1" w:styleId="104">
    <w:name w:val="font31"/>
    <w:basedOn w:val="28"/>
    <w:autoRedefine/>
    <w:qFormat/>
    <w:uiPriority w:val="0"/>
    <w:rPr>
      <w:rFonts w:hint="default" w:ascii="Times New Roman" w:hAnsi="Times New Roman" w:cs="Times New Roman"/>
      <w:color w:val="000000"/>
      <w:sz w:val="18"/>
      <w:szCs w:val="18"/>
      <w:u w:val="none"/>
    </w:rPr>
  </w:style>
  <w:style w:type="character" w:customStyle="1" w:styleId="105">
    <w:name w:val="font21"/>
    <w:basedOn w:val="28"/>
    <w:autoRedefine/>
    <w:qFormat/>
    <w:uiPriority w:val="0"/>
    <w:rPr>
      <w:rFonts w:hint="eastAsia" w:ascii="宋体" w:hAnsi="宋体" w:eastAsia="宋体" w:cs="宋体"/>
      <w:color w:val="000000"/>
      <w:sz w:val="18"/>
      <w:szCs w:val="18"/>
      <w:u w:val="none"/>
    </w:rPr>
  </w:style>
  <w:style w:type="character" w:customStyle="1" w:styleId="106">
    <w:name w:val="font01"/>
    <w:basedOn w:val="28"/>
    <w:autoRedefine/>
    <w:qFormat/>
    <w:uiPriority w:val="0"/>
    <w:rPr>
      <w:rFonts w:hint="eastAsia" w:ascii="宋体" w:hAnsi="宋体" w:eastAsia="宋体" w:cs="宋体"/>
      <w:color w:val="000000"/>
      <w:sz w:val="18"/>
      <w:szCs w:val="18"/>
      <w:u w:val="none"/>
    </w:rPr>
  </w:style>
  <w:style w:type="character" w:customStyle="1" w:styleId="107">
    <w:name w:val="font41"/>
    <w:basedOn w:val="28"/>
    <w:autoRedefine/>
    <w:qFormat/>
    <w:uiPriority w:val="0"/>
    <w:rPr>
      <w:rFonts w:hint="default" w:ascii="Times New Roman" w:hAnsi="Times New Roman" w:cs="Times New Roman"/>
      <w:color w:val="000000"/>
      <w:sz w:val="18"/>
      <w:szCs w:val="18"/>
      <w:u w:val="none"/>
    </w:rPr>
  </w:style>
  <w:style w:type="paragraph" w:customStyle="1" w:styleId="108">
    <w:name w:val="正文4"/>
    <w:autoRedefine/>
    <w:qFormat/>
    <w:uiPriority w:val="0"/>
    <w:pPr>
      <w:jc w:val="both"/>
    </w:pPr>
    <w:rPr>
      <w:rFonts w:ascii="Calibri" w:hAnsi="Calibri" w:eastAsia="宋体" w:cs="Calibri"/>
      <w:kern w:val="2"/>
      <w:sz w:val="21"/>
      <w:szCs w:val="21"/>
      <w:lang w:val="en-US" w:eastAsia="zh-CN" w:bidi="ar-SA"/>
    </w:rPr>
  </w:style>
  <w:style w:type="character" w:customStyle="1" w:styleId="109">
    <w:name w:val="font11"/>
    <w:basedOn w:val="28"/>
    <w:autoRedefine/>
    <w:qFormat/>
    <w:uiPriority w:val="0"/>
    <w:rPr>
      <w:rFonts w:hint="default" w:ascii="Times New Roman" w:hAnsi="Times New Roman" w:cs="Times New Roman"/>
      <w:color w:val="000000"/>
      <w:sz w:val="21"/>
      <w:szCs w:val="21"/>
      <w:u w:val="none"/>
    </w:rPr>
  </w:style>
  <w:style w:type="paragraph" w:styleId="110">
    <w:name w:val="List Paragraph"/>
    <w:basedOn w:val="1"/>
    <w:autoRedefine/>
    <w:qFormat/>
    <w:uiPriority w:val="99"/>
    <w:pPr>
      <w:ind w:firstLine="420" w:firstLineChars="200"/>
    </w:pPr>
  </w:style>
  <w:style w:type="character" w:customStyle="1" w:styleId="111">
    <w:name w:val="15"/>
    <w:basedOn w:val="28"/>
    <w:autoRedefine/>
    <w:qFormat/>
    <w:uiPriority w:val="0"/>
    <w:rPr>
      <w:rFonts w:hint="default" w:ascii="Times New Roman" w:hAnsi="Times New Roman" w:cs="Times New Roman"/>
      <w:color w:val="595758"/>
    </w:rPr>
  </w:style>
  <w:style w:type="paragraph" w:customStyle="1" w:styleId="112">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113">
    <w:name w:val="环评表格"/>
    <w:basedOn w:val="1"/>
    <w:autoRedefine/>
    <w:qFormat/>
    <w:uiPriority w:val="0"/>
    <w:pPr>
      <w:adjustRightInd w:val="0"/>
      <w:snapToGrid w:val="0"/>
      <w:jc w:val="center"/>
    </w:pPr>
    <w:rPr>
      <w:kern w:val="0"/>
      <w:szCs w:val="20"/>
      <w:lang w:val="zh-CN"/>
    </w:rPr>
  </w:style>
  <w:style w:type="table" w:customStyle="1" w:styleId="114">
    <w:name w:val="报告书标准表格"/>
    <w:basedOn w:val="26"/>
    <w:autoRedefine/>
    <w:qFormat/>
    <w:uiPriority w:val="0"/>
    <w:pPr>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character" w:customStyle="1" w:styleId="115">
    <w:name w:val="fontstyle01"/>
    <w:autoRedefine/>
    <w:qFormat/>
    <w:uiPriority w:val="0"/>
    <w:rPr>
      <w:rFonts w:hint="eastAsia" w:ascii="宋体" w:hAnsi="宋体" w:eastAsia="宋体"/>
      <w:color w:val="000000"/>
      <w:sz w:val="24"/>
      <w:szCs w:val="24"/>
    </w:rPr>
  </w:style>
  <w:style w:type="paragraph" w:customStyle="1" w:styleId="116">
    <w:name w:val="正文 首行缩进:  2 字符"/>
    <w:basedOn w:val="1"/>
    <w:autoRedefine/>
    <w:qFormat/>
    <w:uiPriority w:val="0"/>
    <w:pPr>
      <w:suppressAutoHyphens/>
      <w:ind w:firstLine="579" w:firstLineChars="200"/>
    </w:pPr>
    <w:rPr>
      <w:rFonts w:cs="宋体"/>
      <w:kern w:val="1"/>
      <w:lang w:eastAsia="ar-SA"/>
    </w:rPr>
  </w:style>
  <w:style w:type="character" w:customStyle="1" w:styleId="117">
    <w:name w:val="17"/>
    <w:autoRedefine/>
    <w:qFormat/>
    <w:uiPriority w:val="0"/>
    <w:rPr>
      <w:rFonts w:hint="eastAsia" w:ascii="宋体" w:hAnsi="宋体" w:eastAsia="宋体"/>
      <w:b/>
      <w:bCs/>
      <w:color w:val="000000"/>
      <w:sz w:val="21"/>
      <w:szCs w:val="21"/>
    </w:rPr>
  </w:style>
  <w:style w:type="character" w:customStyle="1" w:styleId="118">
    <w:name w:val="font71"/>
    <w:basedOn w:val="28"/>
    <w:autoRedefine/>
    <w:qFormat/>
    <w:uiPriority w:val="0"/>
    <w:rPr>
      <w:rFonts w:hint="default" w:ascii="Times New Roman" w:hAnsi="Times New Roman" w:cs="Times New Roman"/>
      <w:b/>
      <w:bCs/>
      <w:color w:val="000000"/>
      <w:sz w:val="21"/>
      <w:szCs w:val="21"/>
      <w:u w:val="none"/>
    </w:rPr>
  </w:style>
  <w:style w:type="character" w:customStyle="1" w:styleId="119">
    <w:name w:val="font61"/>
    <w:basedOn w:val="28"/>
    <w:autoRedefine/>
    <w:qFormat/>
    <w:uiPriority w:val="0"/>
    <w:rPr>
      <w:rFonts w:hint="eastAsia" w:ascii="宋体" w:hAnsi="宋体" w:eastAsia="宋体" w:cs="宋体"/>
      <w:color w:val="000000"/>
      <w:sz w:val="21"/>
      <w:szCs w:val="21"/>
      <w:u w:val="single"/>
    </w:rPr>
  </w:style>
  <w:style w:type="character" w:customStyle="1" w:styleId="120">
    <w:name w:val="font81"/>
    <w:basedOn w:val="28"/>
    <w:autoRedefine/>
    <w:qFormat/>
    <w:uiPriority w:val="0"/>
    <w:rPr>
      <w:rFonts w:hint="default" w:ascii="Times New Roman" w:hAnsi="Times New Roman" w:cs="Times New Roman"/>
      <w:color w:val="000000"/>
      <w:sz w:val="21"/>
      <w:szCs w:val="21"/>
      <w:u w:val="single"/>
    </w:rPr>
  </w:style>
  <w:style w:type="paragraph" w:customStyle="1" w:styleId="121">
    <w:name w:val="表格字体段落"/>
    <w:basedOn w:val="1"/>
    <w:autoRedefine/>
    <w:qFormat/>
    <w:uiPriority w:val="0"/>
    <w:pPr>
      <w:adjustRightInd w:val="0"/>
      <w:snapToGrid w:val="0"/>
      <w:spacing w:line="240" w:lineRule="atLeast"/>
      <w:jc w:val="center"/>
      <w:outlineLvl w:val="8"/>
    </w:pPr>
    <w:rPr>
      <w:sz w:val="24"/>
    </w:rPr>
  </w:style>
  <w:style w:type="paragraph" w:customStyle="1" w:styleId="122">
    <w:name w:val="我的文本"/>
    <w:basedOn w:val="1"/>
    <w:qFormat/>
    <w:uiPriority w:val="0"/>
    <w:pPr>
      <w:spacing w:line="360" w:lineRule="auto"/>
      <w:ind w:firstLine="480" w:firstLineChars="200"/>
      <w:jc w:val="left"/>
    </w:pPr>
    <w:rPr>
      <w:rFonts w:ascii="宋体" w:hAnsi="宋体"/>
      <w:bCs/>
      <w:sz w:val="24"/>
    </w:rPr>
  </w:style>
  <w:style w:type="paragraph" w:customStyle="1" w:styleId="123">
    <w:name w:val="样式 表格 32 + 首行缩进:  2 字符"/>
    <w:basedOn w:val="1"/>
    <w:qFormat/>
    <w:uiPriority w:val="0"/>
    <w:pPr>
      <w:autoSpaceDE w:val="0"/>
      <w:autoSpaceDN w:val="0"/>
      <w:adjustRightInd w:val="0"/>
      <w:spacing w:line="0" w:lineRule="atLeast"/>
      <w:jc w:val="center"/>
      <w:textAlignment w:val="baseline"/>
    </w:pPr>
    <w:rPr>
      <w:kern w:val="0"/>
      <w:szCs w:val="21"/>
    </w:rPr>
  </w:style>
  <w:style w:type="paragraph" w:customStyle="1" w:styleId="124">
    <w:name w:val="样式1"/>
    <w:basedOn w:val="1"/>
    <w:qFormat/>
    <w:uiPriority w:val="0"/>
    <w:pPr>
      <w:widowControl/>
      <w:jc w:val="left"/>
    </w:pPr>
    <w:rPr>
      <w:rFonts w:ascii="Calibri" w:hAnsi="Calibri"/>
      <w:kern w:val="0"/>
      <w:sz w:val="28"/>
      <w:szCs w:val="22"/>
    </w:rPr>
  </w:style>
  <w:style w:type="paragraph" w:customStyle="1" w:styleId="125">
    <w:name w:val="_Style 2"/>
    <w:basedOn w:val="1"/>
    <w:qFormat/>
    <w:uiPriority w:val="0"/>
    <w:pPr>
      <w:ind w:firstLine="420" w:firstLineChars="200"/>
    </w:pPr>
  </w:style>
  <w:style w:type="paragraph" w:customStyle="1" w:styleId="126">
    <w:name w:val="!正文"/>
    <w:basedOn w:val="1"/>
    <w:next w:val="1"/>
    <w:qFormat/>
    <w:uiPriority w:val="0"/>
    <w:pPr>
      <w:spacing w:line="480" w:lineRule="exact"/>
      <w:ind w:firstLine="480"/>
    </w:pPr>
    <w:rPr>
      <w:rFonts w:ascii="Arial" w:hAnsi="Arial" w:cs="宋体"/>
    </w:rPr>
  </w:style>
  <w:style w:type="paragraph" w:customStyle="1" w:styleId="127">
    <w:name w:val="列出段落2"/>
    <w:basedOn w:val="1"/>
    <w:qFormat/>
    <w:uiPriority w:val="0"/>
    <w:pPr>
      <w:ind w:firstLine="420" w:firstLineChars="200"/>
    </w:pPr>
    <w:rPr>
      <w:rFonts w:ascii="等线" w:hAnsi="等线" w:eastAsia="等线"/>
    </w:rPr>
  </w:style>
  <w:style w:type="paragraph" w:customStyle="1" w:styleId="128">
    <w:name w:val="正文3"/>
    <w:qFormat/>
    <w:uiPriority w:val="0"/>
    <w:pPr>
      <w:jc w:val="both"/>
    </w:pPr>
    <w:rPr>
      <w:rFonts w:ascii="Times New Roman" w:hAnsi="Times New Roman" w:eastAsia="宋体" w:cs="Times New Roman"/>
      <w:kern w:val="2"/>
      <w:sz w:val="21"/>
      <w:szCs w:val="21"/>
      <w:lang w:val="en-US" w:eastAsia="zh-CN" w:bidi="ar-SA"/>
    </w:rPr>
  </w:style>
  <w:style w:type="paragraph" w:customStyle="1" w:styleId="129">
    <w:name w:val="段落正文"/>
    <w:basedOn w:val="1"/>
    <w:qFormat/>
    <w:uiPriority w:val="0"/>
    <w:pPr>
      <w:spacing w:line="360" w:lineRule="auto"/>
      <w:ind w:firstLine="1044" w:firstLineChars="200"/>
    </w:pPr>
    <w:rPr>
      <w:sz w:val="24"/>
    </w:rPr>
  </w:style>
  <w:style w:type="character" w:customStyle="1" w:styleId="130">
    <w:name w:val="文档结构图 字符"/>
    <w:link w:val="9"/>
    <w:qFormat/>
    <w:uiPriority w:val="0"/>
    <w:rPr>
      <w:rFonts w:ascii="宋体"/>
      <w:sz w:val="18"/>
      <w:szCs w:val="18"/>
    </w:rPr>
  </w:style>
  <w:style w:type="paragraph" w:customStyle="1" w:styleId="131">
    <w:name w:val="文本"/>
    <w:basedOn w:val="7"/>
    <w:qFormat/>
    <w:uiPriority w:val="0"/>
    <w:pPr>
      <w:widowControl/>
      <w:spacing w:line="480" w:lineRule="exact"/>
      <w:ind w:firstLine="480"/>
      <w:jc w:val="left"/>
    </w:pPr>
    <w:rPr>
      <w:rFonts w:ascii="宋体" w:hAnsi="宋体" w:cs="宋体"/>
      <w:kern w:val="0"/>
      <w:sz w:val="24"/>
      <w:szCs w:val="20"/>
    </w:rPr>
  </w:style>
  <w:style w:type="paragraph" w:customStyle="1" w:styleId="132">
    <w:name w:val="表题"/>
    <w:basedOn w:val="1"/>
    <w:qFormat/>
    <w:uiPriority w:val="0"/>
    <w:pPr>
      <w:autoSpaceDE w:val="0"/>
      <w:autoSpaceDN w:val="0"/>
      <w:adjustRightInd w:val="0"/>
      <w:snapToGrid w:val="0"/>
      <w:jc w:val="center"/>
    </w:pPr>
    <w:rPr>
      <w:b/>
      <w:bCs/>
      <w:kern w:val="0"/>
      <w:szCs w:val="21"/>
    </w:rPr>
  </w:style>
  <w:style w:type="paragraph" w:customStyle="1" w:styleId="133">
    <w:name w:val="表格文字"/>
    <w:basedOn w:val="14"/>
    <w:autoRedefine/>
    <w:qFormat/>
    <w:uiPriority w:val="0"/>
    <w:pPr>
      <w:tabs>
        <w:tab w:val="left" w:pos="-2848"/>
      </w:tabs>
      <w:wordWrap w:val="0"/>
      <w:autoSpaceDE w:val="0"/>
      <w:autoSpaceDN w:val="0"/>
      <w:jc w:val="center"/>
      <w:textAlignment w:val="center"/>
    </w:pPr>
    <w:rPr>
      <w:rFonts w:ascii="Times New Roman" w:hAnsi="Times New Roman" w:eastAsia="宋体" w:cs="Times New Roman"/>
      <w:position w:val="-10"/>
      <w:sz w:val="21"/>
      <w:szCs w:val="21"/>
      <w:lang w:val="en-US" w:eastAsia="zh-CN" w:bidi="ar-SA"/>
    </w:rPr>
  </w:style>
  <w:style w:type="paragraph" w:customStyle="1" w:styleId="134">
    <w:name w:val="表1"/>
    <w:basedOn w:val="1"/>
    <w:next w:val="57"/>
    <w:autoRedefine/>
    <w:qFormat/>
    <w:uiPriority w:val="0"/>
    <w:pPr>
      <w:numPr>
        <w:ilvl w:val="0"/>
        <w:numId w:val="2"/>
      </w:numPr>
      <w:spacing w:line="360" w:lineRule="auto"/>
      <w:ind w:firstLine="0" w:firstLineChars="0"/>
      <w:jc w:val="center"/>
    </w:pPr>
    <w:rPr>
      <w:b/>
      <w:sz w:val="24"/>
    </w:rPr>
  </w:style>
  <w:style w:type="paragraph" w:customStyle="1" w:styleId="135">
    <w:name w:val="正文正文"/>
    <w:basedOn w:val="1"/>
    <w:qFormat/>
    <w:uiPriority w:val="0"/>
    <w:pPr>
      <w:spacing w:line="360" w:lineRule="auto"/>
      <w:ind w:firstLine="42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5" Type="http://schemas.microsoft.com/office/2011/relationships/people" Target="people.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38.png"/><Relationship Id="rId50" Type="http://schemas.openxmlformats.org/officeDocument/2006/relationships/image" Target="media/image37.png"/><Relationship Id="rId5" Type="http://schemas.openxmlformats.org/officeDocument/2006/relationships/footer" Target="footer3.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footer" Target="footer2.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jpe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er" Target="foot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115</Pages>
  <Words>59405</Words>
  <Characters>70953</Characters>
  <Lines>393</Lines>
  <Paragraphs>110</Paragraphs>
  <TotalTime>0</TotalTime>
  <ScaleCrop>false</ScaleCrop>
  <LinksUpToDate>false</LinksUpToDate>
  <CharactersWithSpaces>71363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2026-01-26T03:19:00Z</dcterms:created>
  <dc:creator>lhj</dc:creator>
  <cp:lastModifiedBy>星辰明月</cp:lastModifiedBy>
  <cp:lastPrinted>2021-12-06T08:05:00Z</cp:lastPrinted>
  <dcterms:modified xsi:type="dcterms:W3CDTF">2026-07-23T03:51:58Z</dcterms:modified>
  <dc:title>附件2</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25F4D1AA3C9C407289C51CB185DD02D6</vt:lpwstr>
  </property>
  <property fmtid="{D5CDD505-2E9C-101B-9397-08002B2CF9AE}" pid="4" name="KSOTemplateDocerSaveRecord">
    <vt:lpwstr>eyJoZGlkIjoiZGUzNjY2NDU0MDcxZTFmMmYzNzQ3MzJlZGU0ODE4OTYiLCJ1c2VySWQiOiI4NDg1MjA3NzMifQ==</vt:lpwstr>
  </property>
</Properties>
</file>