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747E0">
      <w:pPr>
        <w:adjustRightInd w:val="0"/>
        <w:snapToGrid w:val="0"/>
        <w:rPr>
          <w:rFonts w:hint="eastAsia" w:eastAsia="仿宋_GB2312"/>
          <w:color w:val="auto"/>
          <w:sz w:val="36"/>
          <w:szCs w:val="36"/>
        </w:rPr>
      </w:pPr>
    </w:p>
    <w:p w14:paraId="33FC7062">
      <w:pPr>
        <w:adjustRightInd w:val="0"/>
        <w:snapToGrid w:val="0"/>
        <w:spacing w:line="288" w:lineRule="auto"/>
        <w:jc w:val="center"/>
        <w:rPr>
          <w:rFonts w:hint="eastAsia" w:eastAsia="仿宋_GB2312"/>
          <w:color w:val="auto"/>
          <w:sz w:val="36"/>
          <w:szCs w:val="36"/>
          <w:lang w:eastAsia="zh-CN"/>
        </w:rPr>
        <w:sectPr>
          <w:headerReference r:id="rId3" w:type="default"/>
          <w:footerReference r:id="rId4" w:type="default"/>
          <w:pgSz w:w="11906" w:h="16838"/>
          <w:pgMar w:top="1701" w:right="1531" w:bottom="1701" w:left="1531" w:header="851" w:footer="1077" w:gutter="0"/>
          <w:pgNumType w:start="3"/>
          <w:cols w:space="720" w:num="1"/>
          <w:docGrid w:linePitch="312" w:charSpace="0"/>
        </w:sectPr>
      </w:pPr>
      <w:r>
        <w:rPr>
          <w:rFonts w:hint="eastAsia" w:eastAsia="仿宋_GB2312"/>
          <w:color w:val="auto"/>
          <w:sz w:val="36"/>
          <w:szCs w:val="36"/>
          <w:lang w:eastAsia="zh-CN"/>
        </w:rPr>
        <w:drawing>
          <wp:inline distT="0" distB="0" distL="114300" distR="114300">
            <wp:extent cx="5610860" cy="7894955"/>
            <wp:effectExtent l="0" t="0" r="8890" b="10795"/>
            <wp:docPr id="124" name="图片 124" descr="e7b0f334-5626-47d2-8068-6db07efaf0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e7b0f334-5626-47d2-8068-6db07efaf0d5"/>
                    <pic:cNvPicPr>
                      <a:picLocks noChangeAspect="1"/>
                    </pic:cNvPicPr>
                  </pic:nvPicPr>
                  <pic:blipFill>
                    <a:blip r:embed="rId12"/>
                    <a:stretch>
                      <a:fillRect/>
                    </a:stretch>
                  </pic:blipFill>
                  <pic:spPr>
                    <a:xfrm>
                      <a:off x="0" y="0"/>
                      <a:ext cx="5610860" cy="7894955"/>
                    </a:xfrm>
                    <a:prstGeom prst="rect">
                      <a:avLst/>
                    </a:prstGeom>
                  </pic:spPr>
                </pic:pic>
              </a:graphicData>
            </a:graphic>
          </wp:inline>
        </w:drawing>
      </w:r>
      <w:r>
        <w:rPr>
          <w:rFonts w:hint="eastAsia" w:eastAsia="仿宋_GB2312"/>
          <w:color w:val="auto"/>
          <w:sz w:val="36"/>
          <w:szCs w:val="36"/>
          <w:lang w:eastAsia="zh-CN"/>
        </w:rPr>
        <w:drawing>
          <wp:inline distT="0" distB="0" distL="114300" distR="114300">
            <wp:extent cx="5474335" cy="7700010"/>
            <wp:effectExtent l="0" t="0" r="12065" b="15240"/>
            <wp:docPr id="122" name="图片 122" descr="f508dc61-4cdb-4e78-8de4-d588902e85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f508dc61-4cdb-4e78-8de4-d588902e85d7"/>
                    <pic:cNvPicPr>
                      <a:picLocks noChangeAspect="1"/>
                    </pic:cNvPicPr>
                  </pic:nvPicPr>
                  <pic:blipFill>
                    <a:blip r:embed="rId13"/>
                    <a:stretch>
                      <a:fillRect/>
                    </a:stretch>
                  </pic:blipFill>
                  <pic:spPr>
                    <a:xfrm>
                      <a:off x="0" y="0"/>
                      <a:ext cx="5474335" cy="7700010"/>
                    </a:xfrm>
                    <a:prstGeom prst="rect">
                      <a:avLst/>
                    </a:prstGeom>
                  </pic:spPr>
                </pic:pic>
              </a:graphicData>
            </a:graphic>
          </wp:inline>
        </w:drawing>
      </w:r>
      <w:r>
        <w:rPr>
          <w:rFonts w:hint="eastAsia" w:eastAsia="仿宋_GB2312"/>
          <w:color w:val="auto"/>
          <w:sz w:val="36"/>
          <w:szCs w:val="36"/>
          <w:lang w:eastAsia="zh-CN"/>
        </w:rPr>
        <w:drawing>
          <wp:inline distT="0" distB="0" distL="114300" distR="114300">
            <wp:extent cx="5593080" cy="7908290"/>
            <wp:effectExtent l="0" t="0" r="7620" b="16510"/>
            <wp:docPr id="117" name="图片 117" descr="2026073016520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20260730165201_01"/>
                    <pic:cNvPicPr>
                      <a:picLocks noChangeAspect="1"/>
                    </pic:cNvPicPr>
                  </pic:nvPicPr>
                  <pic:blipFill>
                    <a:blip r:embed="rId14"/>
                    <a:stretch>
                      <a:fillRect/>
                    </a:stretch>
                  </pic:blipFill>
                  <pic:spPr>
                    <a:xfrm>
                      <a:off x="0" y="0"/>
                      <a:ext cx="5593080" cy="7908290"/>
                    </a:xfrm>
                    <a:prstGeom prst="rect">
                      <a:avLst/>
                    </a:prstGeom>
                  </pic:spPr>
                </pic:pic>
              </a:graphicData>
            </a:graphic>
          </wp:inline>
        </w:drawing>
      </w:r>
      <w:r>
        <w:rPr>
          <w:rFonts w:hint="eastAsia" w:eastAsia="仿宋_GB2312"/>
          <w:color w:val="auto"/>
          <w:sz w:val="36"/>
          <w:szCs w:val="36"/>
          <w:lang w:eastAsia="zh-CN"/>
        </w:rPr>
        <w:drawing>
          <wp:inline distT="0" distB="0" distL="114300" distR="114300">
            <wp:extent cx="5057775" cy="7181850"/>
            <wp:effectExtent l="0" t="0" r="9525" b="0"/>
            <wp:docPr id="81" name="图片 81" descr="b441f935-4bf1-4462-ab58-6ea07dc01a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b441f935-4bf1-4462-ab58-6ea07dc01a97"/>
                    <pic:cNvPicPr>
                      <a:picLocks noChangeAspect="1"/>
                    </pic:cNvPicPr>
                  </pic:nvPicPr>
                  <pic:blipFill>
                    <a:blip r:embed="rId15"/>
                    <a:stretch>
                      <a:fillRect/>
                    </a:stretch>
                  </pic:blipFill>
                  <pic:spPr>
                    <a:xfrm>
                      <a:off x="0" y="0"/>
                      <a:ext cx="5057775" cy="7181850"/>
                    </a:xfrm>
                    <a:prstGeom prst="rect">
                      <a:avLst/>
                    </a:prstGeom>
                  </pic:spPr>
                </pic:pic>
              </a:graphicData>
            </a:graphic>
          </wp:inline>
        </w:drawing>
      </w:r>
      <w:r>
        <w:rPr>
          <w:rFonts w:hint="eastAsia" w:eastAsia="仿宋_GB2312"/>
          <w:color w:val="auto"/>
          <w:sz w:val="36"/>
          <w:szCs w:val="36"/>
          <w:lang w:eastAsia="zh-CN"/>
        </w:rPr>
        <w:drawing>
          <wp:inline distT="0" distB="0" distL="114300" distR="114300">
            <wp:extent cx="5143500" cy="7181850"/>
            <wp:effectExtent l="0" t="0" r="0" b="0"/>
            <wp:docPr id="82" name="图片 82" descr="c323c0a9-1c53-4144-b22d-fb6450478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c323c0a9-1c53-4144-b22d-fb6450478962"/>
                    <pic:cNvPicPr>
                      <a:picLocks noChangeAspect="1"/>
                    </pic:cNvPicPr>
                  </pic:nvPicPr>
                  <pic:blipFill>
                    <a:blip r:embed="rId16"/>
                    <a:stretch>
                      <a:fillRect/>
                    </a:stretch>
                  </pic:blipFill>
                  <pic:spPr>
                    <a:xfrm>
                      <a:off x="0" y="0"/>
                      <a:ext cx="5143500" cy="7181850"/>
                    </a:xfrm>
                    <a:prstGeom prst="rect">
                      <a:avLst/>
                    </a:prstGeom>
                  </pic:spPr>
                </pic:pic>
              </a:graphicData>
            </a:graphic>
          </wp:inline>
        </w:drawing>
      </w:r>
      <w:bookmarkStart w:id="236" w:name="_GoBack"/>
      <w:bookmarkEnd w:id="236"/>
      <w:r>
        <w:rPr>
          <w:rFonts w:hint="eastAsia" w:eastAsia="仿宋_GB2312"/>
          <w:color w:val="auto"/>
          <w:sz w:val="36"/>
          <w:szCs w:val="36"/>
          <w:lang w:eastAsia="zh-CN"/>
        </w:rPr>
        <w:drawing>
          <wp:inline distT="0" distB="0" distL="114300" distR="114300">
            <wp:extent cx="5593080" cy="7908290"/>
            <wp:effectExtent l="0" t="0" r="7620" b="16510"/>
            <wp:docPr id="27" name="图片 27" descr="2026073016520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0260730165201_04"/>
                    <pic:cNvPicPr>
                      <a:picLocks noChangeAspect="1"/>
                    </pic:cNvPicPr>
                  </pic:nvPicPr>
                  <pic:blipFill>
                    <a:blip r:embed="rId17"/>
                    <a:stretch>
                      <a:fillRect/>
                    </a:stretch>
                  </pic:blipFill>
                  <pic:spPr>
                    <a:xfrm>
                      <a:off x="0" y="0"/>
                      <a:ext cx="5593080" cy="7908290"/>
                    </a:xfrm>
                    <a:prstGeom prst="rect">
                      <a:avLst/>
                    </a:prstGeom>
                  </pic:spPr>
                </pic:pic>
              </a:graphicData>
            </a:graphic>
          </wp:inline>
        </w:drawing>
      </w:r>
    </w:p>
    <w:sdt>
      <w:sdtPr>
        <w:rPr>
          <w:color w:val="auto"/>
          <w:sz w:val="24"/>
        </w:rPr>
        <w:id w:val="147467698"/>
        <w15:color w:val="DBDBDB"/>
        <w:docPartObj>
          <w:docPartGallery w:val="Table of Contents"/>
          <w:docPartUnique/>
        </w:docPartObj>
      </w:sdtPr>
      <w:sdtEndPr>
        <w:rPr>
          <w:snapToGrid w:val="0"/>
          <w:color w:val="auto"/>
          <w:sz w:val="24"/>
        </w:rPr>
      </w:sdtEndPr>
      <w:sdtContent>
        <w:p w14:paraId="7CE758FB">
          <w:pPr>
            <w:adjustRightInd w:val="0"/>
            <w:snapToGrid w:val="0"/>
            <w:jc w:val="center"/>
            <w:rPr>
              <w:rFonts w:hint="default" w:ascii="Times New Roman" w:hAnsi="Times New Roman" w:eastAsia="宋体" w:cs="Times New Roman"/>
              <w:color w:val="auto"/>
              <w:sz w:val="24"/>
              <w:szCs w:val="24"/>
            </w:rPr>
          </w:pPr>
          <w:bookmarkStart w:id="0" w:name="_Toc26858_WPSOffice_Level1"/>
          <w:bookmarkStart w:id="1" w:name="_Toc17284_WPSOffice_Level1"/>
          <w:bookmarkStart w:id="2" w:name="_Toc1255_WPSOffice_Level1"/>
          <w:bookmarkStart w:id="3" w:name="_Toc4963_WPSOffice_Level1"/>
          <w:r>
            <w:rPr>
              <w:rFonts w:hint="default" w:ascii="Times New Roman" w:hAnsi="Times New Roman" w:eastAsia="宋体" w:cs="Times New Roman"/>
              <w:color w:val="auto"/>
              <w:sz w:val="24"/>
              <w:szCs w:val="24"/>
            </w:rPr>
            <w:t>目录</w:t>
          </w: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TOC \o "1-1" \h \u </w:instrText>
          </w:r>
          <w:r>
            <w:rPr>
              <w:rFonts w:hint="default" w:ascii="Times New Roman" w:hAnsi="Times New Roman" w:eastAsia="宋体" w:cs="Times New Roman"/>
              <w:snapToGrid w:val="0"/>
              <w:color w:val="auto"/>
              <w:sz w:val="24"/>
              <w:szCs w:val="24"/>
            </w:rPr>
            <w:fldChar w:fldCharType="separate"/>
          </w:r>
        </w:p>
        <w:p w14:paraId="12D2801D">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_Toc6975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snapToGrid w:val="0"/>
              <w:color w:val="auto"/>
              <w:sz w:val="24"/>
              <w:szCs w:val="24"/>
            </w:rPr>
            <w:t>一、建设项目基本情况</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_Toc6975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3F6FCB9D">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_Toc11879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snapToGrid w:val="0"/>
              <w:color w:val="auto"/>
              <w:sz w:val="24"/>
              <w:szCs w:val="24"/>
            </w:rPr>
            <w:t>二、建设项目工程分析</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_Toc11879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28</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701487CD">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_Toc21644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snapToGrid w:val="0"/>
              <w:color w:val="auto"/>
              <w:sz w:val="24"/>
              <w:szCs w:val="24"/>
            </w:rPr>
            <w:t>三、区域环境质量现状、环境保护目标及评价标准</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_Toc21644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36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2B736D9A">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_Toc10483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snapToGrid w:val="0"/>
              <w:color w:val="auto"/>
              <w:sz w:val="24"/>
              <w:szCs w:val="24"/>
            </w:rPr>
            <w:t>四、主要环境影响和保护措施</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_Toc10483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0FD5F75A">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_Toc26154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snapToGrid w:val="0"/>
              <w:color w:val="auto"/>
              <w:sz w:val="24"/>
              <w:szCs w:val="24"/>
            </w:rPr>
            <w:t>五、环境保护措施监督检查清单</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_Toc26154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68</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15856594">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_Toc378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snapToGrid w:val="0"/>
              <w:color w:val="auto"/>
              <w:sz w:val="24"/>
              <w:szCs w:val="24"/>
            </w:rPr>
            <w:t>六、结论</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_Toc378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0F4EE182">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_Toc32676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snapToGrid w:val="0"/>
              <w:color w:val="auto"/>
              <w:sz w:val="24"/>
              <w:szCs w:val="24"/>
            </w:rPr>
            <w:t>附表</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_Toc32676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15ED9009">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_Toc24100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snapToGrid w:val="0"/>
              <w:color w:val="auto"/>
              <w:sz w:val="24"/>
              <w:szCs w:val="24"/>
            </w:rPr>
            <w:t>建设项目污染物排放量汇总表</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_Toc24100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109934D1">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_Toc30937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color w:val="auto"/>
              <w:sz w:val="24"/>
              <w:szCs w:val="24"/>
            </w:rPr>
            <w:t>附件1 用地文件</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_Toc30937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72</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0C8E0599">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_Toc654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附件2 建设单位营业执照</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_Toc654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3173C7B0">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_Toc8870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附件3 项目备案证</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_Toc8870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77</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57BF97E5">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_Toc27304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附件4 工作委托书</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_Toc27304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78</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6CD41F0B">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_Toc13711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附件</w:t>
          </w:r>
          <w:r>
            <w:rPr>
              <w:rFonts w:hint="eastAsia" w:cs="Times New Roman"/>
              <w:bCs/>
              <w:color w:val="auto"/>
              <w:sz w:val="24"/>
              <w:szCs w:val="24"/>
              <w:lang w:val="en-US" w:eastAsia="zh-CN"/>
            </w:rPr>
            <w:t>5</w:t>
          </w:r>
          <w:r>
            <w:rPr>
              <w:rFonts w:hint="default" w:ascii="Times New Roman" w:hAnsi="Times New Roman" w:eastAsia="宋体" w:cs="Times New Roman"/>
              <w:bCs/>
              <w:color w:val="auto"/>
              <w:sz w:val="24"/>
              <w:szCs w:val="24"/>
            </w:rPr>
            <w:t xml:space="preserve"> </w:t>
          </w:r>
          <w:r>
            <w:rPr>
              <w:rFonts w:hint="default" w:ascii="Times New Roman" w:hAnsi="Times New Roman" w:eastAsia="宋体" w:cs="Times New Roman"/>
              <w:bCs/>
              <w:color w:val="auto"/>
              <w:sz w:val="24"/>
              <w:szCs w:val="24"/>
              <w:lang w:val="en-US" w:eastAsia="zh-CN"/>
            </w:rPr>
            <w:t>原辅料MSDS</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_Toc13711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79</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60ADAF7D">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_Toc10230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附件</w:t>
          </w:r>
          <w:r>
            <w:rPr>
              <w:rFonts w:hint="eastAsia" w:cs="Times New Roman"/>
              <w:bCs/>
              <w:color w:val="auto"/>
              <w:sz w:val="24"/>
              <w:szCs w:val="24"/>
              <w:lang w:val="en-US" w:eastAsia="zh-CN"/>
            </w:rPr>
            <w:t>6</w:t>
          </w:r>
          <w:r>
            <w:rPr>
              <w:rFonts w:hint="default" w:ascii="Times New Roman" w:hAnsi="Times New Roman" w:eastAsia="宋体" w:cs="Times New Roman"/>
              <w:bCs/>
              <w:color w:val="auto"/>
              <w:sz w:val="24"/>
              <w:szCs w:val="24"/>
            </w:rPr>
            <w:t xml:space="preserve"> </w:t>
          </w:r>
          <w:r>
            <w:rPr>
              <w:rFonts w:hint="default" w:ascii="Times New Roman" w:hAnsi="Times New Roman" w:eastAsia="宋体" w:cs="Times New Roman"/>
              <w:bCs/>
              <w:color w:val="auto"/>
              <w:sz w:val="24"/>
              <w:szCs w:val="24"/>
              <w:lang w:val="en-US" w:eastAsia="zh-CN"/>
            </w:rPr>
            <w:t>同类项目验收监测数据</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_Toc10230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88</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20182D8E">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_Toc31747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附件</w:t>
          </w:r>
          <w:r>
            <w:rPr>
              <w:rFonts w:hint="eastAsia" w:cs="Times New Roman"/>
              <w:bCs/>
              <w:color w:val="auto"/>
              <w:sz w:val="24"/>
              <w:szCs w:val="24"/>
              <w:lang w:val="en-US" w:eastAsia="zh-CN"/>
            </w:rPr>
            <w:t xml:space="preserve">7 </w:t>
          </w:r>
          <w:r>
            <w:rPr>
              <w:rFonts w:hint="default" w:ascii="Times New Roman" w:hAnsi="Times New Roman" w:eastAsia="宋体" w:cs="Times New Roman"/>
              <w:bCs/>
              <w:color w:val="auto"/>
              <w:sz w:val="24"/>
              <w:szCs w:val="24"/>
              <w:lang w:val="en-US" w:eastAsia="zh-CN"/>
            </w:rPr>
            <w:t>乐昌市应急管理局选址意见</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_Toc31747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96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3E8B78C0">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_Toc11589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附图1  地理位置图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_Toc11589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97</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161ECECB">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_Toc17329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附图2  项目四至图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_Toc17329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98</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669C7DFF">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_Toc10886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附图3 项目位于园区位置图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_Toc10886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99</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0B26B46B">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_Toc15788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附图4  项目环境保护目标分布图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_Toc15788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100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363CDA20">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_Toc7032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附图5  本项目厂房平面布置示意图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_Toc7032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101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39D24B23">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_Toc12744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附图6 韶关市环境管控单元与本项目位置关系图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_Toc12744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102</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7AFFE6C4">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_Toc16236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附图7 广东省“三线一单”管控单元图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_Toc16236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103</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494E74E3">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_Toc17845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附图8 广东省生态环境分区管控信息平台-陆域环境管控单元截图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_Toc17845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104</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084A4A60">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_Toc619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附图9 广东省生态环境分区管控信息平台-水环境一般管控区单元截图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_Toc619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105</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5FAE34F4">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_Toc1547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附图10 广东省生态环境分区管控信息平台-大气环境高排放重点管控区截图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_Toc1547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106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03F098AF">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_Toc5268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附图11 广东省生态环境分区管控信息平台-乐昌市高污染燃料禁燃区截图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_Toc5268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107</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16015FD1">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_Toc2219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附图12 广东省生态环境分区管控信息平台-生态空间一般管控区截图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_Toc2219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108</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3A904282">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_Toc18818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附图13 乐昌市国土空间总体规划（2021-2035年）</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_Toc18818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109</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5A3070B4">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_Toc31512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附图14 乐昌市中心城区声环境功能区划图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_Toc31512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110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13506B56">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_Toc26546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附图15 水环境功能区划图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_Toc26546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111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28331EFE">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_Toc17598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附图16韶关市大气环境功能区划图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_Toc17598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112</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46FCB3D9">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_Toc4161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附图17 韶关市生态保护红线分布图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_Toc4161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113</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4CFFE9CC">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_Toc25657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附图18 韶关市自然保护地分布图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_Toc25657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114</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4A86E19B">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_Toc27003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附图19 韶关市城镇集中式饮用水源地分布图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_Toc27003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115</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1400FD0A">
          <w:pPr>
            <w:pStyle w:val="23"/>
            <w:tabs>
              <w:tab w:val="right" w:leader="dot" w:pos="8844"/>
            </w:tabs>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sz w:val="24"/>
              <w:szCs w:val="24"/>
            </w:rPr>
            <w:fldChar w:fldCharType="begin"/>
          </w:r>
          <w:r>
            <w:rPr>
              <w:rFonts w:hint="default" w:ascii="Times New Roman" w:hAnsi="Times New Roman" w:eastAsia="宋体" w:cs="Times New Roman"/>
              <w:snapToGrid w:val="0"/>
              <w:color w:val="auto"/>
              <w:sz w:val="24"/>
              <w:szCs w:val="24"/>
            </w:rPr>
            <w:instrText xml:space="preserve"> HYPERLINK \l _Toc10273 </w:instrText>
          </w:r>
          <w:r>
            <w:rPr>
              <w:rFonts w:hint="default" w:ascii="Times New Roman" w:hAnsi="Times New Roman" w:eastAsia="宋体" w:cs="Times New Roman"/>
              <w:snapToGrid w:val="0"/>
              <w:color w:val="auto"/>
              <w:sz w:val="24"/>
              <w:szCs w:val="24"/>
            </w:rPr>
            <w:fldChar w:fldCharType="separate"/>
          </w:r>
          <w:r>
            <w:rPr>
              <w:rFonts w:hint="default" w:ascii="Times New Roman" w:hAnsi="Times New Roman" w:eastAsia="宋体" w:cs="Times New Roman"/>
              <w:bCs/>
              <w:color w:val="auto"/>
              <w:sz w:val="24"/>
              <w:szCs w:val="24"/>
            </w:rPr>
            <w:t>附图20 项目与广东省“三区三线”位置关系图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_Toc10273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116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snapToGrid w:val="0"/>
              <w:color w:val="auto"/>
              <w:sz w:val="24"/>
              <w:szCs w:val="24"/>
            </w:rPr>
            <w:fldChar w:fldCharType="end"/>
          </w:r>
        </w:p>
        <w:p w14:paraId="66ED511D">
          <w:pPr>
            <w:adjustRightInd w:val="0"/>
            <w:snapToGrid w:val="0"/>
            <w:jc w:val="center"/>
            <w:rPr>
              <w:color w:val="auto"/>
              <w:sz w:val="24"/>
            </w:rPr>
          </w:pPr>
          <w:r>
            <w:rPr>
              <w:rFonts w:hint="default" w:ascii="Times New Roman" w:hAnsi="Times New Roman" w:eastAsia="宋体" w:cs="Times New Roman"/>
              <w:snapToGrid w:val="0"/>
              <w:color w:val="auto"/>
              <w:sz w:val="24"/>
              <w:szCs w:val="24"/>
            </w:rPr>
            <w:fldChar w:fldCharType="end"/>
          </w:r>
        </w:p>
      </w:sdtContent>
    </w:sdt>
    <w:p w14:paraId="394DB75A">
      <w:pPr>
        <w:rPr>
          <w:color w:val="auto"/>
          <w:sz w:val="24"/>
        </w:rPr>
      </w:pPr>
    </w:p>
    <w:p w14:paraId="757FCE29">
      <w:pPr>
        <w:tabs>
          <w:tab w:val="left" w:pos="6275"/>
        </w:tabs>
        <w:jc w:val="left"/>
        <w:rPr>
          <w:color w:val="auto"/>
          <w:sz w:val="24"/>
        </w:rPr>
        <w:sectPr>
          <w:footerReference r:id="rId5" w:type="default"/>
          <w:pgSz w:w="11906" w:h="16838"/>
          <w:pgMar w:top="1701" w:right="1531" w:bottom="1701" w:left="1531" w:header="851" w:footer="1077" w:gutter="0"/>
          <w:pgNumType w:start="1"/>
          <w:cols w:space="720" w:num="1"/>
          <w:docGrid w:linePitch="312" w:charSpace="0"/>
        </w:sectPr>
      </w:pPr>
      <w:r>
        <w:rPr>
          <w:color w:val="auto"/>
          <w:sz w:val="24"/>
        </w:rPr>
        <w:tab/>
      </w:r>
    </w:p>
    <w:bookmarkEnd w:id="0"/>
    <w:bookmarkEnd w:id="1"/>
    <w:bookmarkEnd w:id="2"/>
    <w:bookmarkEnd w:id="3"/>
    <w:p w14:paraId="4314EC43">
      <w:pPr>
        <w:pStyle w:val="33"/>
        <w:adjustRightInd w:val="0"/>
        <w:snapToGrid w:val="0"/>
        <w:jc w:val="center"/>
        <w:outlineLvl w:val="0"/>
        <w:rPr>
          <w:rFonts w:ascii="Times New Roman" w:hAnsi="Times New Roman" w:eastAsia="黑体" w:cs="Times New Roman"/>
          <w:snapToGrid w:val="0"/>
          <w:color w:val="auto"/>
          <w:sz w:val="30"/>
          <w:szCs w:val="30"/>
        </w:rPr>
      </w:pPr>
      <w:bookmarkStart w:id="4" w:name="_Toc5940"/>
      <w:bookmarkStart w:id="5" w:name="_Toc225"/>
      <w:bookmarkStart w:id="6" w:name="_Toc6975"/>
      <w:bookmarkStart w:id="7" w:name="_Toc10075"/>
      <w:bookmarkStart w:id="8" w:name="_Toc4813"/>
      <w:r>
        <w:rPr>
          <w:rFonts w:ascii="Times New Roman" w:hAnsi="Times New Roman" w:eastAsia="黑体" w:cs="Times New Roman"/>
          <w:snapToGrid w:val="0"/>
          <w:color w:val="auto"/>
          <w:sz w:val="30"/>
          <w:szCs w:val="30"/>
        </w:rPr>
        <w:t>一、建设项目基本情况</w:t>
      </w:r>
      <w:bookmarkEnd w:id="4"/>
      <w:bookmarkEnd w:id="5"/>
      <w:bookmarkEnd w:id="6"/>
    </w:p>
    <w:tbl>
      <w:tblPr>
        <w:tblStyle w:val="37"/>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98"/>
        <w:gridCol w:w="2181"/>
        <w:gridCol w:w="2016"/>
        <w:gridCol w:w="3675"/>
      </w:tblGrid>
      <w:tr w14:paraId="0C9D0C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4" w:type="dxa"/>
            <w:tcMar>
              <w:top w:w="16" w:type="dxa"/>
              <w:left w:w="16" w:type="dxa"/>
              <w:right w:w="16" w:type="dxa"/>
            </w:tcMar>
            <w:vAlign w:val="center"/>
          </w:tcPr>
          <w:p w14:paraId="14B89970">
            <w:pPr>
              <w:adjustRightInd w:val="0"/>
              <w:snapToGrid w:val="0"/>
              <w:jc w:val="center"/>
              <w:rPr>
                <w:color w:val="auto"/>
                <w:szCs w:val="21"/>
              </w:rPr>
            </w:pPr>
            <w:r>
              <w:rPr>
                <w:color w:val="auto"/>
                <w:szCs w:val="21"/>
              </w:rPr>
              <w:t>建设项目名称</w:t>
            </w:r>
          </w:p>
        </w:tc>
        <w:tc>
          <w:tcPr>
            <w:tcW w:w="7036" w:type="dxa"/>
            <w:gridSpan w:val="3"/>
            <w:vAlign w:val="center"/>
          </w:tcPr>
          <w:p w14:paraId="08E32207">
            <w:pPr>
              <w:widowControl/>
              <w:adjustRightInd w:val="0"/>
              <w:snapToGrid w:val="0"/>
              <w:jc w:val="center"/>
              <w:rPr>
                <w:color w:val="auto"/>
                <w:szCs w:val="21"/>
              </w:rPr>
            </w:pPr>
            <w:r>
              <w:rPr>
                <w:color w:val="auto"/>
                <w:szCs w:val="21"/>
                <w:lang w:bidi="ar"/>
              </w:rPr>
              <w:t>广东省中立日化有限公司新建项目</w:t>
            </w:r>
          </w:p>
        </w:tc>
      </w:tr>
      <w:tr w14:paraId="3B3A82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4" w:type="dxa"/>
            <w:tcMar>
              <w:top w:w="16" w:type="dxa"/>
              <w:left w:w="16" w:type="dxa"/>
              <w:right w:w="16" w:type="dxa"/>
            </w:tcMar>
            <w:vAlign w:val="center"/>
          </w:tcPr>
          <w:p w14:paraId="00021A41">
            <w:pPr>
              <w:adjustRightInd w:val="0"/>
              <w:snapToGrid w:val="0"/>
              <w:jc w:val="center"/>
              <w:rPr>
                <w:color w:val="auto"/>
                <w:szCs w:val="21"/>
              </w:rPr>
            </w:pPr>
            <w:r>
              <w:rPr>
                <w:color w:val="auto"/>
                <w:szCs w:val="21"/>
              </w:rPr>
              <w:t>项目代码</w:t>
            </w:r>
          </w:p>
        </w:tc>
        <w:tc>
          <w:tcPr>
            <w:tcW w:w="7036" w:type="dxa"/>
            <w:gridSpan w:val="3"/>
            <w:vAlign w:val="center"/>
          </w:tcPr>
          <w:p w14:paraId="6BB5DF0A">
            <w:pPr>
              <w:widowControl/>
              <w:adjustRightInd w:val="0"/>
              <w:snapToGrid w:val="0"/>
              <w:jc w:val="center"/>
              <w:rPr>
                <w:color w:val="auto"/>
                <w:szCs w:val="21"/>
              </w:rPr>
            </w:pPr>
            <w:r>
              <w:rPr>
                <w:color w:val="auto"/>
                <w:szCs w:val="21"/>
                <w:lang w:bidi="ar"/>
              </w:rPr>
              <w:t>2511-440281-04-01-372727</w:t>
            </w:r>
          </w:p>
        </w:tc>
      </w:tr>
      <w:tr w14:paraId="2287D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1834" w:type="dxa"/>
            <w:tcMar>
              <w:top w:w="16" w:type="dxa"/>
              <w:left w:w="16" w:type="dxa"/>
              <w:right w:w="16" w:type="dxa"/>
            </w:tcMar>
            <w:vAlign w:val="center"/>
          </w:tcPr>
          <w:p w14:paraId="4E9A8CC6">
            <w:pPr>
              <w:adjustRightInd w:val="0"/>
              <w:snapToGrid w:val="0"/>
              <w:jc w:val="center"/>
              <w:rPr>
                <w:color w:val="auto"/>
                <w:szCs w:val="21"/>
              </w:rPr>
            </w:pPr>
            <w:r>
              <w:rPr>
                <w:color w:val="auto"/>
                <w:szCs w:val="21"/>
              </w:rPr>
              <w:t>建设单位联系人</w:t>
            </w:r>
          </w:p>
        </w:tc>
        <w:tc>
          <w:tcPr>
            <w:tcW w:w="2324" w:type="dxa"/>
            <w:vAlign w:val="center"/>
          </w:tcPr>
          <w:p w14:paraId="1A17600C">
            <w:pPr>
              <w:widowControl/>
              <w:adjustRightInd w:val="0"/>
              <w:snapToGrid w:val="0"/>
              <w:jc w:val="center"/>
              <w:rPr>
                <w:color w:val="auto"/>
                <w:szCs w:val="21"/>
                <w:lang w:bidi="ar"/>
              </w:rPr>
            </w:pPr>
            <w:r>
              <w:rPr>
                <w:color w:val="auto"/>
              </w:rPr>
              <w:t>钟超</w:t>
            </w:r>
          </w:p>
        </w:tc>
        <w:tc>
          <w:tcPr>
            <w:tcW w:w="2073" w:type="dxa"/>
            <w:vAlign w:val="center"/>
          </w:tcPr>
          <w:p w14:paraId="0DCC7737">
            <w:pPr>
              <w:widowControl/>
              <w:adjustRightInd w:val="0"/>
              <w:snapToGrid w:val="0"/>
              <w:jc w:val="center"/>
              <w:rPr>
                <w:color w:val="auto"/>
                <w:szCs w:val="21"/>
                <w:lang w:bidi="ar"/>
              </w:rPr>
            </w:pPr>
            <w:r>
              <w:rPr>
                <w:color w:val="auto"/>
                <w:szCs w:val="21"/>
                <w:lang w:bidi="ar"/>
              </w:rPr>
              <w:t>联系方式</w:t>
            </w:r>
          </w:p>
        </w:tc>
        <w:tc>
          <w:tcPr>
            <w:tcW w:w="2639" w:type="dxa"/>
            <w:vAlign w:val="center"/>
          </w:tcPr>
          <w:p w14:paraId="78063E10">
            <w:pPr>
              <w:widowControl/>
              <w:adjustRightInd w:val="0"/>
              <w:snapToGrid w:val="0"/>
              <w:jc w:val="center"/>
              <w:rPr>
                <w:color w:val="auto"/>
                <w:szCs w:val="21"/>
                <w:lang w:bidi="ar"/>
              </w:rPr>
            </w:pPr>
          </w:p>
        </w:tc>
      </w:tr>
      <w:tr w14:paraId="5E4DCA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4" w:type="dxa"/>
            <w:tcMar>
              <w:top w:w="16" w:type="dxa"/>
              <w:left w:w="16" w:type="dxa"/>
              <w:right w:w="16" w:type="dxa"/>
            </w:tcMar>
            <w:vAlign w:val="center"/>
          </w:tcPr>
          <w:p w14:paraId="506E0A1E">
            <w:pPr>
              <w:adjustRightInd w:val="0"/>
              <w:snapToGrid w:val="0"/>
              <w:jc w:val="center"/>
              <w:rPr>
                <w:color w:val="auto"/>
                <w:szCs w:val="21"/>
              </w:rPr>
            </w:pPr>
            <w:r>
              <w:rPr>
                <w:color w:val="auto"/>
                <w:szCs w:val="21"/>
              </w:rPr>
              <w:t>建设地点</w:t>
            </w:r>
          </w:p>
        </w:tc>
        <w:tc>
          <w:tcPr>
            <w:tcW w:w="7036" w:type="dxa"/>
            <w:gridSpan w:val="3"/>
            <w:vAlign w:val="center"/>
          </w:tcPr>
          <w:p w14:paraId="28870168">
            <w:pPr>
              <w:widowControl/>
              <w:adjustRightInd w:val="0"/>
              <w:snapToGrid w:val="0"/>
              <w:jc w:val="center"/>
              <w:rPr>
                <w:color w:val="auto"/>
                <w:szCs w:val="21"/>
                <w:lang w:bidi="ar"/>
              </w:rPr>
            </w:pPr>
            <w:r>
              <w:rPr>
                <w:color w:val="auto"/>
                <w:szCs w:val="21"/>
                <w:lang w:bidi="ar"/>
              </w:rPr>
              <w:t>韶关市乐昌市廊田镇乐昌产业转移工业园乐园大道23号6号厂房栋4层(广东乐昌经济开发区)</w:t>
            </w:r>
          </w:p>
        </w:tc>
      </w:tr>
      <w:tr w14:paraId="4173ED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4" w:type="dxa"/>
            <w:tcMar>
              <w:top w:w="16" w:type="dxa"/>
              <w:left w:w="16" w:type="dxa"/>
              <w:right w:w="16" w:type="dxa"/>
            </w:tcMar>
            <w:vAlign w:val="center"/>
          </w:tcPr>
          <w:p w14:paraId="696AC489">
            <w:pPr>
              <w:adjustRightInd w:val="0"/>
              <w:snapToGrid w:val="0"/>
              <w:jc w:val="center"/>
              <w:rPr>
                <w:color w:val="auto"/>
                <w:szCs w:val="21"/>
              </w:rPr>
            </w:pPr>
            <w:r>
              <w:rPr>
                <w:color w:val="auto"/>
                <w:szCs w:val="21"/>
              </w:rPr>
              <w:t>地理坐标</w:t>
            </w:r>
          </w:p>
        </w:tc>
        <w:tc>
          <w:tcPr>
            <w:tcW w:w="7036" w:type="dxa"/>
            <w:gridSpan w:val="3"/>
            <w:vAlign w:val="center"/>
          </w:tcPr>
          <w:p w14:paraId="4002AB57">
            <w:pPr>
              <w:widowControl/>
              <w:adjustRightInd w:val="0"/>
              <w:snapToGrid w:val="0"/>
              <w:jc w:val="center"/>
              <w:rPr>
                <w:color w:val="auto"/>
                <w:szCs w:val="21"/>
                <w:lang w:bidi="ar"/>
              </w:rPr>
            </w:pPr>
            <w:r>
              <w:rPr>
                <w:color w:val="auto"/>
                <w:szCs w:val="21"/>
                <w:lang w:bidi="ar"/>
              </w:rPr>
              <w:t>东经113度24分11.584秒，北纬25度8分49.348秒</w:t>
            </w:r>
          </w:p>
        </w:tc>
      </w:tr>
      <w:tr w14:paraId="7C8B5A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834" w:type="dxa"/>
            <w:tcMar>
              <w:top w:w="16" w:type="dxa"/>
              <w:left w:w="16" w:type="dxa"/>
              <w:right w:w="16" w:type="dxa"/>
            </w:tcMar>
            <w:vAlign w:val="center"/>
          </w:tcPr>
          <w:p w14:paraId="177824A7">
            <w:pPr>
              <w:adjustRightInd w:val="0"/>
              <w:snapToGrid w:val="0"/>
              <w:jc w:val="center"/>
              <w:rPr>
                <w:color w:val="auto"/>
                <w:szCs w:val="21"/>
              </w:rPr>
            </w:pPr>
            <w:r>
              <w:rPr>
                <w:color w:val="auto"/>
                <w:szCs w:val="21"/>
              </w:rPr>
              <w:t>国民经济</w:t>
            </w:r>
          </w:p>
          <w:p w14:paraId="7722E272">
            <w:pPr>
              <w:adjustRightInd w:val="0"/>
              <w:snapToGrid w:val="0"/>
              <w:jc w:val="center"/>
              <w:rPr>
                <w:color w:val="auto"/>
                <w:szCs w:val="21"/>
              </w:rPr>
            </w:pPr>
            <w:r>
              <w:rPr>
                <w:color w:val="auto"/>
                <w:szCs w:val="21"/>
              </w:rPr>
              <w:t>行业类别</w:t>
            </w:r>
          </w:p>
        </w:tc>
        <w:tc>
          <w:tcPr>
            <w:tcW w:w="2324" w:type="dxa"/>
            <w:vAlign w:val="center"/>
          </w:tcPr>
          <w:p w14:paraId="10563012">
            <w:pPr>
              <w:pStyle w:val="27"/>
              <w:rPr>
                <w:color w:val="auto"/>
              </w:rPr>
            </w:pPr>
            <w:r>
              <w:rPr>
                <w:color w:val="auto"/>
                <w:sz w:val="21"/>
                <w:szCs w:val="21"/>
              </w:rPr>
              <w:t>C2631 化学农药制造</w:t>
            </w:r>
          </w:p>
        </w:tc>
        <w:tc>
          <w:tcPr>
            <w:tcW w:w="2073" w:type="dxa"/>
            <w:vAlign w:val="center"/>
          </w:tcPr>
          <w:p w14:paraId="557ED15E">
            <w:pPr>
              <w:adjustRightInd w:val="0"/>
              <w:snapToGrid w:val="0"/>
              <w:jc w:val="center"/>
              <w:rPr>
                <w:color w:val="auto"/>
                <w:szCs w:val="21"/>
              </w:rPr>
            </w:pPr>
            <w:bookmarkStart w:id="9" w:name="_Hlk49843745"/>
            <w:r>
              <w:rPr>
                <w:color w:val="auto"/>
                <w:szCs w:val="21"/>
              </w:rPr>
              <w:t>建设项目</w:t>
            </w:r>
          </w:p>
          <w:p w14:paraId="7D32F124">
            <w:pPr>
              <w:adjustRightInd w:val="0"/>
              <w:snapToGrid w:val="0"/>
              <w:jc w:val="center"/>
              <w:rPr>
                <w:color w:val="auto"/>
                <w:szCs w:val="21"/>
              </w:rPr>
            </w:pPr>
            <w:r>
              <w:rPr>
                <w:color w:val="auto"/>
                <w:szCs w:val="21"/>
              </w:rPr>
              <w:t>行业类别</w:t>
            </w:r>
            <w:bookmarkEnd w:id="9"/>
          </w:p>
        </w:tc>
        <w:tc>
          <w:tcPr>
            <w:tcW w:w="2639" w:type="dxa"/>
            <w:vAlign w:val="center"/>
          </w:tcPr>
          <w:p w14:paraId="2659E4CC">
            <w:pPr>
              <w:pStyle w:val="89"/>
              <w:adjustRightInd w:val="0"/>
              <w:snapToGrid w:val="0"/>
              <w:spacing w:before="0" w:beforeLines="0" w:line="240" w:lineRule="auto"/>
              <w:ind w:firstLine="0" w:firstLineChars="0"/>
              <w:rPr>
                <w:rFonts w:cs="Times New Roman"/>
                <w:color w:val="auto"/>
                <w:szCs w:val="21"/>
              </w:rPr>
            </w:pPr>
            <w:r>
              <w:rPr>
                <w:rFonts w:cs="Times New Roman"/>
                <w:color w:val="auto"/>
                <w:szCs w:val="21"/>
              </w:rPr>
              <w:t>二十三、化学原料和化学制品制造业 26</w:t>
            </w:r>
          </w:p>
          <w:p w14:paraId="61AB1D2E">
            <w:pPr>
              <w:pStyle w:val="89"/>
              <w:adjustRightInd w:val="0"/>
              <w:snapToGrid w:val="0"/>
              <w:spacing w:before="0" w:beforeLines="0" w:line="240" w:lineRule="auto"/>
              <w:ind w:firstLine="0" w:firstLineChars="0"/>
              <w:rPr>
                <w:rFonts w:eastAsia="Helvetica" w:cs="Times New Roman"/>
                <w:color w:val="auto"/>
                <w:szCs w:val="21"/>
                <w:shd w:val="clear" w:color="auto" w:fill="FFFFFF"/>
              </w:rPr>
            </w:pPr>
            <w:r>
              <w:rPr>
                <w:rFonts w:cs="Times New Roman"/>
                <w:color w:val="auto"/>
                <w:szCs w:val="21"/>
              </w:rPr>
              <w:t>44.农药制造263</w:t>
            </w:r>
          </w:p>
        </w:tc>
      </w:tr>
      <w:tr w14:paraId="2952A9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834" w:type="dxa"/>
            <w:tcMar>
              <w:top w:w="16" w:type="dxa"/>
              <w:left w:w="16" w:type="dxa"/>
              <w:right w:w="16" w:type="dxa"/>
            </w:tcMar>
            <w:vAlign w:val="center"/>
          </w:tcPr>
          <w:p w14:paraId="092D3C67">
            <w:pPr>
              <w:adjustRightInd w:val="0"/>
              <w:snapToGrid w:val="0"/>
              <w:jc w:val="center"/>
              <w:rPr>
                <w:color w:val="auto"/>
                <w:szCs w:val="21"/>
              </w:rPr>
            </w:pPr>
            <w:r>
              <w:rPr>
                <w:color w:val="auto"/>
                <w:szCs w:val="21"/>
              </w:rPr>
              <w:t>建设性质</w:t>
            </w:r>
          </w:p>
        </w:tc>
        <w:tc>
          <w:tcPr>
            <w:tcW w:w="2324" w:type="dxa"/>
            <w:vAlign w:val="center"/>
          </w:tcPr>
          <w:p w14:paraId="2772F557">
            <w:pPr>
              <w:adjustRightInd w:val="0"/>
              <w:snapToGrid w:val="0"/>
              <w:jc w:val="left"/>
              <w:rPr>
                <w:color w:val="auto"/>
                <w:szCs w:val="21"/>
              </w:rPr>
            </w:pPr>
            <w:r>
              <w:rPr>
                <w:rFonts w:ascii="Segoe UI Symbol" w:hAnsi="Segoe UI Symbol" w:cs="Segoe UI Symbol"/>
                <w:color w:val="auto"/>
                <w:szCs w:val="21"/>
              </w:rPr>
              <w:t>☑</w:t>
            </w:r>
            <w:r>
              <w:rPr>
                <w:color w:val="auto"/>
                <w:szCs w:val="21"/>
              </w:rPr>
              <w:t>新建（迁建）</w:t>
            </w:r>
          </w:p>
          <w:p w14:paraId="003ACDBF">
            <w:pPr>
              <w:adjustRightInd w:val="0"/>
              <w:snapToGrid w:val="0"/>
              <w:jc w:val="left"/>
              <w:rPr>
                <w:color w:val="auto"/>
                <w:szCs w:val="21"/>
              </w:rPr>
            </w:pPr>
            <w:r>
              <w:rPr>
                <w:color w:val="auto"/>
                <w:szCs w:val="21"/>
              </w:rPr>
              <w:t>□改建</w:t>
            </w:r>
          </w:p>
          <w:p w14:paraId="6AF3C245">
            <w:pPr>
              <w:adjustRightInd w:val="0"/>
              <w:snapToGrid w:val="0"/>
              <w:jc w:val="left"/>
              <w:rPr>
                <w:color w:val="auto"/>
                <w:szCs w:val="21"/>
              </w:rPr>
            </w:pPr>
            <w:r>
              <w:rPr>
                <w:color w:val="auto"/>
                <w:szCs w:val="21"/>
              </w:rPr>
              <w:t>□扩建</w:t>
            </w:r>
          </w:p>
          <w:p w14:paraId="2470BF84">
            <w:pPr>
              <w:adjustRightInd w:val="0"/>
              <w:snapToGrid w:val="0"/>
              <w:jc w:val="left"/>
              <w:rPr>
                <w:color w:val="auto"/>
                <w:szCs w:val="21"/>
              </w:rPr>
            </w:pPr>
            <w:r>
              <w:rPr>
                <w:color w:val="auto"/>
                <w:szCs w:val="21"/>
              </w:rPr>
              <w:t>□技术改造</w:t>
            </w:r>
          </w:p>
        </w:tc>
        <w:tc>
          <w:tcPr>
            <w:tcW w:w="2073" w:type="dxa"/>
            <w:vAlign w:val="center"/>
          </w:tcPr>
          <w:p w14:paraId="146FE2C7">
            <w:pPr>
              <w:adjustRightInd w:val="0"/>
              <w:snapToGrid w:val="0"/>
              <w:jc w:val="center"/>
              <w:rPr>
                <w:color w:val="auto"/>
                <w:szCs w:val="21"/>
              </w:rPr>
            </w:pPr>
            <w:r>
              <w:rPr>
                <w:color w:val="auto"/>
                <w:szCs w:val="21"/>
              </w:rPr>
              <w:t>建设项目</w:t>
            </w:r>
          </w:p>
          <w:p w14:paraId="235BAC22">
            <w:pPr>
              <w:adjustRightInd w:val="0"/>
              <w:snapToGrid w:val="0"/>
              <w:jc w:val="center"/>
              <w:rPr>
                <w:color w:val="auto"/>
                <w:szCs w:val="21"/>
              </w:rPr>
            </w:pPr>
            <w:r>
              <w:rPr>
                <w:color w:val="auto"/>
                <w:szCs w:val="21"/>
              </w:rPr>
              <w:t>申报情形</w:t>
            </w:r>
          </w:p>
        </w:tc>
        <w:tc>
          <w:tcPr>
            <w:tcW w:w="2639" w:type="dxa"/>
            <w:vAlign w:val="center"/>
          </w:tcPr>
          <w:p w14:paraId="0EE764E7">
            <w:pPr>
              <w:adjustRightInd w:val="0"/>
              <w:snapToGrid w:val="0"/>
              <w:jc w:val="left"/>
              <w:rPr>
                <w:color w:val="auto"/>
                <w:szCs w:val="21"/>
              </w:rPr>
            </w:pPr>
            <w:r>
              <w:rPr>
                <w:rFonts w:ascii="Segoe UI Symbol" w:hAnsi="Segoe UI Symbol" w:cs="Segoe UI Symbol"/>
                <w:color w:val="auto"/>
                <w:szCs w:val="21"/>
              </w:rPr>
              <w:t>☑</w:t>
            </w:r>
            <w:r>
              <w:rPr>
                <w:color w:val="auto"/>
                <w:szCs w:val="21"/>
              </w:rPr>
              <w:t xml:space="preserve">首次申报项目             </w:t>
            </w:r>
          </w:p>
          <w:p w14:paraId="5E16AF82">
            <w:pPr>
              <w:adjustRightInd w:val="0"/>
              <w:snapToGrid w:val="0"/>
              <w:jc w:val="left"/>
              <w:rPr>
                <w:color w:val="auto"/>
                <w:szCs w:val="21"/>
              </w:rPr>
            </w:pPr>
            <w:r>
              <w:rPr>
                <w:color w:val="auto"/>
                <w:szCs w:val="21"/>
              </w:rPr>
              <w:t>□不予批准后再次申报项目</w:t>
            </w:r>
          </w:p>
          <w:p w14:paraId="2757F3E8">
            <w:pPr>
              <w:adjustRightInd w:val="0"/>
              <w:snapToGrid w:val="0"/>
              <w:jc w:val="left"/>
              <w:rPr>
                <w:color w:val="auto"/>
                <w:szCs w:val="21"/>
              </w:rPr>
            </w:pPr>
            <w:r>
              <w:rPr>
                <w:color w:val="auto"/>
                <w:szCs w:val="21"/>
              </w:rPr>
              <w:t xml:space="preserve">□超五年重新审核项目     </w:t>
            </w:r>
          </w:p>
          <w:p w14:paraId="7434D169">
            <w:pPr>
              <w:adjustRightInd w:val="0"/>
              <w:snapToGrid w:val="0"/>
              <w:jc w:val="left"/>
              <w:rPr>
                <w:color w:val="auto"/>
                <w:szCs w:val="21"/>
              </w:rPr>
            </w:pPr>
            <w:r>
              <w:rPr>
                <w:color w:val="auto"/>
                <w:szCs w:val="21"/>
              </w:rPr>
              <w:t>□重大变动重新报批项目</w:t>
            </w:r>
          </w:p>
        </w:tc>
      </w:tr>
      <w:tr w14:paraId="047ECC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834" w:type="dxa"/>
            <w:tcMar>
              <w:top w:w="16" w:type="dxa"/>
              <w:left w:w="16" w:type="dxa"/>
              <w:right w:w="16" w:type="dxa"/>
            </w:tcMar>
            <w:vAlign w:val="center"/>
          </w:tcPr>
          <w:p w14:paraId="634E8C0B">
            <w:pPr>
              <w:adjustRightInd w:val="0"/>
              <w:snapToGrid w:val="0"/>
              <w:jc w:val="center"/>
              <w:rPr>
                <w:color w:val="auto"/>
                <w:szCs w:val="21"/>
              </w:rPr>
            </w:pPr>
            <w:r>
              <w:rPr>
                <w:color w:val="auto"/>
                <w:szCs w:val="21"/>
              </w:rPr>
              <w:t>项目审批（核准/</w:t>
            </w:r>
          </w:p>
          <w:p w14:paraId="575F67BF">
            <w:pPr>
              <w:adjustRightInd w:val="0"/>
              <w:snapToGrid w:val="0"/>
              <w:jc w:val="center"/>
              <w:rPr>
                <w:color w:val="auto"/>
                <w:szCs w:val="21"/>
              </w:rPr>
            </w:pPr>
            <w:r>
              <w:rPr>
                <w:color w:val="auto"/>
                <w:szCs w:val="21"/>
              </w:rPr>
              <w:t>备案）部门（选填）</w:t>
            </w:r>
          </w:p>
        </w:tc>
        <w:tc>
          <w:tcPr>
            <w:tcW w:w="2324" w:type="dxa"/>
            <w:vAlign w:val="center"/>
          </w:tcPr>
          <w:p w14:paraId="021BFDDB">
            <w:pPr>
              <w:adjustRightInd w:val="0"/>
              <w:snapToGrid w:val="0"/>
              <w:jc w:val="center"/>
              <w:rPr>
                <w:color w:val="auto"/>
                <w:szCs w:val="21"/>
              </w:rPr>
            </w:pPr>
            <w:r>
              <w:rPr>
                <w:color w:val="auto"/>
                <w:szCs w:val="21"/>
              </w:rPr>
              <w:t>乐昌市发展和改革局</w:t>
            </w:r>
          </w:p>
        </w:tc>
        <w:tc>
          <w:tcPr>
            <w:tcW w:w="2073" w:type="dxa"/>
            <w:vAlign w:val="center"/>
          </w:tcPr>
          <w:p w14:paraId="06E66A84">
            <w:pPr>
              <w:adjustRightInd w:val="0"/>
              <w:snapToGrid w:val="0"/>
              <w:jc w:val="center"/>
              <w:rPr>
                <w:color w:val="auto"/>
                <w:szCs w:val="21"/>
              </w:rPr>
            </w:pPr>
            <w:r>
              <w:rPr>
                <w:color w:val="auto"/>
                <w:szCs w:val="21"/>
              </w:rPr>
              <w:t>项目审批（核准/</w:t>
            </w:r>
          </w:p>
          <w:p w14:paraId="50910705">
            <w:pPr>
              <w:adjustRightInd w:val="0"/>
              <w:snapToGrid w:val="0"/>
              <w:jc w:val="center"/>
              <w:rPr>
                <w:color w:val="auto"/>
                <w:szCs w:val="21"/>
              </w:rPr>
            </w:pPr>
            <w:r>
              <w:rPr>
                <w:color w:val="auto"/>
                <w:szCs w:val="21"/>
              </w:rPr>
              <w:t>备案）文号（选填）</w:t>
            </w:r>
          </w:p>
        </w:tc>
        <w:tc>
          <w:tcPr>
            <w:tcW w:w="2639" w:type="dxa"/>
            <w:vAlign w:val="center"/>
          </w:tcPr>
          <w:p w14:paraId="66C73D12">
            <w:pPr>
              <w:widowControl/>
              <w:adjustRightInd w:val="0"/>
              <w:snapToGrid w:val="0"/>
              <w:jc w:val="center"/>
              <w:rPr>
                <w:color w:val="auto"/>
                <w:szCs w:val="21"/>
              </w:rPr>
            </w:pPr>
            <w:r>
              <w:rPr>
                <w:color w:val="auto"/>
                <w:szCs w:val="21"/>
                <w:lang w:bidi="ar"/>
              </w:rPr>
              <w:t>2511-440281-04-01-372727</w:t>
            </w:r>
          </w:p>
        </w:tc>
      </w:tr>
      <w:tr w14:paraId="6039DD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4" w:type="dxa"/>
            <w:tcMar>
              <w:top w:w="16" w:type="dxa"/>
              <w:left w:w="16" w:type="dxa"/>
              <w:right w:w="16" w:type="dxa"/>
            </w:tcMar>
            <w:vAlign w:val="center"/>
          </w:tcPr>
          <w:p w14:paraId="0F7953F4">
            <w:pPr>
              <w:adjustRightInd w:val="0"/>
              <w:snapToGrid w:val="0"/>
              <w:jc w:val="center"/>
              <w:rPr>
                <w:color w:val="auto"/>
                <w:szCs w:val="21"/>
              </w:rPr>
            </w:pPr>
            <w:r>
              <w:rPr>
                <w:color w:val="auto"/>
                <w:szCs w:val="21"/>
              </w:rPr>
              <w:t>总投资（万元）</w:t>
            </w:r>
          </w:p>
        </w:tc>
        <w:tc>
          <w:tcPr>
            <w:tcW w:w="2324" w:type="dxa"/>
            <w:vAlign w:val="center"/>
          </w:tcPr>
          <w:p w14:paraId="3C966340">
            <w:pPr>
              <w:adjustRightInd w:val="0"/>
              <w:snapToGrid w:val="0"/>
              <w:jc w:val="center"/>
              <w:rPr>
                <w:rFonts w:eastAsia="等线"/>
                <w:color w:val="auto"/>
                <w:szCs w:val="21"/>
              </w:rPr>
            </w:pPr>
            <w:r>
              <w:rPr>
                <w:rFonts w:eastAsia="等线"/>
                <w:color w:val="auto"/>
                <w:szCs w:val="21"/>
              </w:rPr>
              <w:t>500</w:t>
            </w:r>
          </w:p>
        </w:tc>
        <w:tc>
          <w:tcPr>
            <w:tcW w:w="2073" w:type="dxa"/>
            <w:tcMar>
              <w:top w:w="16" w:type="dxa"/>
              <w:left w:w="16" w:type="dxa"/>
              <w:right w:w="16" w:type="dxa"/>
            </w:tcMar>
            <w:vAlign w:val="center"/>
          </w:tcPr>
          <w:p w14:paraId="706A5D26">
            <w:pPr>
              <w:adjustRightInd w:val="0"/>
              <w:snapToGrid w:val="0"/>
              <w:jc w:val="center"/>
              <w:rPr>
                <w:color w:val="auto"/>
                <w:szCs w:val="21"/>
              </w:rPr>
            </w:pPr>
            <w:r>
              <w:rPr>
                <w:color w:val="auto"/>
                <w:szCs w:val="21"/>
              </w:rPr>
              <w:t>环保投资（万元）</w:t>
            </w:r>
          </w:p>
        </w:tc>
        <w:tc>
          <w:tcPr>
            <w:tcW w:w="2639" w:type="dxa"/>
            <w:vAlign w:val="center"/>
          </w:tcPr>
          <w:p w14:paraId="3B845EE9">
            <w:pPr>
              <w:adjustRightInd w:val="0"/>
              <w:snapToGrid w:val="0"/>
              <w:jc w:val="center"/>
              <w:rPr>
                <w:rFonts w:eastAsia="等线"/>
                <w:color w:val="auto"/>
                <w:szCs w:val="21"/>
              </w:rPr>
            </w:pPr>
            <w:r>
              <w:rPr>
                <w:rFonts w:eastAsia="等线"/>
                <w:color w:val="auto"/>
                <w:szCs w:val="21"/>
              </w:rPr>
              <w:t>50</w:t>
            </w:r>
          </w:p>
        </w:tc>
      </w:tr>
      <w:tr w14:paraId="545931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4" w:type="dxa"/>
            <w:tcMar>
              <w:top w:w="16" w:type="dxa"/>
              <w:left w:w="16" w:type="dxa"/>
              <w:right w:w="16" w:type="dxa"/>
            </w:tcMar>
            <w:vAlign w:val="center"/>
          </w:tcPr>
          <w:p w14:paraId="27027E73">
            <w:pPr>
              <w:adjustRightInd w:val="0"/>
              <w:snapToGrid w:val="0"/>
              <w:jc w:val="center"/>
              <w:rPr>
                <w:color w:val="auto"/>
                <w:szCs w:val="21"/>
              </w:rPr>
            </w:pPr>
            <w:r>
              <w:rPr>
                <w:color w:val="auto"/>
                <w:szCs w:val="21"/>
              </w:rPr>
              <w:t>环保投资占比（%）</w:t>
            </w:r>
          </w:p>
        </w:tc>
        <w:tc>
          <w:tcPr>
            <w:tcW w:w="2324" w:type="dxa"/>
            <w:vAlign w:val="center"/>
          </w:tcPr>
          <w:p w14:paraId="25B9B69B">
            <w:pPr>
              <w:adjustRightInd w:val="0"/>
              <w:snapToGrid w:val="0"/>
              <w:jc w:val="center"/>
              <w:rPr>
                <w:rFonts w:eastAsia="等线"/>
                <w:color w:val="auto"/>
                <w:szCs w:val="21"/>
              </w:rPr>
            </w:pPr>
            <w:r>
              <w:rPr>
                <w:rFonts w:eastAsia="等线"/>
                <w:color w:val="auto"/>
                <w:szCs w:val="21"/>
              </w:rPr>
              <w:t>10</w:t>
            </w:r>
          </w:p>
        </w:tc>
        <w:tc>
          <w:tcPr>
            <w:tcW w:w="2073" w:type="dxa"/>
            <w:tcMar>
              <w:top w:w="16" w:type="dxa"/>
              <w:left w:w="16" w:type="dxa"/>
              <w:right w:w="16" w:type="dxa"/>
            </w:tcMar>
            <w:vAlign w:val="center"/>
          </w:tcPr>
          <w:p w14:paraId="609F0DF5">
            <w:pPr>
              <w:adjustRightInd w:val="0"/>
              <w:snapToGrid w:val="0"/>
              <w:jc w:val="center"/>
              <w:rPr>
                <w:color w:val="auto"/>
                <w:szCs w:val="21"/>
              </w:rPr>
            </w:pPr>
            <w:r>
              <w:rPr>
                <w:color w:val="auto"/>
                <w:szCs w:val="21"/>
              </w:rPr>
              <w:t>施工工期</w:t>
            </w:r>
          </w:p>
        </w:tc>
        <w:tc>
          <w:tcPr>
            <w:tcW w:w="2639" w:type="dxa"/>
            <w:vAlign w:val="center"/>
          </w:tcPr>
          <w:p w14:paraId="50E74BF1">
            <w:pPr>
              <w:adjustRightInd w:val="0"/>
              <w:snapToGrid w:val="0"/>
              <w:jc w:val="center"/>
              <w:rPr>
                <w:color w:val="auto"/>
                <w:szCs w:val="21"/>
              </w:rPr>
            </w:pPr>
            <w:r>
              <w:rPr>
                <w:color w:val="auto"/>
                <w:szCs w:val="21"/>
              </w:rPr>
              <w:t>1个月</w:t>
            </w:r>
          </w:p>
        </w:tc>
      </w:tr>
      <w:tr w14:paraId="775BE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4" w:type="dxa"/>
            <w:tcMar>
              <w:top w:w="16" w:type="dxa"/>
              <w:left w:w="16" w:type="dxa"/>
              <w:right w:w="16" w:type="dxa"/>
            </w:tcMar>
            <w:vAlign w:val="center"/>
          </w:tcPr>
          <w:p w14:paraId="7CCD9467">
            <w:pPr>
              <w:adjustRightInd w:val="0"/>
              <w:snapToGrid w:val="0"/>
              <w:jc w:val="center"/>
              <w:rPr>
                <w:color w:val="auto"/>
                <w:szCs w:val="21"/>
              </w:rPr>
            </w:pPr>
            <w:r>
              <w:rPr>
                <w:color w:val="auto"/>
                <w:szCs w:val="21"/>
              </w:rPr>
              <w:t>是否开工建设</w:t>
            </w:r>
          </w:p>
        </w:tc>
        <w:tc>
          <w:tcPr>
            <w:tcW w:w="2324" w:type="dxa"/>
            <w:vAlign w:val="center"/>
          </w:tcPr>
          <w:p w14:paraId="75C3327E">
            <w:pPr>
              <w:adjustRightInd w:val="0"/>
              <w:snapToGrid w:val="0"/>
              <w:rPr>
                <w:color w:val="auto"/>
                <w:szCs w:val="21"/>
              </w:rPr>
            </w:pPr>
            <w:r>
              <w:rPr>
                <w:rFonts w:ascii="Segoe UI Symbol" w:hAnsi="Segoe UI Symbol" w:cs="Segoe UI Symbol"/>
                <w:color w:val="auto"/>
                <w:szCs w:val="21"/>
              </w:rPr>
              <w:t>☑</w:t>
            </w:r>
            <w:r>
              <w:rPr>
                <w:color w:val="auto"/>
                <w:szCs w:val="21"/>
              </w:rPr>
              <w:t>否</w:t>
            </w:r>
          </w:p>
          <w:p w14:paraId="5C750E5F">
            <w:pPr>
              <w:adjustRightInd w:val="0"/>
              <w:snapToGrid w:val="0"/>
              <w:rPr>
                <w:color w:val="auto"/>
                <w:szCs w:val="21"/>
                <w:u w:val="single"/>
              </w:rPr>
            </w:pPr>
            <w:r>
              <w:rPr>
                <w:color w:val="auto"/>
                <w:szCs w:val="21"/>
              </w:rPr>
              <w:t>□是：</w:t>
            </w:r>
            <w:r>
              <w:rPr>
                <w:color w:val="auto"/>
                <w:szCs w:val="21"/>
                <w:u w:val="single"/>
              </w:rPr>
              <w:t xml:space="preserve">          </w:t>
            </w:r>
          </w:p>
        </w:tc>
        <w:tc>
          <w:tcPr>
            <w:tcW w:w="2073" w:type="dxa"/>
            <w:tcMar>
              <w:top w:w="16" w:type="dxa"/>
              <w:left w:w="16" w:type="dxa"/>
              <w:right w:w="16" w:type="dxa"/>
            </w:tcMar>
            <w:vAlign w:val="center"/>
          </w:tcPr>
          <w:p w14:paraId="11B5436F">
            <w:pPr>
              <w:adjustRightInd w:val="0"/>
              <w:snapToGrid w:val="0"/>
              <w:jc w:val="center"/>
              <w:rPr>
                <w:color w:val="auto"/>
                <w:spacing w:val="-6"/>
                <w:szCs w:val="21"/>
              </w:rPr>
            </w:pPr>
            <w:r>
              <w:rPr>
                <w:color w:val="auto"/>
                <w:spacing w:val="-6"/>
                <w:szCs w:val="21"/>
              </w:rPr>
              <w:t>用地（用海）</w:t>
            </w:r>
          </w:p>
          <w:p w14:paraId="71E8A288">
            <w:pPr>
              <w:adjustRightInd w:val="0"/>
              <w:snapToGrid w:val="0"/>
              <w:jc w:val="center"/>
              <w:rPr>
                <w:color w:val="auto"/>
                <w:szCs w:val="21"/>
              </w:rPr>
            </w:pPr>
            <w:r>
              <w:rPr>
                <w:color w:val="auto"/>
                <w:spacing w:val="-6"/>
                <w:szCs w:val="21"/>
              </w:rPr>
              <w:t>面积（m</w:t>
            </w:r>
            <w:r>
              <w:rPr>
                <w:color w:val="auto"/>
                <w:spacing w:val="-6"/>
                <w:szCs w:val="21"/>
                <w:vertAlign w:val="superscript"/>
              </w:rPr>
              <w:t>2</w:t>
            </w:r>
            <w:r>
              <w:rPr>
                <w:color w:val="auto"/>
                <w:spacing w:val="-6"/>
                <w:szCs w:val="21"/>
              </w:rPr>
              <w:t>）</w:t>
            </w:r>
          </w:p>
        </w:tc>
        <w:tc>
          <w:tcPr>
            <w:tcW w:w="2639" w:type="dxa"/>
            <w:vAlign w:val="center"/>
          </w:tcPr>
          <w:p w14:paraId="04B037DE">
            <w:pPr>
              <w:adjustRightInd w:val="0"/>
              <w:snapToGrid w:val="0"/>
              <w:jc w:val="center"/>
              <w:rPr>
                <w:rFonts w:eastAsia="华文楷体"/>
                <w:color w:val="auto"/>
                <w:szCs w:val="21"/>
              </w:rPr>
            </w:pPr>
            <w:r>
              <w:rPr>
                <w:rFonts w:eastAsia="华文楷体"/>
                <w:color w:val="auto"/>
                <w:spacing w:val="-6"/>
                <w:szCs w:val="21"/>
              </w:rPr>
              <w:t>1294.74</w:t>
            </w:r>
          </w:p>
        </w:tc>
      </w:tr>
      <w:tr w14:paraId="6D6F1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834" w:type="dxa"/>
            <w:vAlign w:val="center"/>
          </w:tcPr>
          <w:p w14:paraId="1BDBB7B3">
            <w:pPr>
              <w:autoSpaceDE w:val="0"/>
              <w:autoSpaceDN w:val="0"/>
              <w:adjustRightInd w:val="0"/>
              <w:snapToGrid w:val="0"/>
              <w:jc w:val="center"/>
              <w:rPr>
                <w:color w:val="auto"/>
                <w:kern w:val="0"/>
                <w:szCs w:val="21"/>
              </w:rPr>
            </w:pPr>
            <w:r>
              <w:rPr>
                <w:color w:val="auto"/>
                <w:kern w:val="0"/>
                <w:szCs w:val="21"/>
              </w:rPr>
              <w:t>专项评价设置情况</w:t>
            </w:r>
          </w:p>
        </w:tc>
        <w:tc>
          <w:tcPr>
            <w:tcW w:w="7036" w:type="dxa"/>
            <w:gridSpan w:val="3"/>
            <w:vAlign w:val="center"/>
          </w:tcPr>
          <w:p w14:paraId="57230566">
            <w:pPr>
              <w:widowControl/>
              <w:ind w:firstLine="480" w:firstLineChars="200"/>
              <w:jc w:val="left"/>
              <w:rPr>
                <w:color w:val="auto"/>
                <w:kern w:val="0"/>
                <w:sz w:val="24"/>
                <w:szCs w:val="24"/>
                <w:lang w:bidi="ar"/>
              </w:rPr>
            </w:pPr>
            <w:r>
              <w:rPr>
                <w:color w:val="auto"/>
                <w:kern w:val="0"/>
                <w:sz w:val="24"/>
                <w:szCs w:val="24"/>
                <w:lang w:bidi="ar"/>
              </w:rPr>
              <w:t>依据《建设项目环境影响报告表编制技术指南》（污染影响类）（试行）“表1专项评价设置原则表”：本项目专项评价设置情况说明如下表所示：</w:t>
            </w:r>
          </w:p>
          <w:p w14:paraId="7592FCCF">
            <w:pPr>
              <w:widowControl/>
              <w:jc w:val="center"/>
              <w:rPr>
                <w:b/>
                <w:bCs/>
                <w:color w:val="auto"/>
                <w:sz w:val="24"/>
                <w:szCs w:val="24"/>
              </w:rPr>
            </w:pPr>
            <w:r>
              <w:rPr>
                <w:b/>
                <w:bCs/>
                <w:color w:val="auto"/>
                <w:kern w:val="0"/>
                <w:sz w:val="24"/>
                <w:szCs w:val="24"/>
              </w:rPr>
              <w:t>表</w:t>
            </w:r>
            <w:r>
              <w:rPr>
                <w:b/>
                <w:bCs/>
                <w:color w:val="auto"/>
                <w:kern w:val="0"/>
                <w:sz w:val="24"/>
                <w:szCs w:val="24"/>
              </w:rPr>
              <w:fldChar w:fldCharType="begin"/>
            </w:r>
            <w:r>
              <w:rPr>
                <w:b/>
                <w:bCs/>
                <w:color w:val="auto"/>
                <w:kern w:val="0"/>
                <w:sz w:val="24"/>
                <w:szCs w:val="24"/>
              </w:rPr>
              <w:instrText xml:space="preserve"> SEQ 表 \* ARABIC </w:instrText>
            </w:r>
            <w:r>
              <w:rPr>
                <w:b/>
                <w:bCs/>
                <w:color w:val="auto"/>
                <w:kern w:val="0"/>
                <w:sz w:val="24"/>
                <w:szCs w:val="24"/>
              </w:rPr>
              <w:fldChar w:fldCharType="separate"/>
            </w:r>
            <w:r>
              <w:rPr>
                <w:b/>
                <w:bCs/>
                <w:color w:val="auto"/>
                <w:kern w:val="0"/>
                <w:sz w:val="24"/>
                <w:szCs w:val="24"/>
              </w:rPr>
              <w:t>1</w:t>
            </w:r>
            <w:r>
              <w:rPr>
                <w:b/>
                <w:bCs/>
                <w:color w:val="auto"/>
                <w:kern w:val="0"/>
                <w:sz w:val="24"/>
                <w:szCs w:val="24"/>
              </w:rPr>
              <w:fldChar w:fldCharType="end"/>
            </w:r>
            <w:r>
              <w:rPr>
                <w:b/>
                <w:bCs/>
                <w:color w:val="auto"/>
                <w:sz w:val="24"/>
                <w:szCs w:val="24"/>
                <w:lang w:bidi="ar"/>
              </w:rPr>
              <w:t xml:space="preserve"> </w:t>
            </w:r>
            <w:r>
              <w:rPr>
                <w:b/>
                <w:bCs/>
                <w:color w:val="auto"/>
                <w:sz w:val="24"/>
                <w:szCs w:val="24"/>
              </w:rPr>
              <w:t xml:space="preserve"> 专项评价设置原则与本项目情况对比说明表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3001"/>
              <w:gridCol w:w="2968"/>
              <w:gridCol w:w="795"/>
            </w:tblGrid>
            <w:tr w14:paraId="36FF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vAlign w:val="center"/>
                </w:tcPr>
                <w:p w14:paraId="22F97A7A">
                  <w:pPr>
                    <w:widowControl/>
                    <w:jc w:val="center"/>
                    <w:rPr>
                      <w:b/>
                      <w:bCs/>
                      <w:color w:val="auto"/>
                      <w:szCs w:val="21"/>
                    </w:rPr>
                  </w:pPr>
                  <w:r>
                    <w:rPr>
                      <w:b/>
                      <w:bCs/>
                      <w:color w:val="auto"/>
                      <w:szCs w:val="21"/>
                    </w:rPr>
                    <w:t>专项评价类别</w:t>
                  </w:r>
                </w:p>
              </w:tc>
              <w:tc>
                <w:tcPr>
                  <w:tcW w:w="2758" w:type="dxa"/>
                  <w:vAlign w:val="center"/>
                </w:tcPr>
                <w:p w14:paraId="57DC55BD">
                  <w:pPr>
                    <w:widowControl/>
                    <w:jc w:val="center"/>
                    <w:rPr>
                      <w:b/>
                      <w:bCs/>
                      <w:color w:val="auto"/>
                      <w:szCs w:val="21"/>
                    </w:rPr>
                  </w:pPr>
                  <w:r>
                    <w:rPr>
                      <w:b/>
                      <w:bCs/>
                      <w:color w:val="auto"/>
                      <w:szCs w:val="21"/>
                    </w:rPr>
                    <w:t>设置原则</w:t>
                  </w:r>
                </w:p>
              </w:tc>
              <w:tc>
                <w:tcPr>
                  <w:tcW w:w="2646" w:type="dxa"/>
                  <w:vAlign w:val="center"/>
                </w:tcPr>
                <w:p w14:paraId="3AD20F13">
                  <w:pPr>
                    <w:widowControl/>
                    <w:jc w:val="center"/>
                    <w:rPr>
                      <w:b/>
                      <w:bCs/>
                      <w:color w:val="auto"/>
                      <w:szCs w:val="21"/>
                    </w:rPr>
                  </w:pPr>
                  <w:r>
                    <w:rPr>
                      <w:b/>
                      <w:bCs/>
                      <w:color w:val="auto"/>
                      <w:szCs w:val="21"/>
                    </w:rPr>
                    <w:t>本项目情况</w:t>
                  </w:r>
                </w:p>
              </w:tc>
              <w:tc>
                <w:tcPr>
                  <w:tcW w:w="659" w:type="dxa"/>
                  <w:vAlign w:val="center"/>
                </w:tcPr>
                <w:p w14:paraId="27991675">
                  <w:pPr>
                    <w:widowControl/>
                    <w:jc w:val="center"/>
                    <w:rPr>
                      <w:b/>
                      <w:bCs/>
                      <w:color w:val="auto"/>
                      <w:szCs w:val="21"/>
                    </w:rPr>
                  </w:pPr>
                  <w:r>
                    <w:rPr>
                      <w:b/>
                      <w:bCs/>
                      <w:color w:val="auto"/>
                      <w:szCs w:val="21"/>
                    </w:rPr>
                    <w:t>是否需要专项评价</w:t>
                  </w:r>
                </w:p>
              </w:tc>
            </w:tr>
            <w:tr w14:paraId="679E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vAlign w:val="center"/>
                </w:tcPr>
                <w:p w14:paraId="7C96135B">
                  <w:pPr>
                    <w:widowControl/>
                    <w:jc w:val="center"/>
                    <w:rPr>
                      <w:color w:val="auto"/>
                      <w:szCs w:val="21"/>
                    </w:rPr>
                  </w:pPr>
                  <w:r>
                    <w:rPr>
                      <w:color w:val="auto"/>
                      <w:szCs w:val="21"/>
                    </w:rPr>
                    <w:t>大气</w:t>
                  </w:r>
                </w:p>
              </w:tc>
              <w:tc>
                <w:tcPr>
                  <w:tcW w:w="2758" w:type="dxa"/>
                  <w:vAlign w:val="center"/>
                </w:tcPr>
                <w:p w14:paraId="24717EF3">
                  <w:pPr>
                    <w:widowControl/>
                    <w:jc w:val="center"/>
                    <w:rPr>
                      <w:color w:val="auto"/>
                      <w:szCs w:val="21"/>
                    </w:rPr>
                  </w:pPr>
                  <w:r>
                    <w:rPr>
                      <w:color w:val="auto"/>
                      <w:szCs w:val="21"/>
                    </w:rPr>
                    <w:t>排放废气含有毒有害污染物、二噁英、</w:t>
                  </w:r>
                  <w:r>
                    <w:rPr>
                      <w:color w:val="auto"/>
                      <w:kern w:val="0"/>
                      <w:szCs w:val="21"/>
                      <w:lang w:bidi="ar"/>
                    </w:rPr>
                    <w:t>苯并[a]芘、</w:t>
                  </w:r>
                  <w:r>
                    <w:rPr>
                      <w:color w:val="auto"/>
                      <w:szCs w:val="21"/>
                    </w:rPr>
                    <w:t>氰化物、氯气且厂界外500米范围内有环境空气保护目标</w:t>
                  </w:r>
                </w:p>
              </w:tc>
              <w:tc>
                <w:tcPr>
                  <w:tcW w:w="2646" w:type="dxa"/>
                  <w:vAlign w:val="center"/>
                </w:tcPr>
                <w:p w14:paraId="311FF18B">
                  <w:pPr>
                    <w:widowControl/>
                    <w:jc w:val="center"/>
                    <w:rPr>
                      <w:color w:val="auto"/>
                      <w:szCs w:val="21"/>
                    </w:rPr>
                  </w:pPr>
                  <w:r>
                    <w:rPr>
                      <w:color w:val="auto"/>
                      <w:szCs w:val="21"/>
                    </w:rPr>
                    <w:t>本项目</w:t>
                  </w:r>
                  <w:r>
                    <w:rPr>
                      <w:rFonts w:hint="eastAsia"/>
                      <w:color w:val="auto"/>
                      <w:szCs w:val="21"/>
                      <w:lang w:val="en-US" w:eastAsia="zh-CN"/>
                    </w:rPr>
                    <w:t>废气主要为挥发性有机废气、生产异味，</w:t>
                  </w:r>
                  <w:r>
                    <w:rPr>
                      <w:color w:val="auto"/>
                      <w:szCs w:val="21"/>
                    </w:rPr>
                    <w:t>排放废气不涉及有毒有害污染物、二噁英、</w:t>
                  </w:r>
                  <w:r>
                    <w:rPr>
                      <w:color w:val="auto"/>
                      <w:kern w:val="0"/>
                      <w:szCs w:val="21"/>
                      <w:lang w:bidi="ar"/>
                    </w:rPr>
                    <w:t>苯并[a]芘、</w:t>
                  </w:r>
                  <w:r>
                    <w:rPr>
                      <w:color w:val="auto"/>
                      <w:szCs w:val="21"/>
                    </w:rPr>
                    <w:t>氰化物、氯气</w:t>
                  </w:r>
                </w:p>
              </w:tc>
              <w:tc>
                <w:tcPr>
                  <w:tcW w:w="659" w:type="dxa"/>
                  <w:vAlign w:val="center"/>
                </w:tcPr>
                <w:p w14:paraId="31821CFE">
                  <w:pPr>
                    <w:widowControl/>
                    <w:jc w:val="center"/>
                    <w:rPr>
                      <w:color w:val="auto"/>
                      <w:szCs w:val="21"/>
                    </w:rPr>
                  </w:pPr>
                  <w:r>
                    <w:rPr>
                      <w:color w:val="auto"/>
                      <w:szCs w:val="21"/>
                    </w:rPr>
                    <w:t>否</w:t>
                  </w:r>
                </w:p>
              </w:tc>
            </w:tr>
            <w:tr w14:paraId="759A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vAlign w:val="center"/>
                </w:tcPr>
                <w:p w14:paraId="58A81BAD">
                  <w:pPr>
                    <w:widowControl/>
                    <w:jc w:val="center"/>
                    <w:rPr>
                      <w:color w:val="auto"/>
                      <w:szCs w:val="21"/>
                    </w:rPr>
                  </w:pPr>
                  <w:r>
                    <w:rPr>
                      <w:color w:val="auto"/>
                      <w:szCs w:val="21"/>
                    </w:rPr>
                    <w:t>地表水</w:t>
                  </w:r>
                </w:p>
              </w:tc>
              <w:tc>
                <w:tcPr>
                  <w:tcW w:w="2758" w:type="dxa"/>
                  <w:vAlign w:val="center"/>
                </w:tcPr>
                <w:p w14:paraId="443AB229">
                  <w:pPr>
                    <w:widowControl/>
                    <w:jc w:val="left"/>
                    <w:rPr>
                      <w:color w:val="auto"/>
                      <w:szCs w:val="21"/>
                    </w:rPr>
                  </w:pPr>
                  <w:r>
                    <w:rPr>
                      <w:color w:val="auto"/>
                      <w:kern w:val="0"/>
                      <w:szCs w:val="21"/>
                      <w:lang w:bidi="ar"/>
                    </w:rPr>
                    <w:t>新增工业废水直排建设项目（槽罐车外送污水处理厂的除外）；新增废水直排的污水集中处理厂</w:t>
                  </w:r>
                </w:p>
              </w:tc>
              <w:tc>
                <w:tcPr>
                  <w:tcW w:w="2646" w:type="dxa"/>
                  <w:vAlign w:val="center"/>
                </w:tcPr>
                <w:p w14:paraId="1AD1A178">
                  <w:pPr>
                    <w:widowControl/>
                    <w:jc w:val="center"/>
                    <w:rPr>
                      <w:color w:val="auto"/>
                      <w:szCs w:val="21"/>
                    </w:rPr>
                  </w:pPr>
                  <w:r>
                    <w:rPr>
                      <w:color w:val="auto"/>
                      <w:szCs w:val="21"/>
                    </w:rPr>
                    <w:t>本项目</w:t>
                  </w:r>
                  <w:r>
                    <w:rPr>
                      <w:rFonts w:hint="eastAsia"/>
                      <w:color w:val="auto"/>
                      <w:szCs w:val="21"/>
                      <w:lang w:val="en-US" w:eastAsia="zh-CN"/>
                    </w:rPr>
                    <w:t>废水主要为生活污水，生活污水经三级化粪池预处理达标后排入园区污水处理厂，</w:t>
                  </w:r>
                  <w:r>
                    <w:rPr>
                      <w:color w:val="auto"/>
                      <w:szCs w:val="21"/>
                    </w:rPr>
                    <w:t>不涉及工业废水直接排放</w:t>
                  </w:r>
                </w:p>
              </w:tc>
              <w:tc>
                <w:tcPr>
                  <w:tcW w:w="659" w:type="dxa"/>
                  <w:vAlign w:val="center"/>
                </w:tcPr>
                <w:p w14:paraId="772C3283">
                  <w:pPr>
                    <w:widowControl/>
                    <w:jc w:val="center"/>
                    <w:rPr>
                      <w:color w:val="auto"/>
                      <w:szCs w:val="21"/>
                    </w:rPr>
                  </w:pPr>
                  <w:r>
                    <w:rPr>
                      <w:color w:val="auto"/>
                      <w:szCs w:val="21"/>
                    </w:rPr>
                    <w:t>否</w:t>
                  </w:r>
                </w:p>
              </w:tc>
            </w:tr>
            <w:tr w14:paraId="4C96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vAlign w:val="center"/>
                </w:tcPr>
                <w:p w14:paraId="4B22039A">
                  <w:pPr>
                    <w:widowControl/>
                    <w:jc w:val="center"/>
                    <w:rPr>
                      <w:color w:val="auto"/>
                      <w:szCs w:val="21"/>
                    </w:rPr>
                  </w:pPr>
                  <w:r>
                    <w:rPr>
                      <w:color w:val="auto"/>
                      <w:szCs w:val="21"/>
                    </w:rPr>
                    <w:t>环境风险</w:t>
                  </w:r>
                </w:p>
              </w:tc>
              <w:tc>
                <w:tcPr>
                  <w:tcW w:w="2758" w:type="dxa"/>
                  <w:vAlign w:val="center"/>
                </w:tcPr>
                <w:p w14:paraId="72F11976">
                  <w:pPr>
                    <w:widowControl/>
                    <w:jc w:val="left"/>
                    <w:rPr>
                      <w:color w:val="auto"/>
                      <w:szCs w:val="21"/>
                    </w:rPr>
                  </w:pPr>
                  <w:r>
                    <w:rPr>
                      <w:color w:val="auto"/>
                      <w:kern w:val="0"/>
                      <w:szCs w:val="21"/>
                      <w:lang w:bidi="ar"/>
                    </w:rPr>
                    <w:t xml:space="preserve">有毒有害和易燃易爆危险物质储量超过临界量的建设项目 </w:t>
                  </w:r>
                </w:p>
              </w:tc>
              <w:tc>
                <w:tcPr>
                  <w:tcW w:w="2646" w:type="dxa"/>
                  <w:vAlign w:val="center"/>
                </w:tcPr>
                <w:p w14:paraId="266AC100">
                  <w:pPr>
                    <w:widowControl/>
                    <w:jc w:val="center"/>
                    <w:rPr>
                      <w:color w:val="auto"/>
                      <w:szCs w:val="21"/>
                    </w:rPr>
                  </w:pPr>
                  <w:r>
                    <w:rPr>
                      <w:rFonts w:hint="default" w:ascii="Times New Roman" w:hAnsi="Times New Roman" w:cs="Times New Roman"/>
                      <w:color w:val="auto"/>
                      <w:kern w:val="0"/>
                      <w:szCs w:val="21"/>
                      <w:lang w:bidi="ar"/>
                    </w:rPr>
                    <w:t>本项目</w:t>
                  </w:r>
                  <w:r>
                    <w:rPr>
                      <w:rFonts w:hint="default" w:ascii="Times New Roman" w:hAnsi="Times New Roman" w:cs="Times New Roman"/>
                      <w:color w:val="auto"/>
                    </w:rPr>
                    <w:t>Q=</w:t>
                  </w:r>
                  <w:r>
                    <w:rPr>
                      <w:rFonts w:hint="eastAsia" w:cs="Times New Roman"/>
                      <w:color w:val="auto"/>
                      <w:lang w:eastAsia="zh-CN"/>
                    </w:rPr>
                    <w:t>0.0417</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kern w:val="0"/>
                      <w:szCs w:val="21"/>
                      <w:lang w:bidi="ar"/>
                    </w:rPr>
                    <w:t>危险物质储量未超过临界量</w:t>
                  </w:r>
                </w:p>
              </w:tc>
              <w:tc>
                <w:tcPr>
                  <w:tcW w:w="659" w:type="dxa"/>
                  <w:vAlign w:val="center"/>
                </w:tcPr>
                <w:p w14:paraId="687ADDA9">
                  <w:pPr>
                    <w:widowControl/>
                    <w:jc w:val="center"/>
                    <w:rPr>
                      <w:color w:val="auto"/>
                      <w:szCs w:val="21"/>
                    </w:rPr>
                  </w:pPr>
                  <w:r>
                    <w:rPr>
                      <w:color w:val="auto"/>
                      <w:szCs w:val="21"/>
                    </w:rPr>
                    <w:t>否</w:t>
                  </w:r>
                </w:p>
              </w:tc>
            </w:tr>
            <w:tr w14:paraId="4EDA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vAlign w:val="center"/>
                </w:tcPr>
                <w:p w14:paraId="479B1B6B">
                  <w:pPr>
                    <w:widowControl/>
                    <w:jc w:val="center"/>
                    <w:rPr>
                      <w:color w:val="auto"/>
                      <w:szCs w:val="21"/>
                    </w:rPr>
                  </w:pPr>
                  <w:r>
                    <w:rPr>
                      <w:color w:val="auto"/>
                      <w:szCs w:val="21"/>
                    </w:rPr>
                    <w:t>生态</w:t>
                  </w:r>
                </w:p>
              </w:tc>
              <w:tc>
                <w:tcPr>
                  <w:tcW w:w="2758" w:type="dxa"/>
                  <w:vAlign w:val="center"/>
                </w:tcPr>
                <w:p w14:paraId="2477C1AC">
                  <w:pPr>
                    <w:widowControl/>
                    <w:jc w:val="left"/>
                    <w:rPr>
                      <w:color w:val="auto"/>
                      <w:szCs w:val="21"/>
                    </w:rPr>
                  </w:pPr>
                  <w:r>
                    <w:rPr>
                      <w:color w:val="auto"/>
                      <w:kern w:val="0"/>
                      <w:szCs w:val="21"/>
                      <w:lang w:bidi="ar"/>
                    </w:rPr>
                    <w:t>取水口下游500米范围内有重要水生生物的自然产卵场、索饵场、越冬场和洄游通道的新增河道取水的污染类建设项目</w:t>
                  </w:r>
                </w:p>
              </w:tc>
              <w:tc>
                <w:tcPr>
                  <w:tcW w:w="2646" w:type="dxa"/>
                  <w:vAlign w:val="center"/>
                </w:tcPr>
                <w:p w14:paraId="214DA93F">
                  <w:pPr>
                    <w:widowControl/>
                    <w:jc w:val="center"/>
                    <w:rPr>
                      <w:color w:val="auto"/>
                      <w:szCs w:val="21"/>
                    </w:rPr>
                  </w:pPr>
                  <w:r>
                    <w:rPr>
                      <w:color w:val="auto"/>
                      <w:szCs w:val="21"/>
                    </w:rPr>
                    <w:t>本项目不涉及</w:t>
                  </w:r>
                </w:p>
              </w:tc>
              <w:tc>
                <w:tcPr>
                  <w:tcW w:w="659" w:type="dxa"/>
                  <w:vAlign w:val="center"/>
                </w:tcPr>
                <w:p w14:paraId="3B628D7C">
                  <w:pPr>
                    <w:widowControl/>
                    <w:jc w:val="center"/>
                    <w:rPr>
                      <w:color w:val="auto"/>
                      <w:szCs w:val="21"/>
                    </w:rPr>
                  </w:pPr>
                  <w:r>
                    <w:rPr>
                      <w:color w:val="auto"/>
                      <w:szCs w:val="21"/>
                    </w:rPr>
                    <w:t>否</w:t>
                  </w:r>
                </w:p>
              </w:tc>
            </w:tr>
            <w:tr w14:paraId="72D4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vAlign w:val="center"/>
                </w:tcPr>
                <w:p w14:paraId="341FCFE2">
                  <w:pPr>
                    <w:widowControl/>
                    <w:jc w:val="center"/>
                    <w:rPr>
                      <w:color w:val="auto"/>
                      <w:szCs w:val="21"/>
                    </w:rPr>
                  </w:pPr>
                  <w:r>
                    <w:rPr>
                      <w:color w:val="auto"/>
                      <w:szCs w:val="21"/>
                    </w:rPr>
                    <w:t>海洋</w:t>
                  </w:r>
                </w:p>
              </w:tc>
              <w:tc>
                <w:tcPr>
                  <w:tcW w:w="2758" w:type="dxa"/>
                  <w:vAlign w:val="center"/>
                </w:tcPr>
                <w:p w14:paraId="4376CD92">
                  <w:pPr>
                    <w:widowControl/>
                    <w:jc w:val="left"/>
                    <w:rPr>
                      <w:color w:val="auto"/>
                      <w:szCs w:val="21"/>
                    </w:rPr>
                  </w:pPr>
                  <w:r>
                    <w:rPr>
                      <w:color w:val="auto"/>
                      <w:kern w:val="0"/>
                      <w:szCs w:val="21"/>
                      <w:lang w:bidi="ar"/>
                    </w:rPr>
                    <w:t>直接向海排放污染物的海洋工程建设项目</w:t>
                  </w:r>
                </w:p>
              </w:tc>
              <w:tc>
                <w:tcPr>
                  <w:tcW w:w="2646" w:type="dxa"/>
                  <w:vAlign w:val="center"/>
                </w:tcPr>
                <w:p w14:paraId="3FB923EB">
                  <w:pPr>
                    <w:widowControl/>
                    <w:jc w:val="center"/>
                    <w:rPr>
                      <w:color w:val="auto"/>
                      <w:szCs w:val="21"/>
                    </w:rPr>
                  </w:pPr>
                  <w:r>
                    <w:rPr>
                      <w:color w:val="auto"/>
                      <w:szCs w:val="21"/>
                    </w:rPr>
                    <w:t>本项目不涉及</w:t>
                  </w:r>
                </w:p>
              </w:tc>
              <w:tc>
                <w:tcPr>
                  <w:tcW w:w="659" w:type="dxa"/>
                  <w:vAlign w:val="center"/>
                </w:tcPr>
                <w:p w14:paraId="3CA3CBF5">
                  <w:pPr>
                    <w:widowControl/>
                    <w:jc w:val="center"/>
                    <w:rPr>
                      <w:color w:val="auto"/>
                      <w:szCs w:val="21"/>
                    </w:rPr>
                  </w:pPr>
                  <w:r>
                    <w:rPr>
                      <w:color w:val="auto"/>
                      <w:szCs w:val="21"/>
                    </w:rPr>
                    <w:t>否</w:t>
                  </w:r>
                </w:p>
              </w:tc>
            </w:tr>
            <w:tr w14:paraId="43E5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vAlign w:val="center"/>
                </w:tcPr>
                <w:p w14:paraId="55474BCE">
                  <w:pPr>
                    <w:widowControl/>
                    <w:jc w:val="center"/>
                    <w:rPr>
                      <w:color w:val="auto"/>
                      <w:szCs w:val="21"/>
                    </w:rPr>
                  </w:pPr>
                  <w:r>
                    <w:rPr>
                      <w:color w:val="auto"/>
                      <w:szCs w:val="21"/>
                    </w:rPr>
                    <w:t>地下水</w:t>
                  </w:r>
                </w:p>
              </w:tc>
              <w:tc>
                <w:tcPr>
                  <w:tcW w:w="2758" w:type="dxa"/>
                  <w:vAlign w:val="center"/>
                </w:tcPr>
                <w:p w14:paraId="2B33FEDF">
                  <w:pPr>
                    <w:widowControl/>
                    <w:jc w:val="left"/>
                    <w:rPr>
                      <w:color w:val="auto"/>
                      <w:szCs w:val="21"/>
                    </w:rPr>
                  </w:pPr>
                  <w:r>
                    <w:rPr>
                      <w:color w:val="auto"/>
                      <w:kern w:val="0"/>
                      <w:szCs w:val="21"/>
                      <w:lang w:bidi="ar"/>
                    </w:rPr>
                    <w:t xml:space="preserve">涉及集中式饮用水源和热水、矿泉水、温泉等特殊地下水资源保险区的 </w:t>
                  </w:r>
                </w:p>
              </w:tc>
              <w:tc>
                <w:tcPr>
                  <w:tcW w:w="2646" w:type="dxa"/>
                  <w:vAlign w:val="center"/>
                </w:tcPr>
                <w:p w14:paraId="04C56D1C">
                  <w:pPr>
                    <w:widowControl/>
                    <w:jc w:val="center"/>
                    <w:rPr>
                      <w:color w:val="auto"/>
                      <w:szCs w:val="21"/>
                    </w:rPr>
                  </w:pPr>
                  <w:r>
                    <w:rPr>
                      <w:color w:val="auto"/>
                      <w:szCs w:val="21"/>
                    </w:rPr>
                    <w:t>本项目不涉及</w:t>
                  </w:r>
                </w:p>
              </w:tc>
              <w:tc>
                <w:tcPr>
                  <w:tcW w:w="659" w:type="dxa"/>
                  <w:vAlign w:val="center"/>
                </w:tcPr>
                <w:p w14:paraId="24F77236">
                  <w:pPr>
                    <w:widowControl/>
                    <w:jc w:val="center"/>
                    <w:rPr>
                      <w:color w:val="auto"/>
                      <w:szCs w:val="21"/>
                    </w:rPr>
                  </w:pPr>
                  <w:r>
                    <w:rPr>
                      <w:color w:val="auto"/>
                      <w:szCs w:val="21"/>
                    </w:rPr>
                    <w:t>否</w:t>
                  </w:r>
                </w:p>
              </w:tc>
            </w:tr>
            <w:tr w14:paraId="2002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4"/>
                  <w:vAlign w:val="center"/>
                </w:tcPr>
                <w:p w14:paraId="4ED8E15C">
                  <w:pPr>
                    <w:widowControl/>
                    <w:jc w:val="left"/>
                    <w:rPr>
                      <w:color w:val="auto"/>
                      <w:szCs w:val="21"/>
                    </w:rPr>
                  </w:pPr>
                  <w:r>
                    <w:rPr>
                      <w:color w:val="auto"/>
                      <w:kern w:val="0"/>
                      <w:szCs w:val="21"/>
                      <w:lang w:bidi="ar"/>
                    </w:rPr>
                    <w:t>注：1.废气中有毒有害污染物指纳入《有毒有害大气污染物名录》的污染物（不包括无排放标准的污染物）。</w:t>
                  </w:r>
                </w:p>
                <w:p w14:paraId="714A632E">
                  <w:pPr>
                    <w:widowControl/>
                    <w:jc w:val="left"/>
                    <w:rPr>
                      <w:color w:val="auto"/>
                      <w:szCs w:val="21"/>
                    </w:rPr>
                  </w:pPr>
                  <w:r>
                    <w:rPr>
                      <w:color w:val="auto"/>
                      <w:kern w:val="0"/>
                      <w:szCs w:val="21"/>
                      <w:lang w:bidi="ar"/>
                    </w:rPr>
                    <w:t>2.环境空气保护目标指自然保护区、风景名胜区、居住区、文化区和农村地区中人群较集中的区域。</w:t>
                  </w:r>
                </w:p>
                <w:p w14:paraId="4DCBD6F8">
                  <w:pPr>
                    <w:widowControl/>
                    <w:jc w:val="left"/>
                    <w:rPr>
                      <w:color w:val="auto"/>
                      <w:szCs w:val="21"/>
                    </w:rPr>
                  </w:pPr>
                  <w:r>
                    <w:rPr>
                      <w:color w:val="auto"/>
                      <w:kern w:val="0"/>
                      <w:szCs w:val="21"/>
                      <w:lang w:bidi="ar"/>
                    </w:rPr>
                    <w:t>3.临界量及其计算方法可参考《建设项目环境风险评价技术导则》（HJ169）附录B、附录C。</w:t>
                  </w:r>
                </w:p>
              </w:tc>
            </w:tr>
          </w:tbl>
          <w:p w14:paraId="23B18CB0">
            <w:pPr>
              <w:autoSpaceDE w:val="0"/>
              <w:autoSpaceDN w:val="0"/>
              <w:adjustRightInd w:val="0"/>
              <w:snapToGrid w:val="0"/>
              <w:rPr>
                <w:color w:val="auto"/>
                <w:kern w:val="0"/>
                <w:szCs w:val="21"/>
              </w:rPr>
            </w:pPr>
          </w:p>
        </w:tc>
      </w:tr>
      <w:tr w14:paraId="30DC91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834" w:type="dxa"/>
            <w:vAlign w:val="center"/>
          </w:tcPr>
          <w:p w14:paraId="5952C896">
            <w:pPr>
              <w:autoSpaceDE w:val="0"/>
              <w:autoSpaceDN w:val="0"/>
              <w:adjustRightInd w:val="0"/>
              <w:snapToGrid w:val="0"/>
              <w:jc w:val="center"/>
              <w:rPr>
                <w:color w:val="auto"/>
                <w:kern w:val="0"/>
                <w:szCs w:val="21"/>
              </w:rPr>
            </w:pPr>
            <w:r>
              <w:rPr>
                <w:color w:val="auto"/>
                <w:szCs w:val="21"/>
              </w:rPr>
              <w:t>规划情况</w:t>
            </w:r>
          </w:p>
        </w:tc>
        <w:tc>
          <w:tcPr>
            <w:tcW w:w="7036" w:type="dxa"/>
            <w:gridSpan w:val="3"/>
            <w:vAlign w:val="center"/>
          </w:tcPr>
          <w:p w14:paraId="57E5FC54">
            <w:pPr>
              <w:autoSpaceDE w:val="0"/>
              <w:autoSpaceDN w:val="0"/>
              <w:adjustRightInd w:val="0"/>
              <w:snapToGrid w:val="0"/>
              <w:spacing w:line="360" w:lineRule="auto"/>
              <w:jc w:val="left"/>
              <w:rPr>
                <w:color w:val="auto"/>
                <w:sz w:val="24"/>
                <w:szCs w:val="24"/>
                <w:lang w:bidi="ar"/>
              </w:rPr>
            </w:pPr>
            <w:r>
              <w:rPr>
                <w:color w:val="auto"/>
                <w:sz w:val="24"/>
                <w:szCs w:val="24"/>
                <w:lang w:bidi="ar"/>
              </w:rPr>
              <w:t xml:space="preserve">规划名称：《乐昌产业转移工业园城东片区控制性详细规划修编》； </w:t>
            </w:r>
          </w:p>
          <w:p w14:paraId="2D0E1A8D">
            <w:pPr>
              <w:autoSpaceDE w:val="0"/>
              <w:autoSpaceDN w:val="0"/>
              <w:adjustRightInd w:val="0"/>
              <w:snapToGrid w:val="0"/>
              <w:spacing w:line="360" w:lineRule="auto"/>
              <w:jc w:val="left"/>
              <w:rPr>
                <w:color w:val="auto"/>
                <w:sz w:val="24"/>
                <w:szCs w:val="24"/>
                <w:lang w:bidi="ar"/>
              </w:rPr>
            </w:pPr>
            <w:r>
              <w:rPr>
                <w:color w:val="auto"/>
                <w:sz w:val="24"/>
                <w:szCs w:val="24"/>
                <w:lang w:bidi="ar"/>
              </w:rPr>
              <w:t xml:space="preserve">审批机关：乐昌市自然资源局； </w:t>
            </w:r>
          </w:p>
          <w:p w14:paraId="111D6C9E">
            <w:pPr>
              <w:autoSpaceDE w:val="0"/>
              <w:autoSpaceDN w:val="0"/>
              <w:adjustRightInd w:val="0"/>
              <w:snapToGrid w:val="0"/>
              <w:spacing w:line="360" w:lineRule="auto"/>
              <w:jc w:val="left"/>
              <w:rPr>
                <w:color w:val="auto"/>
                <w:sz w:val="24"/>
                <w:szCs w:val="24"/>
                <w:lang w:bidi="ar"/>
              </w:rPr>
            </w:pPr>
            <w:r>
              <w:rPr>
                <w:color w:val="auto"/>
                <w:sz w:val="24"/>
                <w:szCs w:val="24"/>
                <w:lang w:bidi="ar"/>
              </w:rPr>
              <w:t>审批文号：关于《乐昌产业转移工业园城东片区控制性详细规划修编》等六项规划的批后公告</w:t>
            </w:r>
          </w:p>
        </w:tc>
      </w:tr>
      <w:tr w14:paraId="2BA402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834" w:type="dxa"/>
            <w:vAlign w:val="center"/>
          </w:tcPr>
          <w:p w14:paraId="18BD8318">
            <w:pPr>
              <w:adjustRightInd w:val="0"/>
              <w:snapToGrid w:val="0"/>
              <w:jc w:val="center"/>
              <w:rPr>
                <w:color w:val="auto"/>
                <w:szCs w:val="21"/>
              </w:rPr>
            </w:pPr>
            <w:r>
              <w:rPr>
                <w:color w:val="auto"/>
                <w:szCs w:val="21"/>
              </w:rPr>
              <w:t>规划环境影响</w:t>
            </w:r>
          </w:p>
          <w:p w14:paraId="395AFBB2">
            <w:pPr>
              <w:adjustRightInd w:val="0"/>
              <w:snapToGrid w:val="0"/>
              <w:jc w:val="center"/>
              <w:rPr>
                <w:color w:val="auto"/>
                <w:kern w:val="0"/>
                <w:szCs w:val="21"/>
              </w:rPr>
            </w:pPr>
            <w:r>
              <w:rPr>
                <w:color w:val="auto"/>
                <w:szCs w:val="21"/>
              </w:rPr>
              <w:t>评价情况</w:t>
            </w:r>
          </w:p>
        </w:tc>
        <w:tc>
          <w:tcPr>
            <w:tcW w:w="7036" w:type="dxa"/>
            <w:gridSpan w:val="3"/>
            <w:vAlign w:val="center"/>
          </w:tcPr>
          <w:p w14:paraId="69C12B33">
            <w:pPr>
              <w:autoSpaceDE w:val="0"/>
              <w:autoSpaceDN w:val="0"/>
              <w:adjustRightInd w:val="0"/>
              <w:snapToGrid w:val="0"/>
              <w:spacing w:line="360" w:lineRule="auto"/>
              <w:jc w:val="left"/>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规划环境影响评价文件名称：《</w:t>
            </w:r>
            <w:r>
              <w:rPr>
                <w:rFonts w:hint="eastAsia" w:ascii="Times New Roman" w:hAnsi="Times New Roman" w:eastAsia="宋体" w:cs="Times New Roman"/>
                <w:color w:val="auto"/>
                <w:sz w:val="24"/>
                <w:szCs w:val="24"/>
                <w:lang w:val="en-US" w:eastAsia="zh-CN" w:bidi="ar"/>
              </w:rPr>
              <w:t>韶关乐昌经济开发区规划环境影响报告书</w:t>
            </w:r>
            <w:r>
              <w:rPr>
                <w:rFonts w:hint="default" w:ascii="Times New Roman" w:hAnsi="Times New Roman" w:eastAsia="宋体" w:cs="Times New Roman"/>
                <w:color w:val="auto"/>
                <w:sz w:val="24"/>
                <w:szCs w:val="24"/>
                <w:lang w:bidi="ar"/>
              </w:rPr>
              <w:t>》；</w:t>
            </w:r>
          </w:p>
          <w:p w14:paraId="32A33259">
            <w:pPr>
              <w:autoSpaceDE w:val="0"/>
              <w:autoSpaceDN w:val="0"/>
              <w:adjustRightInd w:val="0"/>
              <w:snapToGrid w:val="0"/>
              <w:spacing w:line="360" w:lineRule="auto"/>
              <w:jc w:val="left"/>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审查机关：广东省生态环境厅；</w:t>
            </w:r>
          </w:p>
          <w:p w14:paraId="4E0F9DF9">
            <w:pPr>
              <w:autoSpaceDE w:val="0"/>
              <w:autoSpaceDN w:val="0"/>
              <w:adjustRightInd w:val="0"/>
              <w:snapToGrid w:val="0"/>
              <w:spacing w:line="360" w:lineRule="auto"/>
              <w:jc w:val="left"/>
              <w:rPr>
                <w:b/>
                <w:bCs/>
                <w:color w:val="auto"/>
                <w:sz w:val="24"/>
                <w:szCs w:val="24"/>
              </w:rPr>
            </w:pPr>
            <w:r>
              <w:rPr>
                <w:rFonts w:hint="default" w:ascii="Times New Roman" w:hAnsi="Times New Roman" w:eastAsia="宋体" w:cs="Times New Roman"/>
                <w:color w:val="auto"/>
                <w:sz w:val="24"/>
                <w:szCs w:val="24"/>
                <w:lang w:bidi="ar"/>
              </w:rPr>
              <w:t>审批文件名称及文号：广东省</w:t>
            </w:r>
            <w:r>
              <w:rPr>
                <w:rFonts w:hint="eastAsia" w:ascii="Times New Roman" w:hAnsi="Times New Roman" w:eastAsia="宋体" w:cs="Times New Roman"/>
                <w:color w:val="auto"/>
                <w:sz w:val="24"/>
                <w:szCs w:val="24"/>
                <w:lang w:val="en-US" w:eastAsia="zh-CN" w:bidi="ar"/>
              </w:rPr>
              <w:t>生态环境厅</w:t>
            </w:r>
            <w:r>
              <w:rPr>
                <w:rFonts w:hint="default" w:ascii="Times New Roman" w:hAnsi="Times New Roman" w:eastAsia="宋体" w:cs="Times New Roman"/>
                <w:color w:val="auto"/>
                <w:sz w:val="24"/>
                <w:szCs w:val="24"/>
                <w:lang w:bidi="ar"/>
              </w:rPr>
              <w:t>关于印发《</w:t>
            </w:r>
            <w:r>
              <w:rPr>
                <w:rFonts w:hint="eastAsia" w:ascii="Times New Roman" w:hAnsi="Times New Roman" w:eastAsia="宋体" w:cs="Times New Roman"/>
                <w:color w:val="auto"/>
                <w:sz w:val="24"/>
                <w:szCs w:val="24"/>
                <w:lang w:val="en-US" w:eastAsia="zh-CN" w:bidi="ar"/>
              </w:rPr>
              <w:t>韶关乐昌经济开发区规划环境影响报告书审查意见</w:t>
            </w:r>
            <w:r>
              <w:rPr>
                <w:rFonts w:hint="default" w:ascii="Times New Roman" w:hAnsi="Times New Roman" w:eastAsia="宋体" w:cs="Times New Roman"/>
                <w:color w:val="auto"/>
                <w:sz w:val="24"/>
                <w:szCs w:val="24"/>
                <w:lang w:bidi="ar"/>
              </w:rPr>
              <w:t>》的函（粤环函</w:t>
            </w:r>
            <w:r>
              <w:rPr>
                <w:rFonts w:hint="default" w:ascii="Times New Roman" w:hAnsi="Times New Roman" w:eastAsia="宋体" w:cs="Times New Roman"/>
                <w:color w:val="auto"/>
                <w:sz w:val="24"/>
                <w:szCs w:val="24"/>
                <w:lang w:eastAsia="zh-CN" w:bidi="ar"/>
              </w:rPr>
              <w:t>〔</w:t>
            </w:r>
            <w:r>
              <w:rPr>
                <w:rFonts w:hint="default" w:ascii="Times New Roman" w:hAnsi="Times New Roman" w:eastAsia="宋体" w:cs="Times New Roman"/>
                <w:color w:val="auto"/>
                <w:sz w:val="24"/>
                <w:szCs w:val="24"/>
                <w:lang w:bidi="ar"/>
              </w:rPr>
              <w:t>20</w:t>
            </w:r>
            <w:r>
              <w:rPr>
                <w:rFonts w:hint="eastAsia" w:ascii="Times New Roman" w:hAnsi="Times New Roman" w:eastAsia="宋体" w:cs="Times New Roman"/>
                <w:color w:val="auto"/>
                <w:sz w:val="24"/>
                <w:szCs w:val="24"/>
                <w:lang w:val="en-US" w:eastAsia="zh-CN" w:bidi="ar"/>
              </w:rPr>
              <w:t>26</w:t>
            </w:r>
            <w:r>
              <w:rPr>
                <w:rFonts w:hint="default" w:ascii="Times New Roman" w:hAnsi="Times New Roman" w:eastAsia="宋体"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80</w:t>
            </w:r>
            <w:r>
              <w:rPr>
                <w:rFonts w:hint="default" w:ascii="Times New Roman" w:hAnsi="Times New Roman" w:eastAsia="宋体" w:cs="Times New Roman"/>
                <w:color w:val="auto"/>
                <w:sz w:val="24"/>
                <w:szCs w:val="24"/>
                <w:lang w:bidi="ar"/>
              </w:rPr>
              <w:t>号）</w:t>
            </w:r>
          </w:p>
        </w:tc>
      </w:tr>
      <w:tr w14:paraId="2A9782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4" w:type="dxa"/>
            <w:vAlign w:val="center"/>
          </w:tcPr>
          <w:p w14:paraId="4DF478B3">
            <w:pPr>
              <w:autoSpaceDE w:val="0"/>
              <w:autoSpaceDN w:val="0"/>
              <w:adjustRightInd w:val="0"/>
              <w:snapToGrid w:val="0"/>
              <w:jc w:val="center"/>
              <w:rPr>
                <w:color w:val="auto"/>
                <w:kern w:val="0"/>
                <w:szCs w:val="21"/>
              </w:rPr>
            </w:pPr>
            <w:r>
              <w:rPr>
                <w:color w:val="auto"/>
                <w:kern w:val="0"/>
                <w:szCs w:val="21"/>
              </w:rPr>
              <w:t>规划及规划环境</w:t>
            </w:r>
          </w:p>
          <w:p w14:paraId="36C74AA3">
            <w:pPr>
              <w:autoSpaceDE w:val="0"/>
              <w:autoSpaceDN w:val="0"/>
              <w:adjustRightInd w:val="0"/>
              <w:snapToGrid w:val="0"/>
              <w:jc w:val="center"/>
              <w:rPr>
                <w:color w:val="auto"/>
                <w:kern w:val="0"/>
                <w:szCs w:val="21"/>
              </w:rPr>
            </w:pPr>
            <w:r>
              <w:rPr>
                <w:color w:val="auto"/>
                <w:kern w:val="0"/>
                <w:szCs w:val="21"/>
              </w:rPr>
              <w:t>影响评价符合性分析</w:t>
            </w:r>
          </w:p>
        </w:tc>
        <w:tc>
          <w:tcPr>
            <w:tcW w:w="7036" w:type="dxa"/>
            <w:gridSpan w:val="3"/>
            <w:vAlign w:val="center"/>
          </w:tcPr>
          <w:p w14:paraId="1687205D">
            <w:pPr>
              <w:autoSpaceDE w:val="0"/>
              <w:autoSpaceDN w:val="0"/>
              <w:adjustRightInd w:val="0"/>
              <w:snapToGrid w:val="0"/>
              <w:spacing w:line="360" w:lineRule="auto"/>
              <w:ind w:firstLine="482" w:firstLineChars="200"/>
              <w:jc w:val="left"/>
              <w:rPr>
                <w:b/>
                <w:bCs/>
                <w:color w:val="auto"/>
                <w:sz w:val="24"/>
                <w:szCs w:val="24"/>
                <w:lang w:bidi="ar"/>
              </w:rPr>
            </w:pPr>
            <w:r>
              <w:rPr>
                <w:b/>
                <w:bCs/>
                <w:color w:val="auto"/>
                <w:sz w:val="24"/>
                <w:szCs w:val="24"/>
                <w:lang w:bidi="ar"/>
              </w:rPr>
              <w:t>1、与《乐昌产业转移工业园城东片区控制性详细规划修编》相符性分析</w:t>
            </w:r>
          </w:p>
          <w:p w14:paraId="58F15EC2">
            <w:pPr>
              <w:autoSpaceDE w:val="0"/>
              <w:autoSpaceDN w:val="0"/>
              <w:adjustRightInd w:val="0"/>
              <w:snapToGrid w:val="0"/>
              <w:spacing w:line="360" w:lineRule="auto"/>
              <w:ind w:firstLine="480" w:firstLineChars="200"/>
              <w:jc w:val="left"/>
              <w:rPr>
                <w:rFonts w:hint="eastAsia" w:eastAsiaTheme="minorEastAsia"/>
                <w:color w:val="auto"/>
                <w:sz w:val="24"/>
                <w:szCs w:val="24"/>
                <w:lang w:eastAsia="zh-CN" w:bidi="ar"/>
              </w:rPr>
            </w:pPr>
            <w:r>
              <w:rPr>
                <w:color w:val="auto"/>
                <w:sz w:val="24"/>
                <w:szCs w:val="24"/>
                <w:lang w:bidi="ar"/>
              </w:rPr>
              <w:t>根据《乐昌产业转移工业园城东片区控制性详细规划修编》，所在片区规划发展目标为：两大主导产业和一个重点发展产业的“2+1”产业发展模式，即“粤北机械装备制造的重要承接地”、“粤北绿色家居建筑装饰新材料的聚集地”两个主导产业和“特色轻工业”一个重点发展产业的新型园区。本项目位于二类工业用地，主要从事蚊香、电蚊液生产制造，属于工业制造项目，满足国家和地方相关产业政策，不排放一类污染物和有毒有害物质，不向河流排放含汞、砷、镉、铬、铅等重金属污染物和持久性有机污染物，不属于园区禁止项目，符合园区准入条件。 根据上述分析可知，本项目符合乐昌产业转移工业园城东片区控制性详细规划，选址是合理的，进入园区与园区布局是相符的</w:t>
            </w:r>
            <w:r>
              <w:rPr>
                <w:rStyle w:val="44"/>
                <w:rFonts w:hint="eastAsia" w:eastAsiaTheme="minorEastAsia"/>
                <w:color w:val="auto"/>
                <w:sz w:val="24"/>
                <w:szCs w:val="24"/>
                <w:lang w:eastAsia="zh-CN"/>
              </w:rPr>
              <w:t>。</w:t>
            </w:r>
          </w:p>
          <w:p w14:paraId="3ECD238D">
            <w:pPr>
              <w:autoSpaceDE w:val="0"/>
              <w:autoSpaceDN w:val="0"/>
              <w:adjustRightInd w:val="0"/>
              <w:snapToGrid w:val="0"/>
              <w:spacing w:line="360" w:lineRule="auto"/>
              <w:ind w:firstLine="482" w:firstLineChars="200"/>
              <w:jc w:val="left"/>
              <w:rPr>
                <w:rFonts w:ascii="Times New Roman" w:hAnsi="Times New Roman" w:eastAsia="宋体" w:cs="Times New Roman"/>
                <w:b/>
                <w:bCs/>
                <w:color w:val="auto"/>
                <w:sz w:val="24"/>
                <w:szCs w:val="24"/>
                <w:lang w:bidi="ar"/>
              </w:rPr>
            </w:pPr>
            <w:r>
              <w:rPr>
                <w:rFonts w:ascii="Times New Roman" w:hAnsi="Times New Roman" w:eastAsia="宋体" w:cs="Times New Roman"/>
                <w:b/>
                <w:bCs/>
                <w:color w:val="auto"/>
                <w:sz w:val="24"/>
                <w:szCs w:val="24"/>
                <w:lang w:bidi="ar"/>
              </w:rPr>
              <w:t>2、</w:t>
            </w:r>
            <w:r>
              <w:rPr>
                <w:rFonts w:hint="default" w:ascii="Times New Roman" w:hAnsi="Times New Roman" w:eastAsia="宋体" w:cs="Times New Roman"/>
                <w:b/>
                <w:bCs/>
                <w:color w:val="auto"/>
                <w:sz w:val="24"/>
                <w:szCs w:val="24"/>
                <w:lang w:bidi="ar"/>
              </w:rPr>
              <w:t>与</w:t>
            </w:r>
            <w:r>
              <w:rPr>
                <w:rFonts w:hint="eastAsia" w:ascii="Times New Roman" w:hAnsi="Times New Roman" w:eastAsia="宋体" w:cs="Times New Roman"/>
                <w:b/>
                <w:bCs/>
                <w:color w:val="auto"/>
                <w:sz w:val="24"/>
                <w:szCs w:val="24"/>
                <w:lang w:eastAsia="zh-CN" w:bidi="ar"/>
              </w:rPr>
              <w:t>《韶关乐昌经济开发区规划环境影响报告书》</w:t>
            </w:r>
            <w:r>
              <w:rPr>
                <w:rFonts w:hint="default" w:ascii="Times New Roman" w:hAnsi="Times New Roman" w:eastAsia="宋体" w:cs="Times New Roman"/>
                <w:b/>
                <w:bCs/>
                <w:color w:val="auto"/>
                <w:sz w:val="24"/>
                <w:szCs w:val="24"/>
                <w:lang w:bidi="ar"/>
              </w:rPr>
              <w:t>及其审查意见相符性分析</w:t>
            </w:r>
          </w:p>
          <w:p w14:paraId="5FBAC69A">
            <w:pPr>
              <w:autoSpaceDE w:val="0"/>
              <w:autoSpaceDN w:val="0"/>
              <w:adjustRightInd w:val="0"/>
              <w:snapToGrid w:val="0"/>
              <w:spacing w:line="360" w:lineRule="auto"/>
              <w:ind w:firstLine="480" w:firstLineChars="200"/>
              <w:jc w:val="left"/>
              <w:rPr>
                <w:rFonts w:hint="eastAsia" w:ascii="Times New Roman" w:hAnsi="Times New Roman" w:eastAsia="宋体" w:cs="Times New Roman"/>
                <w:color w:val="auto"/>
                <w:sz w:val="24"/>
                <w:szCs w:val="24"/>
                <w:lang w:eastAsia="zh-CN" w:bidi="ar"/>
              </w:rPr>
            </w:pPr>
            <w:bookmarkStart w:id="10" w:name="_Toc24148"/>
            <w:bookmarkStart w:id="11" w:name="_Toc9596"/>
            <w:r>
              <w:rPr>
                <w:rFonts w:hint="default" w:ascii="Times New Roman" w:hAnsi="Times New Roman" w:eastAsia="宋体" w:cs="Times New Roman"/>
                <w:color w:val="auto"/>
                <w:sz w:val="24"/>
                <w:szCs w:val="24"/>
                <w:lang w:bidi="ar"/>
              </w:rPr>
              <w:t>根据《</w:t>
            </w:r>
            <w:r>
              <w:rPr>
                <w:rFonts w:hint="eastAsia" w:ascii="Times New Roman" w:hAnsi="Times New Roman" w:eastAsia="宋体" w:cs="Times New Roman"/>
                <w:color w:val="auto"/>
                <w:sz w:val="24"/>
                <w:szCs w:val="24"/>
                <w:lang w:val="en-US" w:eastAsia="zh-CN" w:bidi="ar"/>
              </w:rPr>
              <w:t>韶关乐昌经济开发区规划环境影响报告书</w:t>
            </w:r>
            <w:r>
              <w:rPr>
                <w:rFonts w:hint="default" w:ascii="Times New Roman" w:hAnsi="Times New Roman" w:eastAsia="宋体" w:cs="Times New Roman"/>
                <w:color w:val="auto"/>
                <w:sz w:val="24"/>
                <w:szCs w:val="24"/>
                <w:lang w:bidi="ar"/>
              </w:rPr>
              <w:t>》及其审查意见</w:t>
            </w:r>
            <w:r>
              <w:rPr>
                <w:rFonts w:hint="eastAsia" w:ascii="Times New Roman" w:hAnsi="Times New Roman" w:eastAsia="宋体" w:cs="Times New Roman"/>
                <w:color w:val="auto"/>
                <w:sz w:val="24"/>
                <w:szCs w:val="24"/>
                <w:lang w:eastAsia="zh-CN" w:bidi="ar"/>
              </w:rPr>
              <w:t>：</w:t>
            </w:r>
          </w:p>
          <w:p w14:paraId="4CE475AD">
            <w:pPr>
              <w:autoSpaceDE w:val="0"/>
              <w:autoSpaceDN w:val="0"/>
              <w:adjustRightInd w:val="0"/>
              <w:snapToGrid w:val="0"/>
              <w:spacing w:line="360" w:lineRule="auto"/>
              <w:ind w:firstLine="480" w:firstLineChars="200"/>
              <w:jc w:val="left"/>
              <w:rPr>
                <w:rFonts w:hint="eastAsia" w:ascii="Times New Roman" w:hAnsi="Times New Roman" w:eastAsia="宋体" w:cs="Times New Roman"/>
                <w:color w:val="auto"/>
                <w:sz w:val="24"/>
                <w:szCs w:val="24"/>
                <w:lang w:eastAsia="zh-CN" w:bidi="ar"/>
              </w:rPr>
            </w:pPr>
            <w:r>
              <w:rPr>
                <w:rFonts w:hint="eastAsia" w:ascii="Times New Roman" w:hAnsi="Times New Roman" w:eastAsia="宋体"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一</w:t>
            </w:r>
            <w:r>
              <w:rPr>
                <w:rFonts w:hint="eastAsia" w:ascii="Times New Roman" w:hAnsi="Times New Roman" w:eastAsia="宋体" w:cs="Times New Roman"/>
                <w:color w:val="auto"/>
                <w:sz w:val="24"/>
                <w:szCs w:val="24"/>
                <w:lang w:eastAsia="zh-CN" w:bidi="ar"/>
              </w:rPr>
              <w:t>）</w:t>
            </w:r>
            <w:r>
              <w:rPr>
                <w:rFonts w:hint="default" w:ascii="Times New Roman" w:hAnsi="Times New Roman" w:eastAsia="宋体" w:cs="Times New Roman"/>
                <w:color w:val="auto"/>
                <w:sz w:val="24"/>
                <w:szCs w:val="24"/>
                <w:lang w:bidi="ar"/>
              </w:rPr>
              <w:t>原广东乐昌经济开发区与原乐昌产业转移工业园及周边新增用地进行整合优化，形成韶关乐昌经济开发区（以下简称园区），并调整园区边界。调整后的园区面积为 691.1483 公顷，分为城东片区（520.2648 公顷）、城南片区（170.8835 公顷）两个片区，主导产业为金属制品业、橡胶和塑料制品业以及计算机、通信和其他电子设备制造业，兼顾发展食品加工产业</w:t>
            </w:r>
            <w:r>
              <w:rPr>
                <w:rFonts w:hint="eastAsia" w:ascii="Times New Roman" w:hAnsi="Times New Roman" w:eastAsia="宋体" w:cs="Times New Roman"/>
                <w:color w:val="auto"/>
                <w:sz w:val="24"/>
                <w:szCs w:val="24"/>
                <w:lang w:eastAsia="zh-CN" w:bidi="ar"/>
              </w:rPr>
              <w:t>；</w:t>
            </w:r>
          </w:p>
          <w:p w14:paraId="0932CF8C">
            <w:pPr>
              <w:autoSpaceDE w:val="0"/>
              <w:autoSpaceDN w:val="0"/>
              <w:adjustRightInd w:val="0"/>
              <w:snapToGrid w:val="0"/>
              <w:spacing w:line="360" w:lineRule="auto"/>
              <w:ind w:firstLine="480" w:firstLineChars="200"/>
              <w:jc w:val="left"/>
              <w:rPr>
                <w:rFonts w:hint="eastAsia" w:ascii="Times New Roman" w:hAnsi="Times New Roman" w:eastAsia="宋体" w:cs="Times New Roman"/>
                <w:color w:val="auto"/>
                <w:sz w:val="24"/>
                <w:szCs w:val="24"/>
                <w:lang w:eastAsia="zh-CN" w:bidi="ar"/>
              </w:rPr>
            </w:pPr>
            <w:r>
              <w:rPr>
                <w:rFonts w:hint="eastAsia" w:ascii="Times New Roman" w:hAnsi="Times New Roman" w:eastAsia="宋体"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二</w:t>
            </w:r>
            <w:r>
              <w:rPr>
                <w:rFonts w:hint="eastAsia" w:ascii="Times New Roman" w:hAnsi="Times New Roman" w:eastAsia="宋体" w:cs="Times New Roman"/>
                <w:color w:val="auto"/>
                <w:sz w:val="24"/>
                <w:szCs w:val="24"/>
                <w:lang w:eastAsia="zh-CN" w:bidi="ar"/>
              </w:rPr>
              <w:t>）</w:t>
            </w:r>
            <w:r>
              <w:rPr>
                <w:rFonts w:hint="default" w:ascii="Times New Roman" w:hAnsi="Times New Roman" w:eastAsia="宋体" w:cs="Times New Roman"/>
                <w:color w:val="auto"/>
                <w:sz w:val="24"/>
                <w:szCs w:val="24"/>
                <w:lang w:bidi="ar"/>
              </w:rPr>
              <w:t>开发建设应符合国家开发区管理有关政策以及我省国土空间总体规划、工业园区高质量发展等要求，严格执行生态环境分区管控相关要求，禁止建设不符合生态环境分区管控要求和规划环评生态环境准入清单的项目</w:t>
            </w:r>
            <w:r>
              <w:rPr>
                <w:rFonts w:hint="eastAsia" w:ascii="Times New Roman" w:hAnsi="Times New Roman" w:eastAsia="宋体" w:cs="Times New Roman"/>
                <w:color w:val="auto"/>
                <w:sz w:val="24"/>
                <w:szCs w:val="24"/>
                <w:lang w:eastAsia="zh-CN" w:bidi="ar"/>
              </w:rPr>
              <w:t>；</w:t>
            </w:r>
          </w:p>
          <w:p w14:paraId="4A3DAD36">
            <w:pPr>
              <w:autoSpaceDE w:val="0"/>
              <w:autoSpaceDN w:val="0"/>
              <w:adjustRightInd w:val="0"/>
              <w:snapToGrid w:val="0"/>
              <w:spacing w:line="360" w:lineRule="auto"/>
              <w:ind w:firstLine="480" w:firstLineChars="200"/>
              <w:jc w:val="left"/>
              <w:rPr>
                <w:rFonts w:hint="eastAsia" w:ascii="Times New Roman" w:hAnsi="Times New Roman" w:eastAsia="宋体" w:cs="Times New Roman"/>
                <w:color w:val="auto"/>
                <w:sz w:val="24"/>
                <w:szCs w:val="24"/>
                <w:lang w:eastAsia="zh-CN" w:bidi="ar"/>
              </w:rPr>
            </w:pPr>
            <w:r>
              <w:rPr>
                <w:rFonts w:hint="eastAsia" w:ascii="Times New Roman" w:hAnsi="Times New Roman" w:eastAsia="宋体"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三</w:t>
            </w:r>
            <w:r>
              <w:rPr>
                <w:rFonts w:hint="eastAsia" w:ascii="Times New Roman" w:hAnsi="Times New Roman" w:eastAsia="宋体" w:cs="Times New Roman"/>
                <w:color w:val="auto"/>
                <w:sz w:val="24"/>
                <w:szCs w:val="24"/>
                <w:lang w:eastAsia="zh-CN" w:bidi="ar"/>
              </w:rPr>
              <w:t>）</w:t>
            </w:r>
            <w:r>
              <w:rPr>
                <w:rFonts w:hint="default" w:ascii="Times New Roman" w:hAnsi="Times New Roman" w:eastAsia="宋体" w:cs="Times New Roman"/>
                <w:color w:val="auto"/>
                <w:sz w:val="24"/>
                <w:szCs w:val="24"/>
                <w:lang w:bidi="ar"/>
              </w:rPr>
              <w:t>邻近居民点、学校的工业用地优先建设无污染或轻污染的企业和项目，加强园区企业管理，并采取设置绿化隔离带等措施，防止对周边居民和学校造成不良环境影响</w:t>
            </w:r>
            <w:r>
              <w:rPr>
                <w:rFonts w:hint="eastAsia" w:ascii="Times New Roman" w:hAnsi="Times New Roman" w:eastAsia="宋体" w:cs="Times New Roman"/>
                <w:color w:val="auto"/>
                <w:sz w:val="24"/>
                <w:szCs w:val="24"/>
                <w:lang w:eastAsia="zh-CN" w:bidi="ar"/>
              </w:rPr>
              <w:t>；</w:t>
            </w:r>
          </w:p>
          <w:p w14:paraId="69FE170F">
            <w:pPr>
              <w:autoSpaceDE w:val="0"/>
              <w:autoSpaceDN w:val="0"/>
              <w:adjustRightInd w:val="0"/>
              <w:snapToGrid w:val="0"/>
              <w:spacing w:line="360" w:lineRule="auto"/>
              <w:ind w:firstLine="480" w:firstLineChars="200"/>
              <w:jc w:val="left"/>
              <w:rPr>
                <w:rFonts w:hint="eastAsia" w:ascii="Times New Roman" w:hAnsi="Times New Roman" w:eastAsia="宋体" w:cs="Times New Roman"/>
                <w:color w:val="auto"/>
                <w:sz w:val="24"/>
                <w:szCs w:val="24"/>
                <w:lang w:eastAsia="zh-CN" w:bidi="ar"/>
              </w:rPr>
            </w:pPr>
            <w:r>
              <w:rPr>
                <w:rFonts w:hint="eastAsia" w:ascii="Times New Roman" w:hAnsi="Times New Roman" w:eastAsia="宋体"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四</w:t>
            </w:r>
            <w:r>
              <w:rPr>
                <w:rFonts w:hint="eastAsia" w:ascii="Times New Roman" w:hAnsi="Times New Roman" w:eastAsia="宋体" w:cs="Times New Roman"/>
                <w:color w:val="auto"/>
                <w:sz w:val="24"/>
                <w:szCs w:val="24"/>
                <w:lang w:eastAsia="zh-CN" w:bidi="ar"/>
              </w:rPr>
              <w:t>）入园企业应优先使用天然气、电能等清洁能源，提升能源资源利用效率；应按规定淘汰落后、低效废气处理措施，强化废气收集、处理，确保大气污染物达标排放；按照《关于加强重点行业涉新污染物建设项目环境影响评价工作的意见》（环环评〔2025〕28 号）要求，加强重点行业涉新污染物建设项目生态环境管理，不得建设以禁止生产、加工使用的新污染物作为原辅料或产品的项目；</w:t>
            </w:r>
          </w:p>
          <w:p w14:paraId="53B2A3B0">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五）入园企业应严格落实主要污染物排放总量控制要求。工业废水和生活污水排放量应控制在10350吨/日以内，化学需氧量、氨氮、总磷排放量分别控制在138.48吨/年、17.31吨/年、1.73吨/年以内。氮氧化物、挥发性有机化合物排放量应分别控制在69.19吨/年、258.80吨/年以内。</w:t>
            </w:r>
          </w:p>
          <w:bookmarkEnd w:id="10"/>
          <w:bookmarkEnd w:id="11"/>
          <w:p w14:paraId="2B6F5093">
            <w:pPr>
              <w:autoSpaceDE w:val="0"/>
              <w:autoSpaceDN w:val="0"/>
              <w:adjustRightInd w:val="0"/>
              <w:snapToGrid w:val="0"/>
              <w:spacing w:line="360" w:lineRule="auto"/>
              <w:ind w:firstLine="480" w:firstLineChars="200"/>
              <w:jc w:val="left"/>
              <w:rPr>
                <w:rFonts w:hint="eastAsia" w:ascii="Times New Roman" w:hAnsi="Times New Roman" w:eastAsia="宋体" w:cs="Times New Roman"/>
                <w:color w:val="auto"/>
                <w:sz w:val="24"/>
                <w:szCs w:val="24"/>
                <w:lang w:eastAsia="zh-CN" w:bidi="ar"/>
              </w:rPr>
            </w:pPr>
            <w:r>
              <w:rPr>
                <w:rFonts w:hint="eastAsia" w:ascii="Times New Roman" w:hAnsi="Times New Roman" w:eastAsia="宋体" w:cs="Times New Roman"/>
                <w:color w:val="auto"/>
                <w:sz w:val="24"/>
                <w:szCs w:val="24"/>
                <w:lang w:val="en-US" w:eastAsia="zh-CN" w:bidi="ar"/>
              </w:rPr>
              <w:t>本项目位于</w:t>
            </w:r>
            <w:r>
              <w:rPr>
                <w:rFonts w:hint="eastAsia" w:ascii="Times New Roman" w:hAnsi="Times New Roman" w:eastAsia="宋体" w:cs="Times New Roman"/>
                <w:color w:val="auto"/>
                <w:sz w:val="24"/>
                <w:szCs w:val="24"/>
                <w:lang w:eastAsia="zh-CN" w:bidi="ar"/>
              </w:rPr>
              <w:t>韶关乐昌经济开发区</w:t>
            </w:r>
            <w:r>
              <w:rPr>
                <w:rFonts w:hint="eastAsia" w:ascii="Times New Roman" w:hAnsi="Times New Roman" w:eastAsia="宋体" w:cs="Times New Roman"/>
                <w:color w:val="auto"/>
                <w:sz w:val="24"/>
                <w:szCs w:val="24"/>
                <w:lang w:val="en-US" w:eastAsia="zh-CN" w:bidi="ar"/>
              </w:rPr>
              <w:t>的城东片区，</w:t>
            </w:r>
            <w:r>
              <w:rPr>
                <w:rFonts w:ascii="Times New Roman" w:hAnsi="Times New Roman" w:eastAsia="宋体" w:cs="Times New Roman"/>
                <w:color w:val="auto"/>
                <w:sz w:val="24"/>
                <w:szCs w:val="24"/>
                <w:lang w:bidi="ar"/>
              </w:rPr>
              <w:t>本项目满足国家和地方相关产业政策，不属于园区禁止项目</w:t>
            </w:r>
            <w:r>
              <w:rPr>
                <w:rFonts w:hint="eastAsia" w:ascii="Times New Roman" w:hAnsi="Times New Roman" w:eastAsia="宋体" w:cs="Times New Roman"/>
                <w:color w:val="auto"/>
                <w:sz w:val="24"/>
                <w:szCs w:val="24"/>
                <w:lang w:eastAsia="zh-CN" w:bidi="ar"/>
              </w:rPr>
              <w:t>，</w:t>
            </w:r>
            <w:r>
              <w:rPr>
                <w:rFonts w:hint="default" w:ascii="Times New Roman" w:hAnsi="Times New Roman" w:eastAsia="宋体" w:cs="Times New Roman"/>
                <w:color w:val="auto"/>
                <w:sz w:val="24"/>
                <w:szCs w:val="24"/>
                <w:lang w:bidi="ar"/>
              </w:rPr>
              <w:t>符合生态环境分区管控要求和规划环评生态环境准入清单</w:t>
            </w:r>
            <w:r>
              <w:rPr>
                <w:rFonts w:hint="eastAsia" w:ascii="Times New Roman" w:hAnsi="Times New Roman" w:eastAsia="宋体"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本项目不与居民点、学校相邻，厂界与最近的居民点相距约490m</w:t>
            </w:r>
            <w:r>
              <w:rPr>
                <w:rFonts w:hint="default" w:ascii="Times New Roman" w:hAnsi="Times New Roman" w:eastAsia="宋体" w:cs="Times New Roman"/>
                <w:color w:val="auto"/>
                <w:sz w:val="24"/>
                <w:szCs w:val="24"/>
                <w:lang w:bidi="ar"/>
              </w:rPr>
              <w:t>。</w:t>
            </w:r>
            <w:r>
              <w:rPr>
                <w:rFonts w:hint="eastAsia" w:ascii="Times New Roman" w:hAnsi="Times New Roman" w:eastAsia="宋体" w:cs="Times New Roman"/>
                <w:color w:val="auto"/>
                <w:sz w:val="24"/>
                <w:szCs w:val="24"/>
                <w:lang w:val="en-US" w:eastAsia="zh-CN" w:bidi="ar"/>
              </w:rPr>
              <w:t>本项目能源和资源消耗主要为电能，本项目生产废气处理措施不属于淘汰、落后类，各大气污染物经</w:t>
            </w:r>
            <w:r>
              <w:rPr>
                <w:rFonts w:hint="eastAsia" w:ascii="Times New Roman" w:hAnsi="Times New Roman" w:eastAsia="宋体" w:cs="Times New Roman"/>
                <w:color w:val="auto"/>
                <w:sz w:val="24"/>
                <w:szCs w:val="24"/>
                <w:lang w:eastAsia="zh-CN" w:bidi="ar"/>
              </w:rPr>
              <w:t>收集、处理</w:t>
            </w:r>
            <w:r>
              <w:rPr>
                <w:rFonts w:hint="eastAsia" w:ascii="Times New Roman" w:hAnsi="Times New Roman" w:eastAsia="宋体" w:cs="Times New Roman"/>
                <w:color w:val="auto"/>
                <w:sz w:val="24"/>
                <w:szCs w:val="24"/>
                <w:lang w:val="en-US" w:eastAsia="zh-CN" w:bidi="ar"/>
              </w:rPr>
              <w:t>后均能</w:t>
            </w:r>
            <w:r>
              <w:rPr>
                <w:rFonts w:hint="eastAsia" w:ascii="Times New Roman" w:hAnsi="Times New Roman" w:eastAsia="宋体" w:cs="Times New Roman"/>
                <w:color w:val="auto"/>
                <w:sz w:val="24"/>
                <w:szCs w:val="24"/>
                <w:lang w:eastAsia="zh-CN" w:bidi="ar"/>
              </w:rPr>
              <w:t>达标排放。</w:t>
            </w:r>
            <w:r>
              <w:rPr>
                <w:rFonts w:hint="eastAsia" w:ascii="Times New Roman" w:hAnsi="Times New Roman" w:eastAsia="宋体" w:cs="Times New Roman"/>
                <w:color w:val="auto"/>
                <w:sz w:val="24"/>
                <w:szCs w:val="24"/>
                <w:lang w:val="en-US" w:eastAsia="zh-CN"/>
              </w:rPr>
              <w:t>本项目属于农药行业，不涉及</w:t>
            </w:r>
            <w:r>
              <w:rPr>
                <w:rFonts w:hint="eastAsia" w:ascii="Times New Roman" w:hAnsi="Times New Roman" w:eastAsia="宋体" w:cs="Times New Roman"/>
                <w:color w:val="auto"/>
                <w:sz w:val="24"/>
                <w:szCs w:val="24"/>
              </w:rPr>
              <w:t>重点管控新污染物清单、有毒有害污染物名录、优先控制化学品名录以及《关于持久性有机污染物的斯德哥尔摩公约》</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rPr>
              <w:t>简称《斯德哥尔摩公约》</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bidi="ar"/>
              </w:rPr>
              <w:t>本项目废水主要为生活污水，生活污水经三级化粪池预处理后排入园区污水处理厂进一步处理。挥发性有机物的实施总量控制，由建设单位向韶关市生态环境局申请分配，不会超园区总量控制要求。因此，本项目与</w:t>
            </w:r>
            <w:r>
              <w:rPr>
                <w:rFonts w:hint="eastAsia" w:ascii="Times New Roman" w:hAnsi="Times New Roman" w:eastAsia="宋体" w:cs="Times New Roman"/>
                <w:color w:val="auto"/>
                <w:sz w:val="24"/>
                <w:szCs w:val="24"/>
                <w:lang w:eastAsia="zh-CN" w:bidi="ar"/>
              </w:rPr>
              <w:t>《韶关乐昌经济开发区规划环境影响报告书》</w:t>
            </w:r>
            <w:r>
              <w:rPr>
                <w:rFonts w:hint="default" w:ascii="Times New Roman" w:hAnsi="Times New Roman" w:eastAsia="宋体" w:cs="Times New Roman"/>
                <w:color w:val="auto"/>
                <w:sz w:val="24"/>
                <w:szCs w:val="24"/>
                <w:lang w:bidi="ar"/>
              </w:rPr>
              <w:t>及其审查意见相符</w:t>
            </w:r>
            <w:r>
              <w:rPr>
                <w:rFonts w:hint="eastAsia" w:ascii="Times New Roman" w:hAnsi="Times New Roman" w:eastAsia="宋体" w:cs="Times New Roman"/>
                <w:color w:val="auto"/>
                <w:sz w:val="24"/>
                <w:szCs w:val="24"/>
                <w:lang w:eastAsia="zh-CN" w:bidi="ar"/>
              </w:rPr>
              <w:t>。</w:t>
            </w:r>
          </w:p>
          <w:p w14:paraId="05238669">
            <w:pPr>
              <w:pStyle w:val="178"/>
              <w:keepNext w:val="0"/>
              <w:keepLines w:val="0"/>
              <w:pageBreakBefore w:val="0"/>
              <w:numPr>
                <w:ilvl w:val="0"/>
                <w:numId w:val="0"/>
              </w:numPr>
              <w:suppressLineNumbers w:val="0"/>
              <w:kinsoku/>
              <w:wordWrap w:val="0"/>
              <w:overflowPunct/>
              <w:topLinePunct w:val="0"/>
              <w:autoSpaceDE/>
              <w:autoSpaceDN/>
              <w:bidi w:val="0"/>
              <w:adjustRightInd/>
              <w:snapToGrid/>
              <w:spacing w:before="0" w:beforeAutospacing="0" w:after="0" w:afterAutospacing="0" w:line="276" w:lineRule="auto"/>
              <w:ind w:leftChars="0" w:right="0" w:rightChars="0"/>
              <w:jc w:val="center"/>
              <w:rPr>
                <w:rFonts w:hint="default" w:ascii="Times New Roman" w:hAnsi="Times New Roman" w:eastAsia="宋体" w:cs="Times New Roman"/>
                <w:b/>
                <w:bCs/>
                <w:color w:val="auto"/>
                <w:kern w:val="0"/>
                <w:sz w:val="24"/>
                <w:szCs w:val="24"/>
                <w:lang w:val="en-US" w:eastAsia="zh-CN"/>
              </w:rPr>
            </w:pPr>
            <w:r>
              <w:rPr>
                <w:rFonts w:ascii="Times New Roman" w:hAnsi="Times New Roman" w:eastAsia="宋体" w:cs="Times New Roman"/>
                <w:b/>
                <w:bCs/>
                <w:color w:val="auto"/>
                <w:kern w:val="0"/>
                <w:sz w:val="24"/>
                <w:szCs w:val="24"/>
              </w:rPr>
              <w:t>表</w:t>
            </w:r>
            <w:r>
              <w:rPr>
                <w:rFonts w:ascii="Times New Roman" w:hAnsi="Times New Roman" w:eastAsia="宋体" w:cs="Times New Roman"/>
                <w:b/>
                <w:bCs/>
                <w:color w:val="auto"/>
                <w:kern w:val="0"/>
                <w:sz w:val="24"/>
                <w:szCs w:val="24"/>
              </w:rPr>
              <w:fldChar w:fldCharType="begin"/>
            </w:r>
            <w:r>
              <w:rPr>
                <w:rFonts w:ascii="Times New Roman" w:hAnsi="Times New Roman" w:eastAsia="宋体" w:cs="Times New Roman"/>
                <w:b/>
                <w:bCs/>
                <w:color w:val="auto"/>
                <w:kern w:val="0"/>
                <w:sz w:val="24"/>
                <w:szCs w:val="24"/>
              </w:rPr>
              <w:instrText xml:space="preserve"> SEQ 表 \* ARABIC </w:instrText>
            </w:r>
            <w:r>
              <w:rPr>
                <w:rFonts w:ascii="Times New Roman" w:hAnsi="Times New Roman" w:eastAsia="宋体" w:cs="Times New Roman"/>
                <w:b/>
                <w:bCs/>
                <w:color w:val="auto"/>
                <w:kern w:val="0"/>
                <w:sz w:val="24"/>
                <w:szCs w:val="24"/>
              </w:rPr>
              <w:fldChar w:fldCharType="separate"/>
            </w:r>
            <w:r>
              <w:rPr>
                <w:rFonts w:ascii="Times New Roman" w:hAnsi="Times New Roman" w:eastAsia="宋体" w:cs="Times New Roman"/>
                <w:b/>
                <w:bCs/>
                <w:color w:val="auto"/>
                <w:kern w:val="0"/>
                <w:sz w:val="24"/>
                <w:szCs w:val="24"/>
              </w:rPr>
              <w:t>2</w:t>
            </w:r>
            <w:r>
              <w:rPr>
                <w:rFonts w:ascii="Times New Roman" w:hAnsi="Times New Roman" w:eastAsia="宋体" w:cs="Times New Roman"/>
                <w:b/>
                <w:bCs/>
                <w:color w:val="auto"/>
                <w:kern w:val="0"/>
                <w:sz w:val="24"/>
                <w:szCs w:val="24"/>
              </w:rPr>
              <w:fldChar w:fldCharType="end"/>
            </w:r>
            <w:r>
              <w:rPr>
                <w:rFonts w:ascii="Times New Roman" w:hAnsi="Times New Roman" w:eastAsia="宋体" w:cs="Times New Roman"/>
                <w:b/>
                <w:bCs/>
                <w:color w:val="auto"/>
                <w:kern w:val="0"/>
                <w:sz w:val="24"/>
                <w:szCs w:val="24"/>
              </w:rPr>
              <w:t xml:space="preserve"> </w:t>
            </w:r>
            <w:r>
              <w:rPr>
                <w:rFonts w:hint="eastAsia" w:ascii="Times New Roman" w:hAnsi="Times New Roman" w:eastAsia="宋体" w:cs="Times New Roman"/>
                <w:b/>
                <w:bCs/>
                <w:color w:val="auto"/>
                <w:kern w:val="0"/>
                <w:sz w:val="24"/>
                <w:szCs w:val="24"/>
                <w:lang w:val="en-US" w:eastAsia="zh-CN"/>
              </w:rPr>
              <w:t>与</w:t>
            </w:r>
            <w:r>
              <w:rPr>
                <w:rFonts w:hint="default" w:ascii="Times New Roman" w:hAnsi="Times New Roman" w:eastAsia="宋体" w:cs="Times New Roman"/>
                <w:b/>
                <w:bCs/>
                <w:color w:val="auto"/>
                <w:kern w:val="0"/>
                <w:sz w:val="24"/>
                <w:szCs w:val="24"/>
              </w:rPr>
              <w:t>城东片区总体生态环境准入清单</w:t>
            </w:r>
            <w:r>
              <w:rPr>
                <w:rFonts w:hint="default" w:ascii="Times New Roman" w:hAnsi="Times New Roman" w:eastAsia="宋体" w:cs="Times New Roman"/>
                <w:b/>
                <w:bCs/>
                <w:color w:val="auto"/>
                <w:kern w:val="0"/>
                <w:sz w:val="24"/>
                <w:szCs w:val="24"/>
                <w:lang w:val="en-US" w:eastAsia="zh-CN"/>
              </w:rPr>
              <w:t>相符性分析</w:t>
            </w:r>
          </w:p>
          <w:tbl>
            <w:tblPr>
              <w:tblStyle w:val="37"/>
              <w:tblW w:w="7567" w:type="dxa"/>
              <w:tblInd w:w="-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6"/>
              <w:gridCol w:w="491"/>
              <w:gridCol w:w="2657"/>
              <w:gridCol w:w="3233"/>
              <w:gridCol w:w="750"/>
            </w:tblGrid>
            <w:tr w14:paraId="4C338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9C9B2B">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序号</w:t>
                  </w:r>
                </w:p>
              </w:tc>
              <w:tc>
                <w:tcPr>
                  <w:tcW w:w="4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6CF399">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管控要求</w:t>
                  </w:r>
                </w:p>
              </w:tc>
              <w:tc>
                <w:tcPr>
                  <w:tcW w:w="26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83A5ED">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总体准入要求</w:t>
                  </w:r>
                </w:p>
              </w:tc>
              <w:tc>
                <w:tcPr>
                  <w:tcW w:w="32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ED4BF0">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项目情况</w:t>
                  </w:r>
                </w:p>
              </w:tc>
              <w:tc>
                <w:tcPr>
                  <w:tcW w:w="7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29FC47">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相符性</w:t>
                  </w:r>
                </w:p>
              </w:tc>
            </w:tr>
            <w:tr w14:paraId="6BA0D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605D65D7">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w:t>
                  </w:r>
                </w:p>
              </w:tc>
              <w:tc>
                <w:tcPr>
                  <w:tcW w:w="491" w:type="dxa"/>
                  <w:vMerge w:val="restart"/>
                  <w:tcBorders>
                    <w:top w:val="nil"/>
                    <w:left w:val="single" w:color="000000" w:sz="8" w:space="0"/>
                    <w:bottom w:val="single" w:color="000000" w:sz="8" w:space="0"/>
                    <w:right w:val="single" w:color="000000" w:sz="8" w:space="0"/>
                  </w:tcBorders>
                  <w:shd w:val="clear" w:color="auto" w:fill="auto"/>
                  <w:vAlign w:val="center"/>
                </w:tcPr>
                <w:p w14:paraId="609E7FE3">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空间布局约束</w:t>
                  </w: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7A3AA026">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引入产业应符合现行有效的《产业结构调整指导目录》、《市场准入负面清单》、《广东省国家重点生态功能区产业准入负面清单(试行）》等相关产业政策要求。</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75612C6A">
                  <w:pPr>
                    <w:pStyle w:val="89"/>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本项目属于《产业结构调整指导目录（2024年本）》（发改委令〔2023〕7号）中的允许类</w:t>
                  </w:r>
                  <w:r>
                    <w:rPr>
                      <w:rFonts w:hint="eastAsia" w:ascii="Times New Roman" w:hAnsi="Times New Roman" w:eastAsia="宋体" w:cs="Times New Roman"/>
                      <w:color w:val="auto"/>
                      <w:kern w:val="2"/>
                      <w:sz w:val="21"/>
                      <w:szCs w:val="21"/>
                      <w:lang w:val="en-US" w:eastAsia="zh-CN" w:bidi="ar-SA"/>
                    </w:rPr>
                    <w:t>。</w:t>
                  </w:r>
                </w:p>
                <w:p w14:paraId="77C8D58E">
                  <w:pPr>
                    <w:pStyle w:val="35"/>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szCs w:val="21"/>
                    </w:rPr>
                  </w:pPr>
                  <w:r>
                    <w:rPr>
                      <w:rFonts w:hint="eastAsia" w:ascii="Times New Roman" w:hAnsi="Times New Roman" w:eastAsia="宋体" w:cs="Times New Roman"/>
                      <w:color w:val="auto"/>
                      <w:kern w:val="2"/>
                      <w:sz w:val="21"/>
                      <w:szCs w:val="21"/>
                      <w:lang w:val="en-US" w:eastAsia="zh-CN" w:bidi="ar-SA"/>
                    </w:rPr>
                    <w:t>本项目不属于《市场准入负面清单（2025年版）》所列举的负面清单内容，不使用淘汰类和限制类设备。本项目建设符合相关的产业政策。</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5FF722EB">
                  <w:pPr>
                    <w:widowControl/>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符合</w:t>
                  </w:r>
                </w:p>
              </w:tc>
            </w:tr>
            <w:tr w14:paraId="4D5CE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67070DE1">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2</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07F3F908">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4DDE58DD">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严格控制高污染高能耗项目建设。新、改、扩建项目要达到国内清洁生产先进水平。</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7F8C86FA">
                  <w:pPr>
                    <w:widowControl/>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本项目不属于高污染高能耗项目。</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0C264D67">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30A2A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532E790A">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3</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55BCCCA5">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4C705EEC">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禁止销售、燃用高污染燃料；禁止新建、扩建燃用高污染燃料的设施；禁止建设生产和使用高VOCs含量的溶剂型涂料、油墨、胶粘剂等项目。</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60465740">
                  <w:pPr>
                    <w:widowControl/>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本项目</w:t>
                  </w:r>
                  <w:r>
                    <w:rPr>
                      <w:rFonts w:hint="eastAsia" w:ascii="Times New Roman" w:hAnsi="Times New Roman" w:eastAsia="宋体" w:cs="Times New Roman"/>
                      <w:color w:val="auto"/>
                      <w:szCs w:val="21"/>
                      <w:lang w:val="en-US" w:eastAsia="zh-CN"/>
                    </w:rPr>
                    <w:t>不涉及</w:t>
                  </w:r>
                  <w:r>
                    <w:rPr>
                      <w:rFonts w:hint="default" w:ascii="Times New Roman" w:hAnsi="Times New Roman" w:eastAsia="宋体" w:cs="Times New Roman"/>
                      <w:color w:val="auto"/>
                      <w:szCs w:val="21"/>
                      <w:lang w:val="en-US" w:eastAsia="zh-CN"/>
                    </w:rPr>
                    <w:t>销售、燃用高污染燃料</w:t>
                  </w:r>
                  <w:r>
                    <w:rPr>
                      <w:rFonts w:hint="eastAsia" w:ascii="Times New Roman" w:hAnsi="Times New Roman" w:eastAsia="宋体" w:cs="Times New Roman"/>
                      <w:color w:val="auto"/>
                      <w:szCs w:val="21"/>
                      <w:lang w:val="en-US" w:eastAsia="zh-CN"/>
                    </w:rPr>
                    <w:t>、</w:t>
                  </w:r>
                  <w:r>
                    <w:rPr>
                      <w:rFonts w:hint="default" w:ascii="Times New Roman" w:hAnsi="Times New Roman" w:eastAsia="宋体" w:cs="Times New Roman"/>
                      <w:color w:val="auto"/>
                      <w:szCs w:val="21"/>
                      <w:lang w:val="en-US" w:eastAsia="zh-CN"/>
                    </w:rPr>
                    <w:t>新建、扩建燃用高污染燃料的设施</w:t>
                  </w:r>
                  <w:r>
                    <w:rPr>
                      <w:rFonts w:hint="eastAsia" w:ascii="Times New Roman" w:hAnsi="Times New Roman" w:eastAsia="宋体" w:cs="Times New Roman"/>
                      <w:color w:val="auto"/>
                      <w:szCs w:val="21"/>
                      <w:lang w:val="en-US" w:eastAsia="zh-CN"/>
                    </w:rPr>
                    <w:t>；本项目不涉及</w:t>
                  </w:r>
                  <w:r>
                    <w:rPr>
                      <w:rFonts w:hint="default" w:ascii="Times New Roman" w:hAnsi="Times New Roman" w:eastAsia="宋体" w:cs="Times New Roman"/>
                      <w:color w:val="auto"/>
                      <w:szCs w:val="21"/>
                      <w:lang w:val="en-US" w:eastAsia="zh-CN"/>
                    </w:rPr>
                    <w:t>生产和使用高VOCs含量的溶剂型涂料、油墨、胶粘剂</w:t>
                  </w:r>
                  <w:r>
                    <w:rPr>
                      <w:rFonts w:hint="eastAsia" w:ascii="Times New Roman" w:hAnsi="Times New Roman" w:eastAsia="宋体" w:cs="Times New Roman"/>
                      <w:color w:val="auto"/>
                      <w:szCs w:val="21"/>
                      <w:lang w:val="en-US" w:eastAsia="zh-CN"/>
                    </w:rPr>
                    <w:t>。</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08BAA618">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78C4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0C400D8B">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4</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079DF74A">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39B23237">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禁止新建、扩建专业电镀、鞣革、印染、化学制浆等水污染物排放量大或排放一类污染物、持久性有机污染物的项目。</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28FF7C9A">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本项目</w:t>
                  </w:r>
                  <w:r>
                    <w:rPr>
                      <w:rFonts w:hint="eastAsia" w:ascii="Times New Roman" w:hAnsi="Times New Roman" w:eastAsia="宋体" w:cs="Times New Roman"/>
                      <w:color w:val="auto"/>
                      <w:szCs w:val="21"/>
                      <w:lang w:val="en-US" w:eastAsia="zh-CN"/>
                    </w:rPr>
                    <w:t>为化学农药制造行业，不属于</w:t>
                  </w:r>
                  <w:r>
                    <w:rPr>
                      <w:rFonts w:hint="default" w:ascii="Times New Roman" w:hAnsi="Times New Roman" w:eastAsia="宋体" w:cs="Times New Roman"/>
                      <w:color w:val="auto"/>
                      <w:szCs w:val="21"/>
                      <w:lang w:val="en-US" w:eastAsia="zh-CN"/>
                    </w:rPr>
                    <w:t>新建、扩建专业电镀、鞣革、印染、化学制浆等水污染物排放量大或排放一类污染物、持久性有机污染物的项目</w:t>
                  </w:r>
                  <w:r>
                    <w:rPr>
                      <w:rFonts w:hint="eastAsia" w:ascii="Times New Roman" w:hAnsi="Times New Roman" w:eastAsia="宋体" w:cs="Times New Roman"/>
                      <w:color w:val="auto"/>
                      <w:szCs w:val="21"/>
                      <w:lang w:val="en-US" w:eastAsia="zh-CN"/>
                    </w:rPr>
                    <w:t>。</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172730D">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19D63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03FC0BE2">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5</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69B32192">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64391F56">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与中部规划居住用地、行政办公用地、教育用地等敏感区域临近的区域优先引进无污染的生产性服务业，布置废气排放量小、工业噪声影响小及没有恶臭气体产生的产业。学校周围直线延伸二百米范围内禁止设立易燃易爆、剧毒、放射性、腐蚀性等危险物品的生产、经营、储存、使用场所或者设施。临近南岸村、饮用水源准保护区等敏感用地优先引进无污染的生产性服务业，布置废气排放量小、工业噪声影响小及没有恶臭气体产生的产业。相关项目环评阶段应充分论证、优化项目布局以及按照相关要求确定大气环境防护距离。</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59DA883E">
                  <w:pPr>
                    <w:widowControl/>
                    <w:jc w:val="center"/>
                    <w:rPr>
                      <w:rFonts w:hint="default" w:ascii="Times New Roman" w:hAnsi="Times New Roman" w:eastAsia="宋体" w:cs="Times New Roman"/>
                      <w:color w:val="auto"/>
                      <w:szCs w:val="21"/>
                      <w:lang w:val="en-US"/>
                    </w:rPr>
                  </w:pPr>
                  <w:r>
                    <w:rPr>
                      <w:rFonts w:hint="eastAsia" w:ascii="Times New Roman" w:hAnsi="Times New Roman" w:eastAsia="宋体" w:cs="Times New Roman"/>
                      <w:color w:val="auto"/>
                      <w:szCs w:val="21"/>
                      <w:lang w:val="en-US" w:eastAsia="zh-CN"/>
                    </w:rPr>
                    <w:t>本项目不与</w:t>
                  </w:r>
                  <w:r>
                    <w:rPr>
                      <w:rFonts w:hint="default" w:ascii="Times New Roman" w:hAnsi="Times New Roman" w:eastAsia="宋体" w:cs="Times New Roman"/>
                      <w:color w:val="auto"/>
                      <w:szCs w:val="21"/>
                      <w:lang w:val="en-US" w:eastAsia="zh-CN"/>
                    </w:rPr>
                    <w:t>居住用地、行政办公用地、教育用地</w:t>
                  </w:r>
                  <w:r>
                    <w:rPr>
                      <w:rFonts w:hint="eastAsia" w:ascii="Times New Roman" w:hAnsi="Times New Roman" w:eastAsia="宋体" w:cs="Times New Roman"/>
                      <w:color w:val="auto"/>
                      <w:szCs w:val="21"/>
                      <w:lang w:val="en-US" w:eastAsia="zh-CN"/>
                    </w:rPr>
                    <w:t>相邻，厂界与最近的居民点相距约490m，本</w:t>
                  </w:r>
                  <w:r>
                    <w:rPr>
                      <w:rFonts w:hint="default" w:ascii="Times New Roman" w:hAnsi="Times New Roman" w:eastAsia="宋体" w:cs="Times New Roman"/>
                      <w:color w:val="auto"/>
                      <w:szCs w:val="21"/>
                      <w:lang w:val="en-US" w:eastAsia="zh-CN"/>
                    </w:rPr>
                    <w:t>项目厂界外500m范围内无自然保护区、风景名胜区等敏感点</w:t>
                  </w:r>
                  <w:r>
                    <w:rPr>
                      <w:rFonts w:hint="eastAsia" w:ascii="Times New Roman" w:hAnsi="Times New Roman" w:eastAsia="宋体" w:cs="Times New Roman"/>
                      <w:color w:val="auto"/>
                      <w:szCs w:val="21"/>
                      <w:lang w:val="en-US" w:eastAsia="zh-CN"/>
                    </w:rPr>
                    <w:t>，无大气环境防护距离要求。</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19EE04C7">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3E1EA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74C160B3">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6</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296A9C6F">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63FE0079">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与饮用水源准保护区重叠区域划定为优先保护单元，不进行工业开发利用，禁止新建、扩建对水体污染严重的建设项目，改建项目不得增加排污量。</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3564AF28">
                  <w:pPr>
                    <w:widowControl/>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本项目建设范围不涉及饮用水源准保护区红线范围，不属于水体污染严重的建设项目。</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28C16FD8">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6E9D0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18E44B18">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7</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5A4C8D08">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48675B36">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在永久基本农田以及居民区、学校、医疗和养老机构等单位周边，避免新建涉重金属、多环芳烃类等持久性有机污染物企业。永久基本农田集中区域内，禁止建设工业固体废物、危险废物集中贮存、利用、处置的设施、场所。</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2DA0CF0F">
                  <w:pPr>
                    <w:widowControl/>
                    <w:jc w:val="center"/>
                    <w:rPr>
                      <w:rFonts w:hint="default" w:ascii="Times New Roman" w:hAnsi="Times New Roman" w:eastAsia="宋体" w:cs="Times New Roman"/>
                      <w:color w:val="auto"/>
                      <w:szCs w:val="21"/>
                      <w:lang w:val="en-US"/>
                    </w:rPr>
                  </w:pPr>
                  <w:r>
                    <w:rPr>
                      <w:rFonts w:hint="eastAsia" w:ascii="Times New Roman" w:hAnsi="Times New Roman" w:eastAsia="宋体" w:cs="Times New Roman"/>
                      <w:color w:val="auto"/>
                      <w:szCs w:val="21"/>
                      <w:lang w:val="en-US" w:eastAsia="zh-CN"/>
                    </w:rPr>
                    <w:t>本</w:t>
                  </w:r>
                  <w:r>
                    <w:rPr>
                      <w:rFonts w:hint="default" w:ascii="Times New Roman" w:hAnsi="Times New Roman" w:eastAsia="宋体" w:cs="Times New Roman"/>
                      <w:color w:val="auto"/>
                      <w:szCs w:val="21"/>
                      <w:lang w:val="en-US" w:eastAsia="zh-CN"/>
                    </w:rPr>
                    <w:t>项目</w:t>
                  </w:r>
                  <w:r>
                    <w:rPr>
                      <w:rFonts w:hint="eastAsia" w:ascii="Times New Roman" w:hAnsi="Times New Roman" w:eastAsia="宋体" w:cs="Times New Roman"/>
                      <w:color w:val="auto"/>
                      <w:szCs w:val="21"/>
                      <w:lang w:val="en-US" w:eastAsia="zh-CN"/>
                    </w:rPr>
                    <w:t>不涉及</w:t>
                  </w:r>
                  <w:r>
                    <w:rPr>
                      <w:rFonts w:hint="default" w:ascii="Times New Roman" w:hAnsi="Times New Roman" w:eastAsia="宋体" w:cs="Times New Roman"/>
                      <w:color w:val="auto"/>
                      <w:szCs w:val="21"/>
                      <w:lang w:val="en-US" w:eastAsia="zh-CN"/>
                    </w:rPr>
                    <w:t>重金属、多环芳烃类等持久性有机污染物</w:t>
                  </w:r>
                  <w:r>
                    <w:rPr>
                      <w:rFonts w:hint="eastAsia" w:ascii="Times New Roman" w:hAnsi="Times New Roman" w:eastAsia="宋体" w:cs="Times New Roman"/>
                      <w:color w:val="auto"/>
                      <w:szCs w:val="21"/>
                      <w:lang w:val="en-US" w:eastAsia="zh-CN"/>
                    </w:rPr>
                    <w:t>，本项目周边无</w:t>
                  </w:r>
                  <w:r>
                    <w:rPr>
                      <w:rFonts w:hint="default" w:ascii="Times New Roman" w:hAnsi="Times New Roman" w:eastAsia="宋体" w:cs="Times New Roman"/>
                      <w:color w:val="auto"/>
                      <w:szCs w:val="21"/>
                      <w:lang w:val="en-US" w:eastAsia="zh-CN"/>
                    </w:rPr>
                    <w:t>永久基本农田</w:t>
                  </w:r>
                  <w:r>
                    <w:rPr>
                      <w:rFonts w:hint="eastAsia" w:ascii="Times New Roman" w:hAnsi="Times New Roman" w:eastAsia="宋体" w:cs="Times New Roman"/>
                      <w:color w:val="auto"/>
                      <w:szCs w:val="21"/>
                      <w:lang w:val="en-US" w:eastAsia="zh-CN"/>
                    </w:rPr>
                    <w:t>。</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1B1998BD">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5EBBE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1"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29CD8273">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p>
              </w:tc>
              <w:tc>
                <w:tcPr>
                  <w:tcW w:w="491" w:type="dxa"/>
                  <w:vMerge w:val="restart"/>
                  <w:tcBorders>
                    <w:top w:val="nil"/>
                    <w:left w:val="single" w:color="000000" w:sz="8" w:space="0"/>
                    <w:bottom w:val="single" w:color="000000" w:sz="8" w:space="0"/>
                    <w:right w:val="single" w:color="000000" w:sz="8" w:space="0"/>
                  </w:tcBorders>
                  <w:shd w:val="clear" w:color="auto" w:fill="auto"/>
                  <w:vAlign w:val="center"/>
                </w:tcPr>
                <w:p w14:paraId="0B2CCC97">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污染物排放管控</w:t>
                  </w: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5072D92E">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在可核查、可监管的基础上，新建项目原则上实施氮氧化物(NOx)和挥发性有机物(VOCs)等量替代。</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4A5213C4">
                  <w:pPr>
                    <w:widowControl/>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本项目</w:t>
                  </w:r>
                  <w:r>
                    <w:rPr>
                      <w:rFonts w:hint="eastAsia" w:ascii="Times New Roman" w:hAnsi="Times New Roman" w:eastAsia="宋体" w:cs="Times New Roman"/>
                      <w:color w:val="auto"/>
                      <w:szCs w:val="21"/>
                      <w:lang w:val="en-US" w:eastAsia="zh-CN"/>
                    </w:rPr>
                    <w:t>不排放氮氧化物，</w:t>
                  </w:r>
                  <w:r>
                    <w:rPr>
                      <w:rFonts w:hint="default" w:ascii="Times New Roman" w:hAnsi="Times New Roman" w:eastAsia="宋体" w:cs="Times New Roman"/>
                      <w:color w:val="auto"/>
                      <w:szCs w:val="21"/>
                    </w:rPr>
                    <w:t>排放的挥发性有机物由韶关市生态环境局统筹调配。</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5D15B895">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288A0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707F6110">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1E3A6738">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50113A04">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根据《广东省生态环境厅关于在重点区域执行污染物特别排放限值的公告》(粤环发(2023)1号)要求，执行相应特别排放限值要求。</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2249D8FB">
                  <w:pPr>
                    <w:widowControl/>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本项目不涉及。</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29402F39">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016A7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4002967F">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10</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197DF6D8">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2CF23DE1">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开发区内各企业污废水原则上应接入园区污水处理厂进行集中处理、达标排放。各企业生产废水需经预处理达到广东省《水污染物排放限值》(DB4426-2001)第二时段三级标准、所属行业排放标准(间接排放)，以及污水处理厂接管标准后，方可与规划区生活污水通过污水管线一并进入园区污水处理厂处理。</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369B797B">
                  <w:pPr>
                    <w:widowControl/>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本项目运营期</w:t>
                  </w:r>
                  <w:r>
                    <w:rPr>
                      <w:rFonts w:hint="eastAsia" w:ascii="Times New Roman" w:hAnsi="Times New Roman" w:eastAsia="宋体" w:cs="Times New Roman"/>
                      <w:color w:val="auto"/>
                      <w:szCs w:val="21"/>
                      <w:lang w:val="en-US" w:eastAsia="zh-CN"/>
                    </w:rPr>
                    <w:t>无生产废水产生，主要为生活污水，生活污水经三级化粪池预处理达标后</w:t>
                  </w:r>
                  <w:r>
                    <w:rPr>
                      <w:rFonts w:hint="default" w:ascii="Times New Roman" w:hAnsi="Times New Roman" w:eastAsia="宋体" w:cs="Times New Roman"/>
                      <w:color w:val="auto"/>
                      <w:szCs w:val="21"/>
                      <w:lang w:val="en-US" w:eastAsia="zh-CN"/>
                    </w:rPr>
                    <w:t>进入园区污水处理厂处理</w:t>
                  </w:r>
                  <w:r>
                    <w:rPr>
                      <w:rFonts w:hint="eastAsia" w:ascii="Times New Roman" w:hAnsi="Times New Roman" w:eastAsia="宋体" w:cs="Times New Roman"/>
                      <w:color w:val="auto"/>
                      <w:szCs w:val="21"/>
                      <w:lang w:val="en-US" w:eastAsia="zh-CN"/>
                    </w:rPr>
                    <w:t>。</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5CC4C114">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43274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76777E7B">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11</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2CB11BD8">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6D4DDA41">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新建燃气锅炉废气执行《锅炉大气污染物排放标准》(DB44/765-2019)表3大气污染物特别排放限值</w:t>
                  </w:r>
                  <w:r>
                    <w:rPr>
                      <w:rFonts w:hint="eastAsia" w:ascii="Times New Roman" w:hAnsi="Times New Roman" w:eastAsia="宋体" w:cs="Times New Roman"/>
                      <w:color w:val="auto"/>
                      <w:szCs w:val="21"/>
                      <w:lang w:val="en-US" w:eastAsia="zh-CN"/>
                    </w:rPr>
                    <w:t>：</w:t>
                  </w:r>
                  <w:r>
                    <w:rPr>
                      <w:rFonts w:hint="default" w:ascii="Times New Roman" w:hAnsi="Times New Roman" w:eastAsia="宋体" w:cs="Times New Roman"/>
                      <w:color w:val="auto"/>
                      <w:szCs w:val="21"/>
                      <w:lang w:val="en-US" w:eastAsia="zh-CN"/>
                    </w:rPr>
                    <w:t>现有单台出力1蒸吨/小时(0.7兆瓦)以上，65蒸吨/小时及以下燃气锅炉执行《锅炉大气污染物排放标准》(DB44/765-2019)表3大气污染物特别排放限值</w:t>
                  </w:r>
                  <w:r>
                    <w:rPr>
                      <w:rFonts w:hint="eastAsia" w:ascii="Times New Roman" w:hAnsi="Times New Roman" w:eastAsia="宋体" w:cs="Times New Roman"/>
                      <w:color w:val="auto"/>
                      <w:szCs w:val="21"/>
                      <w:lang w:val="en-US" w:eastAsia="zh-CN"/>
                    </w:rPr>
                    <w:t>；</w:t>
                  </w:r>
                  <w:r>
                    <w:rPr>
                      <w:rFonts w:hint="default" w:ascii="Times New Roman" w:hAnsi="Times New Roman" w:eastAsia="宋体" w:cs="Times New Roman"/>
                      <w:color w:val="auto"/>
                      <w:szCs w:val="21"/>
                      <w:lang w:val="en-US" w:eastAsia="zh-CN"/>
                    </w:rPr>
                    <w:t>其它行业工艺废气有行业标准的执行行业标准，无行业标准的排放执行广东省地方标准《大气污染物排放限值》DB44/27-2001)第二时段二级标准。</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30292228">
                  <w:pPr>
                    <w:widowControl/>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本项目不涉及新建燃气锅炉。本项目工业废气执行相关行业标准。</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34B8A450">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1B77D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454EF3B8">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12</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404B1086">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3910C345">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产生固体废物(含危险废物)的企业须配套建设符合规范且满足需求的贮存场所，固体废物(含危险废物)贮存、转移过程中应配套防扬散、防流失、防渗漏及其它防止污染环境的措施。</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2CED0DF3">
                  <w:pPr>
                    <w:widowControl/>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val="en-US" w:eastAsia="zh-CN"/>
                    </w:rPr>
                    <w:t>本项目已</w:t>
                  </w:r>
                  <w:r>
                    <w:rPr>
                      <w:rFonts w:hint="default" w:ascii="Times New Roman" w:hAnsi="Times New Roman" w:eastAsia="宋体" w:cs="Times New Roman"/>
                      <w:color w:val="auto"/>
                      <w:szCs w:val="21"/>
                    </w:rPr>
                    <w:t>配套建设符合规范且满足需求的贮存场所，固体废物</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含危险废物</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贮存、转移过程中</w:t>
                  </w:r>
                  <w:r>
                    <w:rPr>
                      <w:rFonts w:hint="eastAsia" w:ascii="Times New Roman" w:hAnsi="Times New Roman" w:eastAsia="宋体" w:cs="Times New Roman"/>
                      <w:color w:val="auto"/>
                      <w:szCs w:val="21"/>
                      <w:lang w:val="en-US" w:eastAsia="zh-CN"/>
                    </w:rPr>
                    <w:t>已</w:t>
                  </w:r>
                  <w:r>
                    <w:rPr>
                      <w:rFonts w:hint="default" w:ascii="Times New Roman" w:hAnsi="Times New Roman" w:eastAsia="宋体" w:cs="Times New Roman"/>
                      <w:color w:val="auto"/>
                      <w:szCs w:val="21"/>
                    </w:rPr>
                    <w:t>配套防扬散、防流失、防渗漏及其它防止污染环境的措施</w:t>
                  </w:r>
                  <w:r>
                    <w:rPr>
                      <w:rFonts w:hint="eastAsia" w:ascii="Times New Roman" w:hAnsi="Times New Roman" w:eastAsia="宋体" w:cs="Times New Roman"/>
                      <w:color w:val="auto"/>
                      <w:szCs w:val="21"/>
                      <w:lang w:eastAsia="zh-CN"/>
                    </w:rPr>
                    <w:t>。</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0798421">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6402E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386D4C6B">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13</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083BC28F">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3A2D75C5">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重点重金属按照韶关市生态环境分区管控要求执行。</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14E169FA">
                  <w:pPr>
                    <w:widowControl/>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本项目不涉及。</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6A76E11B">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16D5F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6757A10E">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14</w:t>
                  </w:r>
                </w:p>
              </w:tc>
              <w:tc>
                <w:tcPr>
                  <w:tcW w:w="491" w:type="dxa"/>
                  <w:vMerge w:val="restart"/>
                  <w:tcBorders>
                    <w:top w:val="nil"/>
                    <w:left w:val="single" w:color="000000" w:sz="8" w:space="0"/>
                    <w:bottom w:val="single" w:color="000000" w:sz="8" w:space="0"/>
                    <w:right w:val="single" w:color="000000" w:sz="8" w:space="0"/>
                  </w:tcBorders>
                  <w:shd w:val="clear" w:color="auto" w:fill="auto"/>
                  <w:vAlign w:val="center"/>
                </w:tcPr>
                <w:p w14:paraId="69204260">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环境风险管控</w:t>
                  </w: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56661F3F">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生产、使用、储存危险化学品或其他存在环境风险的入区项目应配套有效的风险防范措施，并根据国家及广东省环境应急预案管理的要求编制环境风险应急预案，防止因渗漏污染地下水、土壤，以及因事故废水直排污染地表水体。</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27A96002">
                  <w:pPr>
                    <w:widowControl/>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本项目</w:t>
                  </w:r>
                  <w:r>
                    <w:rPr>
                      <w:rFonts w:hint="default" w:ascii="Times New Roman" w:hAnsi="Times New Roman" w:eastAsia="宋体" w:cs="Times New Roman"/>
                      <w:color w:val="auto"/>
                      <w:szCs w:val="21"/>
                    </w:rPr>
                    <w:t>严格执行应急管理、消防等相关规范，制定各工序生产操作规程和防火规程，且要求按规程进行操作；</w:t>
                  </w:r>
                  <w:r>
                    <w:rPr>
                      <w:rFonts w:hint="eastAsia" w:ascii="Times New Roman" w:hAnsi="Times New Roman" w:eastAsia="宋体" w:cs="Times New Roman"/>
                      <w:color w:val="auto"/>
                      <w:szCs w:val="21"/>
                      <w:lang w:val="en-US" w:eastAsia="zh-CN"/>
                    </w:rPr>
                    <w:t>本项目</w:t>
                  </w:r>
                  <w:r>
                    <w:rPr>
                      <w:rFonts w:hint="default" w:ascii="Times New Roman" w:hAnsi="Times New Roman" w:eastAsia="宋体" w:cs="Times New Roman"/>
                      <w:color w:val="auto"/>
                      <w:szCs w:val="21"/>
                    </w:rPr>
                    <w:t>生产过程无生产废水产生及外排，危险物质均密闭存放，厂区内不大量储存，如发生危险物质泄漏时，采用消防沙吸附，消防沙袋堵截，尽快回收，统一收集至指定区域的收集桶内</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遵循“源头控制，分区防渗”的原则，做好仓库、车间、危废暂存间的防渗措施，满足相应标准要求。危废间在建筑物内部，达到防风防雨防晒要求，地面硬化并</w:t>
                  </w:r>
                  <w:r>
                    <w:rPr>
                      <w:rFonts w:hint="eastAsia" w:ascii="Times New Roman" w:hAnsi="Times New Roman" w:eastAsia="宋体" w:cs="Times New Roman"/>
                      <w:color w:val="auto"/>
                      <w:szCs w:val="21"/>
                      <w:lang w:val="en-US" w:eastAsia="zh-CN"/>
                    </w:rPr>
                    <w:t>做好防渗。</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243D78EA">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4EE0A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6ECFCAA1">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15</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616A9BFD">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299DDD7C">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涉及生产废水排放企业需配套有效措施，防止事故废水直排污染地表水体，防止因渗漏污染地下水。</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3BC24032">
                  <w:pPr>
                    <w:widowControl/>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本项目无生产废水排放。</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3190F0B5">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66CAF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779B92ED">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16</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773EA8F4">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3F2523A5">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应符合《韶关市人民政府关于印发韶关市“三线一单"生态环境分区管控方案的通知》(韶府(2021)10号)、《韶关市生态环境分区管控动态更新成果》及后续生态环境分区管控动态更新要求</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50EEACF6">
                  <w:pPr>
                    <w:widowControl/>
                    <w:jc w:val="center"/>
                    <w:rPr>
                      <w:rFonts w:hint="default" w:ascii="Times New Roman" w:hAnsi="Times New Roman" w:eastAsia="宋体" w:cs="Times New Roman"/>
                      <w:color w:val="auto"/>
                      <w:szCs w:val="21"/>
                      <w:lang w:val="en-US"/>
                    </w:rPr>
                  </w:pPr>
                  <w:r>
                    <w:rPr>
                      <w:rFonts w:hint="eastAsia" w:ascii="Times New Roman" w:hAnsi="Times New Roman" w:eastAsia="宋体" w:cs="Times New Roman"/>
                      <w:color w:val="auto"/>
                      <w:szCs w:val="21"/>
                      <w:lang w:val="en-US" w:eastAsia="zh-CN"/>
                    </w:rPr>
                    <w:t>本项目</w:t>
                  </w:r>
                  <w:r>
                    <w:rPr>
                      <w:rFonts w:hint="default" w:ascii="Times New Roman" w:hAnsi="Times New Roman" w:eastAsia="宋体" w:cs="Times New Roman"/>
                      <w:color w:val="auto"/>
                      <w:szCs w:val="21"/>
                      <w:lang w:val="en-US" w:eastAsia="zh-CN"/>
                    </w:rPr>
                    <w:t>符合《韶关市人民政府关于印发韶关市“三线一单"生态环境分区管控方案的通知》(韶府(2021)10号)、《韶关市生态环境分区管控动态更新成果》及后续生态环境分区管控动态更新要求</w:t>
                  </w:r>
                  <w:r>
                    <w:rPr>
                      <w:rFonts w:hint="eastAsia" w:ascii="Times New Roman" w:hAnsi="Times New Roman" w:eastAsia="宋体" w:cs="Times New Roman"/>
                      <w:color w:val="auto"/>
                      <w:szCs w:val="21"/>
                      <w:lang w:val="en-US" w:eastAsia="zh-CN"/>
                    </w:rPr>
                    <w:t>，详见下文分析内容</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8B0A120">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7802B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1AD8FC53">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17</w:t>
                  </w:r>
                </w:p>
              </w:tc>
              <w:tc>
                <w:tcPr>
                  <w:tcW w:w="491" w:type="dxa"/>
                  <w:vMerge w:val="restart"/>
                  <w:tcBorders>
                    <w:top w:val="nil"/>
                    <w:left w:val="single" w:color="000000" w:sz="8" w:space="0"/>
                    <w:bottom w:val="single" w:color="000000" w:sz="8" w:space="0"/>
                    <w:right w:val="single" w:color="000000" w:sz="8" w:space="0"/>
                  </w:tcBorders>
                  <w:shd w:val="clear" w:color="auto" w:fill="auto"/>
                  <w:vAlign w:val="center"/>
                </w:tcPr>
                <w:p w14:paraId="2BF1B105">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资源开发利用管理</w:t>
                  </w: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0CD00A61">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禁止使用高污染燃料，建议使用电能、天然气等清洁能源。</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4E2DB377">
                  <w:pPr>
                    <w:widowControl/>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本项目不涉及使用高污染燃料，主要使用电能。</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7871730">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418F0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5A567F75">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18</w:t>
                  </w:r>
                </w:p>
              </w:tc>
              <w:tc>
                <w:tcPr>
                  <w:tcW w:w="491" w:type="dxa"/>
                  <w:vMerge w:val="continue"/>
                  <w:tcBorders>
                    <w:top w:val="nil"/>
                    <w:left w:val="single" w:color="000000" w:sz="8" w:space="0"/>
                    <w:bottom w:val="single" w:color="000000" w:sz="8" w:space="0"/>
                    <w:right w:val="single" w:color="000000" w:sz="8" w:space="0"/>
                  </w:tcBorders>
                  <w:shd w:val="clear" w:color="auto" w:fill="auto"/>
                  <w:vAlign w:val="center"/>
                </w:tcPr>
                <w:p w14:paraId="3F349D0E">
                  <w:pPr>
                    <w:widowControl/>
                    <w:jc w:val="center"/>
                    <w:rPr>
                      <w:rFonts w:hint="default" w:ascii="Times New Roman" w:hAnsi="Times New Roman" w:eastAsia="宋体" w:cs="Times New Roman"/>
                      <w:color w:val="auto"/>
                      <w:szCs w:val="21"/>
                    </w:rPr>
                  </w:pP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213091C7">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贯彻落实“节水优先”方针，实行最严格水资源管理制度。</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074EC846">
                  <w:pPr>
                    <w:widowControl/>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本项目将</w:t>
                  </w:r>
                  <w:r>
                    <w:rPr>
                      <w:rFonts w:hint="default" w:ascii="Times New Roman" w:hAnsi="Times New Roman" w:eastAsia="宋体" w:cs="Times New Roman"/>
                      <w:color w:val="auto"/>
                      <w:szCs w:val="21"/>
                      <w:lang w:val="en-US" w:eastAsia="zh-CN"/>
                    </w:rPr>
                    <w:t>贯彻落实“节水优先”方针，实行最严格水资源管理制度。</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7A19F2E6">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w:t>
                  </w:r>
                </w:p>
              </w:tc>
            </w:tr>
            <w:tr w14:paraId="28492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36" w:type="dxa"/>
                  <w:tcBorders>
                    <w:top w:val="nil"/>
                    <w:left w:val="single" w:color="000000" w:sz="8" w:space="0"/>
                    <w:bottom w:val="single" w:color="000000" w:sz="8" w:space="0"/>
                    <w:right w:val="single" w:color="000000" w:sz="8" w:space="0"/>
                  </w:tcBorders>
                  <w:shd w:val="clear" w:color="auto" w:fill="auto"/>
                  <w:vAlign w:val="center"/>
                </w:tcPr>
                <w:p w14:paraId="04EDF5D1">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19</w:t>
                  </w:r>
                </w:p>
              </w:tc>
              <w:tc>
                <w:tcPr>
                  <w:tcW w:w="491" w:type="dxa"/>
                  <w:tcBorders>
                    <w:top w:val="nil"/>
                    <w:left w:val="single" w:color="000000" w:sz="8" w:space="0"/>
                    <w:bottom w:val="single" w:color="000000" w:sz="8" w:space="0"/>
                    <w:right w:val="single" w:color="000000" w:sz="8" w:space="0"/>
                  </w:tcBorders>
                  <w:shd w:val="clear" w:color="auto" w:fill="auto"/>
                  <w:vAlign w:val="center"/>
                </w:tcPr>
                <w:p w14:paraId="041C48F1">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其他</w:t>
                  </w:r>
                </w:p>
              </w:tc>
              <w:tc>
                <w:tcPr>
                  <w:tcW w:w="2657" w:type="dxa"/>
                  <w:tcBorders>
                    <w:top w:val="nil"/>
                    <w:left w:val="single" w:color="000000" w:sz="8" w:space="0"/>
                    <w:bottom w:val="single" w:color="000000" w:sz="8" w:space="0"/>
                    <w:right w:val="single" w:color="000000" w:sz="8" w:space="0"/>
                  </w:tcBorders>
                  <w:shd w:val="clear" w:color="auto" w:fill="auto"/>
                  <w:vAlign w:val="center"/>
                </w:tcPr>
                <w:p w14:paraId="41FB6E56">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符合《韶关市人民政府关于印发韶关市“三线一单”生态环境分区管控方案的通知》(韶府(2021)10号)《韶关市生态环境分区管控动态更新成果》及后续生态环境分区管控动态更新要求。</w:t>
                  </w:r>
                </w:p>
              </w:tc>
              <w:tc>
                <w:tcPr>
                  <w:tcW w:w="3233" w:type="dxa"/>
                  <w:tcBorders>
                    <w:top w:val="nil"/>
                    <w:left w:val="single" w:color="000000" w:sz="8" w:space="0"/>
                    <w:bottom w:val="single" w:color="000000" w:sz="8" w:space="0"/>
                    <w:right w:val="single" w:color="000000" w:sz="8" w:space="0"/>
                  </w:tcBorders>
                  <w:shd w:val="clear" w:color="auto" w:fill="auto"/>
                  <w:vAlign w:val="center"/>
                </w:tcPr>
                <w:p w14:paraId="0059B5C6">
                  <w:pPr>
                    <w:widowControl/>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本项目</w:t>
                  </w:r>
                  <w:r>
                    <w:rPr>
                      <w:rFonts w:hint="default" w:ascii="Times New Roman" w:hAnsi="Times New Roman" w:eastAsia="宋体" w:cs="Times New Roman"/>
                      <w:color w:val="auto"/>
                      <w:szCs w:val="21"/>
                      <w:lang w:val="en-US" w:eastAsia="zh-CN"/>
                    </w:rPr>
                    <w:t>符合《韶关市人民政府关于印发韶关市“三线一单"生态环境分区管控方案的通知》(韶府(2021)10号)、《韶关市生态环境分区管控动态更新成果》及后续生态环境分区管控动态更新要求</w:t>
                  </w:r>
                  <w:r>
                    <w:rPr>
                      <w:rFonts w:hint="eastAsia" w:ascii="Times New Roman" w:hAnsi="Times New Roman" w:eastAsia="宋体" w:cs="Times New Roman"/>
                      <w:color w:val="auto"/>
                      <w:szCs w:val="21"/>
                      <w:lang w:val="en-US" w:eastAsia="zh-CN"/>
                    </w:rPr>
                    <w:t>，详见下文分析内容</w:t>
                  </w:r>
                </w:p>
              </w:tc>
              <w:tc>
                <w:tcPr>
                  <w:tcW w:w="750" w:type="dxa"/>
                  <w:tcBorders>
                    <w:top w:val="nil"/>
                    <w:left w:val="single" w:color="000000" w:sz="8" w:space="0"/>
                    <w:bottom w:val="single" w:color="000000" w:sz="8" w:space="0"/>
                    <w:right w:val="single" w:color="000000" w:sz="8" w:space="0"/>
                  </w:tcBorders>
                  <w:shd w:val="clear" w:color="auto" w:fill="auto"/>
                  <w:noWrap/>
                  <w:vAlign w:val="center"/>
                </w:tcPr>
                <w:p w14:paraId="40CC63A2">
                  <w:pPr>
                    <w:widowControl/>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符合</w:t>
                  </w:r>
                </w:p>
              </w:tc>
            </w:tr>
          </w:tbl>
          <w:p w14:paraId="7C877E70">
            <w:pPr>
              <w:autoSpaceDE w:val="0"/>
              <w:autoSpaceDN w:val="0"/>
              <w:adjustRightInd w:val="0"/>
              <w:snapToGrid w:val="0"/>
              <w:spacing w:line="360" w:lineRule="auto"/>
              <w:ind w:firstLine="420" w:firstLineChars="200"/>
              <w:jc w:val="left"/>
              <w:rPr>
                <w:color w:val="auto"/>
              </w:rPr>
            </w:pPr>
          </w:p>
        </w:tc>
      </w:tr>
      <w:tr w14:paraId="50B704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92" w:hRule="atLeast"/>
          <w:jc w:val="center"/>
        </w:trPr>
        <w:tc>
          <w:tcPr>
            <w:tcW w:w="1834" w:type="dxa"/>
            <w:vAlign w:val="center"/>
          </w:tcPr>
          <w:p w14:paraId="117545AF">
            <w:pPr>
              <w:autoSpaceDE w:val="0"/>
              <w:autoSpaceDN w:val="0"/>
              <w:adjustRightInd w:val="0"/>
              <w:snapToGrid w:val="0"/>
              <w:jc w:val="center"/>
              <w:rPr>
                <w:color w:val="auto"/>
                <w:kern w:val="0"/>
                <w:szCs w:val="21"/>
              </w:rPr>
            </w:pPr>
            <w:r>
              <w:rPr>
                <w:color w:val="auto"/>
                <w:kern w:val="0"/>
                <w:szCs w:val="21"/>
              </w:rPr>
              <w:t>其他符合性分析</w:t>
            </w:r>
          </w:p>
        </w:tc>
        <w:tc>
          <w:tcPr>
            <w:tcW w:w="7036" w:type="dxa"/>
            <w:gridSpan w:val="3"/>
            <w:vAlign w:val="center"/>
          </w:tcPr>
          <w:p w14:paraId="5AFF095D">
            <w:pPr>
              <w:pStyle w:val="89"/>
              <w:adjustRightInd w:val="0"/>
              <w:snapToGrid w:val="0"/>
              <w:spacing w:before="0" w:beforeLines="0"/>
              <w:ind w:firstLine="422"/>
              <w:rPr>
                <w:rFonts w:cs="Times New Roman"/>
                <w:b/>
                <w:bCs/>
                <w:color w:val="auto"/>
                <w:sz w:val="24"/>
                <w:szCs w:val="24"/>
              </w:rPr>
            </w:pPr>
            <w:r>
              <w:rPr>
                <w:rFonts w:cs="Times New Roman"/>
                <w:b/>
                <w:bCs/>
                <w:color w:val="auto"/>
                <w:sz w:val="24"/>
                <w:szCs w:val="24"/>
              </w:rPr>
              <w:t>1、选址合理性</w:t>
            </w:r>
          </w:p>
          <w:p w14:paraId="051716DF">
            <w:pPr>
              <w:snapToGrid w:val="0"/>
              <w:spacing w:line="360" w:lineRule="auto"/>
              <w:ind w:firstLine="480" w:firstLineChars="200"/>
              <w:rPr>
                <w:color w:val="auto"/>
                <w:sz w:val="24"/>
                <w:szCs w:val="24"/>
                <w:lang w:val="zh-CN"/>
              </w:rPr>
            </w:pPr>
            <w:r>
              <w:rPr>
                <w:color w:val="auto"/>
                <w:sz w:val="24"/>
                <w:szCs w:val="24"/>
              </w:rPr>
              <w:t>本项目租用</w:t>
            </w:r>
            <w:r>
              <w:rPr>
                <w:color w:val="auto"/>
                <w:sz w:val="24"/>
                <w:szCs w:val="24"/>
                <w:lang w:val="zh-CN"/>
              </w:rPr>
              <w:t>乐昌产业转移工业园乐园大道23号6号厂房栋4层</w:t>
            </w:r>
            <w:r>
              <w:rPr>
                <w:color w:val="auto"/>
                <w:sz w:val="24"/>
                <w:szCs w:val="24"/>
              </w:rPr>
              <w:t>进行建设生产。厂房已建成，根据出租方提供的土地证及租赁合同，本项目租赁厂房面积1274.94m</w:t>
            </w:r>
            <w:r>
              <w:rPr>
                <w:color w:val="auto"/>
                <w:sz w:val="24"/>
                <w:szCs w:val="24"/>
                <w:vertAlign w:val="superscript"/>
              </w:rPr>
              <w:t>2</w:t>
            </w:r>
            <w:r>
              <w:rPr>
                <w:color w:val="auto"/>
                <w:sz w:val="24"/>
                <w:szCs w:val="24"/>
              </w:rPr>
              <w:t>，用地性质为工业用地，</w:t>
            </w:r>
            <w:r>
              <w:rPr>
                <w:color w:val="auto"/>
                <w:sz w:val="24"/>
                <w:szCs w:val="24"/>
                <w:lang w:val="zh-CN"/>
              </w:rPr>
              <w:t>没有占用基本农业用地和林地，符合韶关市城市建设和环境功能区规划的要求，且具有水、电等供应保障，交通便利等条件。项目周围没有风景名胜区、生态脆弱带等。故项目选址是合理的。</w:t>
            </w:r>
          </w:p>
          <w:p w14:paraId="61D51392">
            <w:pPr>
              <w:snapToGrid w:val="0"/>
              <w:spacing w:line="360" w:lineRule="auto"/>
              <w:ind w:firstLine="480" w:firstLineChars="200"/>
              <w:rPr>
                <w:color w:val="auto"/>
                <w:sz w:val="24"/>
                <w:szCs w:val="24"/>
              </w:rPr>
            </w:pPr>
            <w:r>
              <w:rPr>
                <w:color w:val="auto"/>
                <w:sz w:val="24"/>
                <w:szCs w:val="24"/>
              </w:rPr>
              <w:t>根据《乐昌市国土空间总体规划（2021-2035年）》中“中心城区功能结构规划图”，本项目位于城东工业区域（见附图</w:t>
            </w:r>
            <w:r>
              <w:rPr>
                <w:rFonts w:hint="eastAsia"/>
                <w:color w:val="auto"/>
                <w:sz w:val="24"/>
                <w:szCs w:val="24"/>
                <w:lang w:val="en-US" w:eastAsia="zh-CN"/>
              </w:rPr>
              <w:t>13</w:t>
            </w:r>
            <w:r>
              <w:rPr>
                <w:color w:val="auto"/>
                <w:sz w:val="24"/>
                <w:szCs w:val="24"/>
              </w:rPr>
              <w:t>）。根据《乐昌市国土空间总体规划（2021-2035年）》中国土空间开发保护策略：工业强市策略，大力推进“一园三区”的发展建设，其中城东片区即城东产业园要集中发展先进装备制造、先进材料、现代轻工、电子信息等产业，积极创建省级高新区。本项目位于城东工业区域，</w:t>
            </w:r>
            <w:r>
              <w:rPr>
                <w:color w:val="auto"/>
                <w:sz w:val="24"/>
                <w:szCs w:val="24"/>
                <w:lang w:bidi="ar"/>
              </w:rPr>
              <w:t>主要从事蚊香、电蚊液生产制造，属于工业制造项目，满足国家和地方相关产业政策，不排放一类污染物和有毒有害物质，不属于园区禁止项目，符合园区准入条件，</w:t>
            </w:r>
            <w:r>
              <w:rPr>
                <w:color w:val="auto"/>
                <w:sz w:val="24"/>
                <w:szCs w:val="24"/>
              </w:rPr>
              <w:t>符合《乐昌市国土空间总体规划（2021-2035年）》中规划片区的发展方向。</w:t>
            </w:r>
          </w:p>
          <w:p w14:paraId="4F1F5F81">
            <w:pPr>
              <w:snapToGrid w:val="0"/>
              <w:spacing w:line="360" w:lineRule="auto"/>
              <w:ind w:firstLine="480" w:firstLineChars="200"/>
              <w:rPr>
                <w:rFonts w:hint="default"/>
                <w:color w:val="auto"/>
                <w:sz w:val="24"/>
                <w:szCs w:val="24"/>
                <w:lang w:val="en-US" w:eastAsia="zh-CN"/>
              </w:rPr>
            </w:pPr>
            <w:r>
              <w:rPr>
                <w:rFonts w:hint="eastAsia"/>
                <w:color w:val="auto"/>
                <w:sz w:val="24"/>
                <w:szCs w:val="24"/>
                <w:lang w:val="en-US" w:eastAsia="zh-CN"/>
              </w:rPr>
              <w:t>根据乐昌市应急管理局《关于广东省中立日化有限公司新建项目选址意见的复函》（详见附件7），本项目不属于危险化学品生产、使用企业及化工企业，本项目无需进入化工园区。</w:t>
            </w:r>
          </w:p>
          <w:p w14:paraId="465CA879">
            <w:pPr>
              <w:pStyle w:val="89"/>
              <w:adjustRightInd w:val="0"/>
              <w:snapToGrid w:val="0"/>
              <w:spacing w:before="0" w:beforeLines="0"/>
              <w:ind w:firstLine="422"/>
              <w:rPr>
                <w:rFonts w:cs="Times New Roman"/>
                <w:b/>
                <w:bCs/>
                <w:color w:val="auto"/>
                <w:sz w:val="24"/>
                <w:szCs w:val="24"/>
              </w:rPr>
            </w:pPr>
            <w:r>
              <w:rPr>
                <w:rFonts w:cs="Times New Roman"/>
                <w:b/>
                <w:bCs/>
                <w:color w:val="auto"/>
                <w:sz w:val="24"/>
                <w:szCs w:val="24"/>
              </w:rPr>
              <w:t>2、产业政策相符性</w:t>
            </w:r>
          </w:p>
          <w:p w14:paraId="6BB7FB07">
            <w:pPr>
              <w:pStyle w:val="89"/>
              <w:adjustRightInd w:val="0"/>
              <w:snapToGrid w:val="0"/>
              <w:spacing w:before="0" w:beforeLines="0"/>
              <w:ind w:firstLine="420"/>
              <w:rPr>
                <w:rFonts w:cs="Times New Roman"/>
                <w:color w:val="auto"/>
                <w:sz w:val="24"/>
                <w:szCs w:val="24"/>
              </w:rPr>
            </w:pPr>
            <w:r>
              <w:rPr>
                <w:rFonts w:cs="Times New Roman"/>
                <w:color w:val="auto"/>
                <w:sz w:val="24"/>
                <w:szCs w:val="24"/>
              </w:rPr>
              <w:t>本项目所属行业为化学农药制造。</w:t>
            </w:r>
          </w:p>
          <w:p w14:paraId="7EDE65AC">
            <w:pPr>
              <w:pStyle w:val="89"/>
              <w:adjustRightInd w:val="0"/>
              <w:snapToGrid w:val="0"/>
              <w:spacing w:before="0" w:beforeLines="0"/>
              <w:ind w:firstLine="420"/>
              <w:rPr>
                <w:rFonts w:hint="eastAsia" w:cs="Times New Roman"/>
                <w:color w:val="auto"/>
                <w:sz w:val="24"/>
                <w:szCs w:val="24"/>
                <w:lang w:eastAsia="zh-CN"/>
              </w:rPr>
            </w:pPr>
            <w:r>
              <w:rPr>
                <w:rFonts w:cs="Times New Roman"/>
                <w:color w:val="auto"/>
                <w:sz w:val="24"/>
                <w:szCs w:val="24"/>
              </w:rPr>
              <w:t>本项目属于《产业结构调整指导目录（2024年本）》（发改委令〔2023〕7号）中的允许类</w:t>
            </w:r>
            <w:r>
              <w:rPr>
                <w:rFonts w:hint="eastAsia" w:cs="Times New Roman"/>
                <w:color w:val="auto"/>
                <w:sz w:val="24"/>
                <w:szCs w:val="24"/>
                <w:lang w:eastAsia="zh-CN"/>
              </w:rPr>
              <w:t>。</w:t>
            </w:r>
          </w:p>
          <w:p w14:paraId="5E623DF5">
            <w:pPr>
              <w:pStyle w:val="89"/>
              <w:adjustRightInd w:val="0"/>
              <w:snapToGrid w:val="0"/>
              <w:spacing w:before="0" w:beforeLines="0"/>
              <w:ind w:firstLine="420"/>
              <w:rPr>
                <w:rFonts w:hint="eastAsia" w:eastAsia="宋体" w:cs="Times New Roman"/>
                <w:color w:val="auto"/>
                <w:sz w:val="24"/>
                <w:szCs w:val="24"/>
                <w:lang w:eastAsia="zh-CN"/>
              </w:rPr>
            </w:pPr>
            <w:r>
              <w:rPr>
                <w:rFonts w:hint="eastAsia" w:cs="Times New Roman"/>
                <w:color w:val="auto"/>
                <w:sz w:val="24"/>
                <w:szCs w:val="24"/>
                <w:lang w:val="en-US" w:eastAsia="zh-CN"/>
              </w:rPr>
              <w:t>本项目使用原药为</w:t>
            </w:r>
            <w:r>
              <w:rPr>
                <w:color w:val="auto"/>
                <w:kern w:val="0"/>
                <w:sz w:val="24"/>
                <w:szCs w:val="24"/>
                <w:lang w:bidi="ar"/>
              </w:rPr>
              <w:t>氯氟醚菊酯</w:t>
            </w:r>
            <w:r>
              <w:rPr>
                <w:rFonts w:hint="eastAsia"/>
                <w:color w:val="auto"/>
                <w:kern w:val="0"/>
                <w:sz w:val="24"/>
                <w:szCs w:val="24"/>
                <w:lang w:eastAsia="zh-CN" w:bidi="ar"/>
              </w:rPr>
              <w:t>，</w:t>
            </w:r>
            <w:r>
              <w:rPr>
                <w:rFonts w:cs="Times New Roman"/>
                <w:color w:val="auto"/>
                <w:sz w:val="24"/>
                <w:szCs w:val="24"/>
              </w:rPr>
              <w:t>不属于《产业结构调整指导目录（2024年本）》中“限制类”的</w:t>
            </w:r>
            <w:r>
              <w:rPr>
                <w:rFonts w:hint="eastAsia" w:cs="Times New Roman"/>
                <w:color w:val="auto"/>
                <w:sz w:val="24"/>
                <w:szCs w:val="24"/>
                <w:lang w:eastAsia="zh-CN"/>
              </w:rPr>
              <w:t>：</w:t>
            </w:r>
            <w:r>
              <w:rPr>
                <w:rFonts w:hint="eastAsia" w:cs="Times New Roman"/>
                <w:color w:val="auto"/>
                <w:sz w:val="24"/>
                <w:szCs w:val="24"/>
                <w:lang w:val="en-US" w:eastAsia="zh-CN"/>
              </w:rPr>
              <w:t>四、石化化工中8.</w:t>
            </w:r>
            <w:r>
              <w:rPr>
                <w:rFonts w:cs="Times New Roman"/>
                <w:color w:val="auto"/>
                <w:sz w:val="24"/>
                <w:szCs w:val="24"/>
              </w:rPr>
              <w:t>高毒、高残留以及对环境或农产品质量安全影响大的农药原药</w:t>
            </w:r>
            <w:r>
              <w:rPr>
                <w:rFonts w:hint="eastAsia" w:cs="Times New Roman"/>
                <w:color w:val="auto"/>
                <w:sz w:val="24"/>
                <w:szCs w:val="24"/>
                <w:lang w:eastAsia="zh-CN"/>
              </w:rPr>
              <w:t>（</w:t>
            </w:r>
            <w:r>
              <w:rPr>
                <w:rFonts w:hint="eastAsia" w:cs="Times New Roman"/>
                <w:color w:val="auto"/>
                <w:sz w:val="24"/>
                <w:szCs w:val="24"/>
              </w:rPr>
              <w:t>包括氧乐果、特丁磷、杀扑磷、溴甲烷、灭多威、涕灭威、克百威、敌鼠钠、敌鼠酮、杀鼠夷、杀鼠醚、溴敌隆、溴鼠灵、肉毒素、杀虫双、磷化铝，有机</w:t>
            </w:r>
            <w:r>
              <w:rPr>
                <w:rFonts w:hint="eastAsia" w:cs="Times New Roman"/>
                <w:color w:val="auto"/>
                <w:sz w:val="24"/>
                <w:szCs w:val="24"/>
                <w:lang w:val="en-US" w:eastAsia="zh-CN"/>
              </w:rPr>
              <w:t>氯</w:t>
            </w:r>
            <w:r>
              <w:rPr>
                <w:rFonts w:hint="eastAsia" w:cs="Times New Roman"/>
                <w:color w:val="auto"/>
                <w:sz w:val="24"/>
                <w:szCs w:val="24"/>
              </w:rPr>
              <w:t>类、有机锡类杀虫剂，福美类杀菌剂，复硝酚钠</w:t>
            </w:r>
            <w:r>
              <w:rPr>
                <w:rFonts w:hint="eastAsia" w:cs="Times New Roman"/>
                <w:color w:val="auto"/>
                <w:sz w:val="24"/>
                <w:szCs w:val="24"/>
                <w:lang w:eastAsia="zh-CN"/>
              </w:rPr>
              <w:t>（</w:t>
            </w:r>
            <w:r>
              <w:rPr>
                <w:rFonts w:hint="eastAsia" w:cs="Times New Roman"/>
                <w:color w:val="auto"/>
                <w:sz w:val="24"/>
                <w:szCs w:val="24"/>
              </w:rPr>
              <w:t>钾</w:t>
            </w:r>
            <w:r>
              <w:rPr>
                <w:rFonts w:hint="eastAsia" w:cs="Times New Roman"/>
                <w:color w:val="auto"/>
                <w:sz w:val="24"/>
                <w:szCs w:val="24"/>
                <w:lang w:eastAsia="zh-CN"/>
              </w:rPr>
              <w:t>）</w:t>
            </w:r>
            <w:r>
              <w:rPr>
                <w:rFonts w:hint="eastAsia" w:cs="Times New Roman"/>
                <w:color w:val="auto"/>
                <w:sz w:val="24"/>
                <w:szCs w:val="24"/>
              </w:rPr>
              <w:t>、甲磺隆、内吸磷、乐果、氟虫腈、丁硫克百威、氟苯虫酰胺、氰戊菊酯、乙酰甲胺磷、多菌灵、丁酰肼等</w:t>
            </w:r>
            <w:r>
              <w:rPr>
                <w:rFonts w:hint="eastAsia" w:cs="Times New Roman"/>
                <w:color w:val="auto"/>
                <w:sz w:val="24"/>
                <w:szCs w:val="24"/>
                <w:lang w:eastAsia="zh-CN"/>
              </w:rPr>
              <w:t>）</w:t>
            </w:r>
            <w:r>
              <w:rPr>
                <w:rFonts w:hint="eastAsia" w:cs="Times New Roman"/>
                <w:color w:val="auto"/>
                <w:sz w:val="24"/>
                <w:szCs w:val="24"/>
              </w:rPr>
              <w:t>生产装置</w:t>
            </w:r>
            <w:r>
              <w:rPr>
                <w:rFonts w:hint="eastAsia" w:cs="Times New Roman"/>
                <w:color w:val="auto"/>
                <w:sz w:val="24"/>
                <w:szCs w:val="24"/>
                <w:lang w:eastAsia="zh-CN"/>
              </w:rPr>
              <w:t>；</w:t>
            </w:r>
            <w:r>
              <w:rPr>
                <w:rFonts w:hint="eastAsia" w:cs="Times New Roman"/>
                <w:color w:val="auto"/>
                <w:sz w:val="24"/>
                <w:szCs w:val="24"/>
                <w:lang w:val="en-US" w:eastAsia="zh-CN"/>
              </w:rPr>
              <w:t>9.</w:t>
            </w:r>
            <w:r>
              <w:rPr>
                <w:rFonts w:hint="eastAsia" w:cs="Times New Roman"/>
                <w:color w:val="auto"/>
                <w:sz w:val="24"/>
                <w:szCs w:val="24"/>
              </w:rPr>
              <w:t>草甘膦、毒死蜱、三唑磷、百草枯、百菌清、阿维菌素、吡虫啉、乙草胺、氯化苦、甲草胺、2,4-滴、啶虫脒、噻虫嗪、莠去津、</w:t>
            </w:r>
            <w:r>
              <w:rPr>
                <w:rFonts w:hint="eastAsia" w:cs="Times New Roman"/>
                <w:color w:val="auto"/>
                <w:sz w:val="24"/>
                <w:szCs w:val="24"/>
                <w:lang w:val="en-US" w:eastAsia="zh-CN"/>
              </w:rPr>
              <w:t>丁</w:t>
            </w:r>
            <w:r>
              <w:rPr>
                <w:rFonts w:hint="eastAsia" w:cs="Times New Roman"/>
                <w:color w:val="auto"/>
                <w:sz w:val="24"/>
                <w:szCs w:val="24"/>
              </w:rPr>
              <w:t>草胺、二甲四氯、莠灭净、麦草畏、敌草快、草铵膦、烯草酮、代森锰锌、敌百虫、三唑醇、丙环唑、异菌脲、多效唑、石硫合剂生产装置</w:t>
            </w:r>
            <w:r>
              <w:rPr>
                <w:rFonts w:hint="eastAsia" w:cs="Times New Roman"/>
                <w:color w:val="auto"/>
                <w:sz w:val="24"/>
                <w:szCs w:val="24"/>
                <w:lang w:eastAsia="zh-CN"/>
              </w:rPr>
              <w:t>。</w:t>
            </w:r>
          </w:p>
          <w:p w14:paraId="40E5140E">
            <w:pPr>
              <w:pStyle w:val="89"/>
              <w:adjustRightInd w:val="0"/>
              <w:snapToGrid w:val="0"/>
              <w:spacing w:before="0" w:beforeLines="0"/>
              <w:ind w:firstLine="420"/>
              <w:rPr>
                <w:rFonts w:hint="eastAsia" w:cs="Times New Roman"/>
                <w:color w:val="auto"/>
                <w:sz w:val="24"/>
                <w:szCs w:val="24"/>
              </w:rPr>
            </w:pPr>
            <w:r>
              <w:rPr>
                <w:rFonts w:cs="Times New Roman"/>
                <w:color w:val="auto"/>
                <w:sz w:val="24"/>
                <w:szCs w:val="24"/>
              </w:rPr>
              <w:t>本项目为自动生产线成套设备</w:t>
            </w:r>
            <w:r>
              <w:rPr>
                <w:rFonts w:hint="eastAsia" w:cs="Times New Roman"/>
                <w:color w:val="auto"/>
                <w:sz w:val="24"/>
                <w:szCs w:val="24"/>
                <w:lang w:eastAsia="zh-CN"/>
              </w:rPr>
              <w:t>，</w:t>
            </w:r>
            <w:r>
              <w:rPr>
                <w:rFonts w:cs="Times New Roman"/>
                <w:color w:val="auto"/>
                <w:sz w:val="24"/>
                <w:szCs w:val="24"/>
              </w:rPr>
              <w:t>不属于</w:t>
            </w:r>
            <w:r>
              <w:rPr>
                <w:rFonts w:hint="eastAsia" w:cs="Times New Roman"/>
                <w:color w:val="auto"/>
                <w:sz w:val="24"/>
                <w:szCs w:val="24"/>
                <w:lang w:eastAsia="zh-CN"/>
              </w:rPr>
              <w:t>“</w:t>
            </w:r>
            <w:r>
              <w:rPr>
                <w:rFonts w:cs="Times New Roman"/>
                <w:color w:val="auto"/>
                <w:sz w:val="24"/>
                <w:szCs w:val="24"/>
              </w:rPr>
              <w:t>淘汰类</w:t>
            </w:r>
            <w:r>
              <w:rPr>
                <w:rFonts w:hint="eastAsia" w:cs="Times New Roman"/>
                <w:color w:val="auto"/>
                <w:sz w:val="24"/>
                <w:szCs w:val="24"/>
                <w:lang w:eastAsia="zh-CN"/>
              </w:rPr>
              <w:t>”</w:t>
            </w:r>
            <w:r>
              <w:rPr>
                <w:rFonts w:cs="Times New Roman"/>
                <w:color w:val="auto"/>
                <w:sz w:val="24"/>
                <w:szCs w:val="24"/>
              </w:rPr>
              <w:t>的落后生产工艺装备中</w:t>
            </w:r>
            <w:r>
              <w:rPr>
                <w:rFonts w:hint="eastAsia" w:cs="Times New Roman"/>
                <w:color w:val="auto"/>
                <w:sz w:val="24"/>
                <w:szCs w:val="24"/>
                <w:lang w:eastAsia="zh-CN"/>
              </w:rPr>
              <w:t>：（</w:t>
            </w:r>
            <w:r>
              <w:rPr>
                <w:rFonts w:hint="eastAsia" w:cs="Times New Roman"/>
                <w:color w:val="auto"/>
                <w:sz w:val="24"/>
                <w:szCs w:val="24"/>
                <w:lang w:val="en-US" w:eastAsia="zh-CN"/>
              </w:rPr>
              <w:t>四</w:t>
            </w:r>
            <w:r>
              <w:rPr>
                <w:rFonts w:hint="eastAsia" w:cs="Times New Roman"/>
                <w:color w:val="auto"/>
                <w:sz w:val="24"/>
                <w:szCs w:val="24"/>
                <w:lang w:eastAsia="zh-CN"/>
              </w:rPr>
              <w:t>）</w:t>
            </w:r>
            <w:r>
              <w:rPr>
                <w:rFonts w:hint="eastAsia" w:cs="Times New Roman"/>
                <w:color w:val="auto"/>
                <w:sz w:val="24"/>
                <w:szCs w:val="24"/>
                <w:lang w:val="en-US" w:eastAsia="zh-CN"/>
              </w:rPr>
              <w:t>石化化工7.</w:t>
            </w:r>
            <w:r>
              <w:rPr>
                <w:rFonts w:hint="eastAsia" w:cs="Times New Roman"/>
                <w:color w:val="auto"/>
                <w:sz w:val="24"/>
                <w:szCs w:val="24"/>
              </w:rPr>
              <w:t>钠法百草枯生产工艺，敌百虫碱法敌敌畏生产工艺，小包装</w:t>
            </w:r>
            <w:r>
              <w:rPr>
                <w:rFonts w:hint="eastAsia" w:cs="Times New Roman"/>
                <w:color w:val="auto"/>
                <w:sz w:val="24"/>
                <w:szCs w:val="24"/>
                <w:lang w:eastAsia="zh-CN"/>
              </w:rPr>
              <w:t>（</w:t>
            </w:r>
            <w:r>
              <w:rPr>
                <w:rFonts w:hint="eastAsia" w:cs="Times New Roman"/>
                <w:color w:val="auto"/>
                <w:sz w:val="24"/>
                <w:szCs w:val="24"/>
              </w:rPr>
              <w:t>1公斤及以下</w:t>
            </w:r>
            <w:r>
              <w:rPr>
                <w:rFonts w:hint="eastAsia" w:cs="Times New Roman"/>
                <w:color w:val="auto"/>
                <w:sz w:val="24"/>
                <w:szCs w:val="24"/>
                <w:lang w:eastAsia="zh-CN"/>
              </w:rPr>
              <w:t>）</w:t>
            </w:r>
            <w:r>
              <w:rPr>
                <w:rFonts w:hint="eastAsia" w:cs="Times New Roman"/>
                <w:color w:val="auto"/>
                <w:sz w:val="24"/>
                <w:szCs w:val="24"/>
              </w:rPr>
              <w:t>农药产品手工包</w:t>
            </w:r>
            <w:r>
              <w:rPr>
                <w:rFonts w:hint="eastAsia" w:cs="Times New Roman"/>
                <w:color w:val="auto"/>
                <w:sz w:val="24"/>
                <w:szCs w:val="24"/>
                <w:lang w:eastAsia="zh-CN"/>
              </w:rPr>
              <w:t>（</w:t>
            </w:r>
            <w:r>
              <w:rPr>
                <w:rFonts w:hint="eastAsia" w:cs="Times New Roman"/>
                <w:color w:val="auto"/>
                <w:sz w:val="24"/>
                <w:szCs w:val="24"/>
              </w:rPr>
              <w:t>灌</w:t>
            </w:r>
            <w:r>
              <w:rPr>
                <w:rFonts w:hint="eastAsia" w:cs="Times New Roman"/>
                <w:color w:val="auto"/>
                <w:sz w:val="24"/>
                <w:szCs w:val="24"/>
                <w:lang w:eastAsia="zh-CN"/>
              </w:rPr>
              <w:t>）</w:t>
            </w:r>
            <w:r>
              <w:rPr>
                <w:rFonts w:hint="eastAsia" w:cs="Times New Roman"/>
                <w:color w:val="auto"/>
                <w:sz w:val="24"/>
                <w:szCs w:val="24"/>
              </w:rPr>
              <w:t>装工艺及设备，雷蒙机法生产农药粉剂，以六氯苯为原料生产五氯酚</w:t>
            </w:r>
            <w:r>
              <w:rPr>
                <w:rFonts w:hint="eastAsia" w:cs="Times New Roman"/>
                <w:color w:val="auto"/>
                <w:sz w:val="24"/>
                <w:szCs w:val="24"/>
                <w:lang w:eastAsia="zh-CN"/>
              </w:rPr>
              <w:t>（</w:t>
            </w:r>
            <w:r>
              <w:rPr>
                <w:rFonts w:hint="eastAsia" w:cs="Times New Roman"/>
                <w:color w:val="auto"/>
                <w:sz w:val="24"/>
                <w:szCs w:val="24"/>
              </w:rPr>
              <w:t>钠</w:t>
            </w:r>
            <w:r>
              <w:rPr>
                <w:rFonts w:hint="eastAsia" w:cs="Times New Roman"/>
                <w:color w:val="auto"/>
                <w:sz w:val="24"/>
                <w:szCs w:val="24"/>
                <w:lang w:eastAsia="zh-CN"/>
              </w:rPr>
              <w:t>）</w:t>
            </w:r>
            <w:r>
              <w:rPr>
                <w:rFonts w:hint="eastAsia" w:cs="Times New Roman"/>
                <w:color w:val="auto"/>
                <w:sz w:val="24"/>
                <w:szCs w:val="24"/>
              </w:rPr>
              <w:t>装置</w:t>
            </w:r>
            <w:r>
              <w:rPr>
                <w:rFonts w:hint="eastAsia" w:cs="Times New Roman"/>
                <w:color w:val="auto"/>
                <w:sz w:val="24"/>
                <w:szCs w:val="24"/>
                <w:lang w:eastAsia="zh-CN"/>
              </w:rPr>
              <w:t>。</w:t>
            </w:r>
          </w:p>
          <w:p w14:paraId="21A9C418">
            <w:pPr>
              <w:pStyle w:val="89"/>
              <w:adjustRightInd w:val="0"/>
              <w:snapToGrid w:val="0"/>
              <w:spacing w:before="0" w:beforeLines="0"/>
              <w:ind w:firstLine="420"/>
              <w:rPr>
                <w:rFonts w:hint="eastAsia" w:eastAsia="宋体" w:cs="Times New Roman"/>
                <w:color w:val="auto"/>
                <w:sz w:val="24"/>
                <w:szCs w:val="24"/>
                <w:lang w:val="en-US" w:eastAsia="zh-CN"/>
              </w:rPr>
            </w:pPr>
            <w:r>
              <w:rPr>
                <w:rFonts w:hint="eastAsia" w:cs="Times New Roman"/>
                <w:color w:val="auto"/>
                <w:sz w:val="24"/>
                <w:szCs w:val="24"/>
              </w:rPr>
              <w:t>本项目不属于</w:t>
            </w:r>
            <w:r>
              <w:rPr>
                <w:rFonts w:hint="eastAsia" w:cs="Times New Roman"/>
                <w:color w:val="auto"/>
                <w:sz w:val="24"/>
                <w:szCs w:val="24"/>
                <w:lang w:eastAsia="zh-CN"/>
              </w:rPr>
              <w:t>“</w:t>
            </w:r>
            <w:r>
              <w:rPr>
                <w:rFonts w:hint="eastAsia" w:cs="Times New Roman"/>
                <w:color w:val="auto"/>
                <w:sz w:val="24"/>
                <w:szCs w:val="24"/>
              </w:rPr>
              <w:t>淘汰类</w:t>
            </w:r>
            <w:r>
              <w:rPr>
                <w:rFonts w:hint="eastAsia" w:cs="Times New Roman"/>
                <w:color w:val="auto"/>
                <w:sz w:val="24"/>
                <w:szCs w:val="24"/>
                <w:lang w:eastAsia="zh-CN"/>
              </w:rPr>
              <w:t>”</w:t>
            </w:r>
            <w:r>
              <w:rPr>
                <w:rFonts w:hint="eastAsia" w:cs="Times New Roman"/>
                <w:color w:val="auto"/>
                <w:sz w:val="24"/>
                <w:szCs w:val="24"/>
              </w:rPr>
              <w:t>的落后产品中</w:t>
            </w:r>
            <w:r>
              <w:rPr>
                <w:rFonts w:hint="eastAsia" w:cs="Times New Roman"/>
                <w:color w:val="auto"/>
                <w:sz w:val="24"/>
                <w:szCs w:val="24"/>
                <w:lang w:eastAsia="zh-CN"/>
              </w:rPr>
              <w:t>：（</w:t>
            </w:r>
            <w:r>
              <w:rPr>
                <w:rFonts w:hint="eastAsia" w:cs="Times New Roman"/>
                <w:color w:val="auto"/>
                <w:sz w:val="24"/>
                <w:szCs w:val="24"/>
                <w:lang w:val="en-US" w:eastAsia="zh-CN"/>
              </w:rPr>
              <w:t>一</w:t>
            </w:r>
            <w:r>
              <w:rPr>
                <w:rFonts w:hint="eastAsia" w:cs="Times New Roman"/>
                <w:color w:val="auto"/>
                <w:sz w:val="24"/>
                <w:szCs w:val="24"/>
                <w:lang w:eastAsia="zh-CN"/>
              </w:rPr>
              <w:t>）</w:t>
            </w:r>
            <w:r>
              <w:rPr>
                <w:rFonts w:hint="eastAsia" w:cs="Times New Roman"/>
                <w:color w:val="auto"/>
                <w:sz w:val="24"/>
                <w:szCs w:val="24"/>
                <w:lang w:val="en-US" w:eastAsia="zh-CN"/>
              </w:rPr>
              <w:t>石化化工5.</w:t>
            </w:r>
            <w:r>
              <w:rPr>
                <w:rFonts w:hint="eastAsia" w:cs="Times New Roman"/>
                <w:color w:val="auto"/>
                <w:sz w:val="24"/>
                <w:szCs w:val="24"/>
              </w:rPr>
              <w:t>高毒农药产品</w:t>
            </w:r>
            <w:r>
              <w:rPr>
                <w:rFonts w:hint="eastAsia" w:cs="Times New Roman"/>
                <w:color w:val="auto"/>
                <w:sz w:val="24"/>
                <w:szCs w:val="24"/>
                <w:lang w:eastAsia="zh-CN"/>
              </w:rPr>
              <w:t>：</w:t>
            </w:r>
            <w:r>
              <w:rPr>
                <w:rFonts w:hint="eastAsia" w:cs="Times New Roman"/>
                <w:color w:val="auto"/>
                <w:sz w:val="24"/>
                <w:szCs w:val="24"/>
              </w:rPr>
              <w:t>六六六、二溴乙烷、丁酰肼、敌枯双、除草醚、杀虫脒、毒鼠强、氟乙酰胺、氟乙酸钠、二溴氯丙烷、治螟磷</w:t>
            </w:r>
            <w:r>
              <w:rPr>
                <w:rFonts w:hint="eastAsia" w:cs="Times New Roman"/>
                <w:color w:val="auto"/>
                <w:sz w:val="24"/>
                <w:szCs w:val="24"/>
                <w:lang w:eastAsia="zh-CN"/>
              </w:rPr>
              <w:t>（</w:t>
            </w:r>
            <w:r>
              <w:rPr>
                <w:rFonts w:hint="eastAsia" w:cs="Times New Roman"/>
                <w:color w:val="auto"/>
                <w:sz w:val="24"/>
                <w:szCs w:val="24"/>
              </w:rPr>
              <w:t>苏化203</w:t>
            </w:r>
            <w:r>
              <w:rPr>
                <w:rFonts w:hint="eastAsia" w:cs="Times New Roman"/>
                <w:color w:val="auto"/>
                <w:sz w:val="24"/>
                <w:szCs w:val="24"/>
                <w:lang w:eastAsia="zh-CN"/>
              </w:rPr>
              <w:t>）</w:t>
            </w:r>
            <w:r>
              <w:rPr>
                <w:rFonts w:hint="eastAsia" w:cs="Times New Roman"/>
                <w:color w:val="auto"/>
                <w:sz w:val="24"/>
                <w:szCs w:val="24"/>
              </w:rPr>
              <w:t>、磷胺、甘氟、毒鼠硅、甲胺磷、对硫磷、甲基对硫磷、久效磷、硫环磷</w:t>
            </w:r>
            <w:r>
              <w:rPr>
                <w:rFonts w:hint="eastAsia" w:cs="Times New Roman"/>
                <w:color w:val="auto"/>
                <w:sz w:val="24"/>
                <w:szCs w:val="24"/>
                <w:lang w:eastAsia="zh-CN"/>
              </w:rPr>
              <w:t>（</w:t>
            </w:r>
            <w:r>
              <w:rPr>
                <w:rFonts w:hint="eastAsia" w:cs="Times New Roman"/>
                <w:color w:val="auto"/>
                <w:sz w:val="24"/>
                <w:szCs w:val="24"/>
              </w:rPr>
              <w:t>乙基硫环磷</w:t>
            </w:r>
            <w:r>
              <w:rPr>
                <w:rFonts w:hint="eastAsia" w:cs="Times New Roman"/>
                <w:color w:val="auto"/>
                <w:sz w:val="24"/>
                <w:szCs w:val="24"/>
                <w:lang w:eastAsia="zh-CN"/>
              </w:rPr>
              <w:t>）</w:t>
            </w:r>
            <w:r>
              <w:rPr>
                <w:rFonts w:hint="eastAsia" w:cs="Times New Roman"/>
                <w:color w:val="auto"/>
                <w:sz w:val="24"/>
                <w:szCs w:val="24"/>
              </w:rPr>
              <w:t>、福美胂、福美甲胂及所有砷制剂、汞制剂、铅制剂、草甘膦含量在30%以下的水剂，甲基硫环磷、磷化钙、磷化锌、苯线磷、地虫硫磷、磷化镁、硫线磷、蝇毒磷、治螟磷、特丁硫磷、甲拌磷、2,4-滴丁酯、甲基异柳磷、水胺硫磷、灭线磷、壬基酚</w:t>
            </w:r>
            <w:r>
              <w:rPr>
                <w:rFonts w:hint="eastAsia" w:cs="Times New Roman"/>
                <w:color w:val="auto"/>
                <w:sz w:val="24"/>
                <w:szCs w:val="24"/>
                <w:lang w:eastAsia="zh-CN"/>
              </w:rPr>
              <w:t>（</w:t>
            </w:r>
            <w:r>
              <w:rPr>
                <w:rFonts w:hint="eastAsia" w:cs="Times New Roman"/>
                <w:color w:val="auto"/>
                <w:sz w:val="24"/>
                <w:szCs w:val="24"/>
              </w:rPr>
              <w:t>农药助剂</w:t>
            </w:r>
            <w:r>
              <w:rPr>
                <w:rFonts w:hint="eastAsia" w:cs="Times New Roman"/>
                <w:color w:val="auto"/>
                <w:sz w:val="24"/>
                <w:szCs w:val="24"/>
                <w:lang w:eastAsia="zh-CN"/>
              </w:rPr>
              <w:t>）</w:t>
            </w:r>
            <w:r>
              <w:rPr>
                <w:rFonts w:hint="eastAsia" w:cs="Times New Roman"/>
                <w:color w:val="auto"/>
                <w:sz w:val="24"/>
                <w:szCs w:val="24"/>
              </w:rPr>
              <w:t>、三氯杀醇、氯磺隆、胺苯磺隆</w:t>
            </w:r>
            <w:r>
              <w:rPr>
                <w:rFonts w:hint="eastAsia" w:cs="Times New Roman"/>
                <w:color w:val="auto"/>
                <w:sz w:val="24"/>
                <w:szCs w:val="24"/>
                <w:lang w:eastAsia="zh-CN"/>
              </w:rPr>
              <w:t>；</w:t>
            </w:r>
            <w:r>
              <w:rPr>
                <w:rFonts w:hint="eastAsia" w:cs="Times New Roman"/>
                <w:color w:val="auto"/>
                <w:sz w:val="24"/>
                <w:szCs w:val="24"/>
                <w:lang w:val="en-US" w:eastAsia="zh-CN"/>
              </w:rPr>
              <w:t>6.</w:t>
            </w:r>
            <w:r>
              <w:rPr>
                <w:rFonts w:hint="eastAsia" w:cs="Times New Roman"/>
                <w:color w:val="auto"/>
                <w:sz w:val="24"/>
                <w:szCs w:val="24"/>
              </w:rPr>
              <w:t>根据国家履行国际公约总体计划要求进行淘汰的产品</w:t>
            </w:r>
            <w:r>
              <w:rPr>
                <w:rFonts w:hint="eastAsia" w:cs="Times New Roman"/>
                <w:color w:val="auto"/>
                <w:sz w:val="24"/>
                <w:szCs w:val="24"/>
                <w:lang w:eastAsia="zh-CN"/>
              </w:rPr>
              <w:t>：</w:t>
            </w:r>
            <w:r>
              <w:rPr>
                <w:rFonts w:hint="eastAsia" w:cs="Times New Roman"/>
                <w:color w:val="auto"/>
                <w:sz w:val="24"/>
                <w:szCs w:val="24"/>
              </w:rPr>
              <w:t>氯丹、七氯、溴甲烷、滴滴涕、六氯苯、灭蚁灵、林丹、毒杀芬、艾氏剂、狄氏剂、异狄氏剂、硫丹、氟虫胺、十氯酮、</w:t>
            </w:r>
            <w:r>
              <w:rPr>
                <w:rFonts w:hint="default" w:ascii="Arial" w:hAnsi="Arial" w:cs="Arial"/>
                <w:color w:val="auto"/>
                <w:sz w:val="24"/>
                <w:szCs w:val="24"/>
              </w:rPr>
              <w:t>α</w:t>
            </w:r>
            <w:r>
              <w:rPr>
                <w:rFonts w:hint="eastAsia" w:cs="Times New Roman"/>
                <w:color w:val="auto"/>
                <w:sz w:val="24"/>
                <w:szCs w:val="24"/>
              </w:rPr>
              <w:t>-六氯环已烷、</w:t>
            </w:r>
            <w:r>
              <w:rPr>
                <w:rFonts w:hint="default" w:ascii="Arial" w:hAnsi="Arial" w:cs="Arial"/>
                <w:color w:val="auto"/>
                <w:sz w:val="24"/>
                <w:szCs w:val="24"/>
              </w:rPr>
              <w:t>β</w:t>
            </w:r>
            <w:r>
              <w:rPr>
                <w:rFonts w:hint="eastAsia" w:cs="Times New Roman"/>
                <w:color w:val="auto"/>
                <w:sz w:val="24"/>
                <w:szCs w:val="24"/>
              </w:rPr>
              <w:t>-六氯环已烷、六氯丁二烯、多氯联苯、五氯苯、六溴联苯、四溴二苯</w:t>
            </w:r>
            <w:r>
              <w:rPr>
                <w:rFonts w:hint="eastAsia" w:cs="Times New Roman"/>
                <w:color w:val="auto"/>
                <w:sz w:val="24"/>
                <w:szCs w:val="24"/>
                <w:lang w:val="en-US" w:eastAsia="zh-CN"/>
              </w:rPr>
              <w:t>醚</w:t>
            </w:r>
            <w:r>
              <w:rPr>
                <w:rFonts w:hint="eastAsia" w:cs="Times New Roman"/>
                <w:color w:val="auto"/>
                <w:sz w:val="24"/>
                <w:szCs w:val="24"/>
              </w:rPr>
              <w:t>和五溴二苯酵、六溴二苯酵和七溴二苯酵、六溴环十二烷、全氟辛基磺酸及其盐类和全氟辛基磺酰氟、全氟已基磺酸</w:t>
            </w:r>
            <w:r>
              <w:rPr>
                <w:rFonts w:hint="eastAsia" w:cs="Times New Roman"/>
                <w:color w:val="auto"/>
                <w:sz w:val="24"/>
                <w:szCs w:val="24"/>
                <w:lang w:eastAsia="zh-CN"/>
              </w:rPr>
              <w:t>（</w:t>
            </w:r>
            <w:r>
              <w:rPr>
                <w:rFonts w:hint="eastAsia" w:cs="Times New Roman"/>
                <w:color w:val="auto"/>
                <w:sz w:val="24"/>
                <w:szCs w:val="24"/>
              </w:rPr>
              <w:t>PFHxS</w:t>
            </w:r>
            <w:r>
              <w:rPr>
                <w:rFonts w:hint="eastAsia" w:cs="Times New Roman"/>
                <w:color w:val="auto"/>
                <w:sz w:val="24"/>
                <w:szCs w:val="24"/>
                <w:lang w:eastAsia="zh-CN"/>
              </w:rPr>
              <w:t>）</w:t>
            </w:r>
            <w:r>
              <w:rPr>
                <w:rFonts w:hint="eastAsia" w:cs="Times New Roman"/>
                <w:color w:val="auto"/>
                <w:sz w:val="24"/>
                <w:szCs w:val="24"/>
              </w:rPr>
              <w:t>及其盐类和相关化合物、全氟辛酸</w:t>
            </w:r>
            <w:r>
              <w:rPr>
                <w:rFonts w:hint="eastAsia" w:cs="Times New Roman"/>
                <w:color w:val="auto"/>
                <w:sz w:val="24"/>
                <w:szCs w:val="24"/>
                <w:lang w:eastAsia="zh-CN"/>
              </w:rPr>
              <w:t>（</w:t>
            </w:r>
            <w:r>
              <w:rPr>
                <w:rFonts w:hint="eastAsia" w:cs="Times New Roman"/>
                <w:color w:val="auto"/>
                <w:sz w:val="24"/>
                <w:szCs w:val="24"/>
              </w:rPr>
              <w:t>PFOA</w:t>
            </w:r>
            <w:r>
              <w:rPr>
                <w:rFonts w:hint="eastAsia" w:cs="Times New Roman"/>
                <w:color w:val="auto"/>
                <w:sz w:val="24"/>
                <w:szCs w:val="24"/>
                <w:lang w:eastAsia="zh-CN"/>
              </w:rPr>
              <w:t>）</w:t>
            </w:r>
            <w:r>
              <w:rPr>
                <w:rFonts w:hint="eastAsia" w:cs="Times New Roman"/>
                <w:color w:val="auto"/>
                <w:sz w:val="24"/>
                <w:szCs w:val="24"/>
              </w:rPr>
              <w:t>及其盐类和相关化合物、十溴二苯醚、短链氯化石蜡、五氯苯酚及其盐类和酯类、多氯萘</w:t>
            </w:r>
            <w:r>
              <w:rPr>
                <w:rFonts w:hint="eastAsia" w:cs="Times New Roman"/>
                <w:color w:val="auto"/>
                <w:sz w:val="24"/>
                <w:szCs w:val="24"/>
                <w:lang w:eastAsia="zh-CN"/>
              </w:rPr>
              <w:t>（</w:t>
            </w:r>
            <w:r>
              <w:rPr>
                <w:rFonts w:hint="eastAsia" w:cs="Times New Roman"/>
                <w:color w:val="auto"/>
                <w:sz w:val="24"/>
                <w:szCs w:val="24"/>
              </w:rPr>
              <w:t>豁免用途为限制类</w:t>
            </w:r>
            <w:r>
              <w:rPr>
                <w:rFonts w:hint="eastAsia" w:cs="Times New Roman"/>
                <w:color w:val="auto"/>
                <w:sz w:val="24"/>
                <w:szCs w:val="24"/>
                <w:lang w:val="en-US" w:eastAsia="zh-CN"/>
              </w:rPr>
              <w:t>）</w:t>
            </w:r>
          </w:p>
          <w:p w14:paraId="2F22BEEA">
            <w:pPr>
              <w:pStyle w:val="89"/>
              <w:adjustRightInd w:val="0"/>
              <w:snapToGrid w:val="0"/>
              <w:spacing w:before="0" w:beforeLines="0"/>
              <w:ind w:firstLine="420"/>
              <w:rPr>
                <w:rFonts w:hint="eastAsia" w:cs="Times New Roman"/>
                <w:color w:val="auto"/>
                <w:sz w:val="24"/>
                <w:szCs w:val="24"/>
              </w:rPr>
            </w:pPr>
            <w:r>
              <w:rPr>
                <w:rFonts w:hint="eastAsia" w:cs="Times New Roman"/>
                <w:color w:val="auto"/>
                <w:sz w:val="24"/>
                <w:szCs w:val="24"/>
                <w:lang w:val="en-US" w:eastAsia="zh-CN"/>
              </w:rPr>
              <w:t>本项目</w:t>
            </w:r>
            <w:r>
              <w:rPr>
                <w:rFonts w:hint="eastAsia" w:cs="Times New Roman"/>
                <w:color w:val="auto"/>
                <w:sz w:val="24"/>
                <w:szCs w:val="24"/>
              </w:rPr>
              <w:t>不属于《市场准入负面清单（2025年版）》所列举的负面清单内容，不使用淘汰类和限制类设备。因此，本项目建设符合相关的产业政策。</w:t>
            </w:r>
          </w:p>
          <w:p w14:paraId="6302E6BB">
            <w:pPr>
              <w:pStyle w:val="35"/>
              <w:snapToGrid w:val="0"/>
              <w:spacing w:line="360" w:lineRule="auto"/>
              <w:ind w:firstLineChars="200"/>
              <w:rPr>
                <w:color w:val="auto"/>
                <w:sz w:val="24"/>
                <w:szCs w:val="24"/>
              </w:rPr>
            </w:pPr>
            <w:r>
              <w:rPr>
                <w:color w:val="auto"/>
                <w:sz w:val="24"/>
                <w:szCs w:val="24"/>
              </w:rPr>
              <w:t>本项目不属于化学制桨、印染、电镀、鞣革等禁止建设项目。</w:t>
            </w:r>
          </w:p>
          <w:p w14:paraId="015A77F8">
            <w:pPr>
              <w:pStyle w:val="89"/>
              <w:adjustRightInd w:val="0"/>
              <w:snapToGrid w:val="0"/>
              <w:spacing w:before="0" w:beforeLines="0"/>
              <w:ind w:firstLine="420"/>
              <w:rPr>
                <w:rFonts w:cs="Times New Roman"/>
                <w:color w:val="auto"/>
                <w:sz w:val="24"/>
                <w:szCs w:val="24"/>
              </w:rPr>
            </w:pPr>
            <w:r>
              <w:rPr>
                <w:rFonts w:cs="Times New Roman"/>
                <w:color w:val="auto"/>
                <w:sz w:val="24"/>
                <w:szCs w:val="24"/>
              </w:rPr>
              <w:t>综上所述，项目符合国家和地方的相关产业政策，选址合理。</w:t>
            </w:r>
          </w:p>
          <w:p w14:paraId="06B90504">
            <w:pPr>
              <w:pStyle w:val="35"/>
              <w:spacing w:line="360" w:lineRule="auto"/>
              <w:ind w:firstLine="482" w:firstLineChars="200"/>
              <w:rPr>
                <w:b/>
                <w:bCs/>
                <w:color w:val="auto"/>
                <w:sz w:val="24"/>
                <w:szCs w:val="24"/>
              </w:rPr>
            </w:pPr>
            <w:r>
              <w:rPr>
                <w:b/>
                <w:bCs/>
                <w:color w:val="auto"/>
                <w:sz w:val="24"/>
                <w:szCs w:val="24"/>
              </w:rPr>
              <w:t>3、与环境功能区划相符性分析</w:t>
            </w:r>
          </w:p>
          <w:p w14:paraId="03022C78">
            <w:pPr>
              <w:pStyle w:val="35"/>
              <w:spacing w:line="360" w:lineRule="auto"/>
              <w:ind w:firstLineChars="200"/>
              <w:rPr>
                <w:color w:val="auto"/>
                <w:sz w:val="24"/>
                <w:szCs w:val="24"/>
              </w:rPr>
            </w:pPr>
            <w:r>
              <w:rPr>
                <w:color w:val="auto"/>
                <w:sz w:val="24"/>
                <w:szCs w:val="24"/>
              </w:rPr>
              <w:t>（1）根据《广东省人民政府关于印发部分市乡镇集中式饮用水源保护区划分方案的通知》（粤府函〔2015〕17号）、《广东省人民政府关于调整韶关市部分饮用水水源保护区的批复》（粤府函〔2018〕427号）及《广东省生态环境厅 广东省水利厅关于印发〈韶关市部分饮用水水源保护区调整方案〉的通知》（粤环函〔2024〕146号），项目所在地不属于韶关市一、二级水源保护区，符合水污染防治条例的有关要求。</w:t>
            </w:r>
          </w:p>
          <w:p w14:paraId="0570B78D">
            <w:pPr>
              <w:pStyle w:val="35"/>
              <w:spacing w:line="360" w:lineRule="auto"/>
              <w:ind w:firstLineChars="200"/>
              <w:rPr>
                <w:color w:val="auto"/>
                <w:sz w:val="24"/>
                <w:szCs w:val="24"/>
              </w:rPr>
            </w:pPr>
            <w:r>
              <w:rPr>
                <w:color w:val="auto"/>
                <w:sz w:val="24"/>
                <w:szCs w:val="24"/>
              </w:rPr>
              <w:t>（2）根据《乐昌市人民政府办公室关于印发乐昌市生态环境保护“十四五”规划的通知》（乐府办〔2022〕16号）中《乐昌市“十四五”生态环境保护规划大气环境功能区划图》，项目所在区域为环境空气质量二类功能区，不属于环境空气质量一类功能区中的自然保护区风景名胜区和其他需要特殊保护的区域。</w:t>
            </w:r>
          </w:p>
          <w:p w14:paraId="503E3DAE">
            <w:pPr>
              <w:pStyle w:val="35"/>
              <w:spacing w:line="360" w:lineRule="auto"/>
              <w:ind w:firstLineChars="200"/>
              <w:rPr>
                <w:color w:val="auto"/>
                <w:sz w:val="24"/>
                <w:szCs w:val="24"/>
              </w:rPr>
            </w:pPr>
            <w:r>
              <w:rPr>
                <w:color w:val="auto"/>
                <w:sz w:val="24"/>
                <w:szCs w:val="24"/>
              </w:rPr>
              <w:t>（3）根据《乐昌产业转移工业园城东片区控制性详细规划修编》及《乐昌市声环境功能区划方案》（2022年），项目所在地块为工业用地，项目所在区域为声环境3类区。</w:t>
            </w:r>
          </w:p>
          <w:p w14:paraId="7ED11DCB">
            <w:pPr>
              <w:pStyle w:val="35"/>
              <w:spacing w:line="360" w:lineRule="auto"/>
              <w:ind w:firstLine="482" w:firstLineChars="200"/>
              <w:rPr>
                <w:b/>
                <w:bCs/>
                <w:color w:val="auto"/>
                <w:sz w:val="24"/>
                <w:szCs w:val="24"/>
              </w:rPr>
            </w:pPr>
            <w:r>
              <w:rPr>
                <w:b/>
                <w:bCs/>
                <w:color w:val="auto"/>
                <w:sz w:val="24"/>
                <w:szCs w:val="24"/>
              </w:rPr>
              <w:t>4、与国土空间规划、三区三线符合性分析</w:t>
            </w:r>
          </w:p>
          <w:p w14:paraId="3770E909">
            <w:pPr>
              <w:pStyle w:val="35"/>
              <w:spacing w:line="360" w:lineRule="auto"/>
              <w:ind w:firstLineChars="200"/>
              <w:rPr>
                <w:color w:val="auto"/>
                <w:sz w:val="24"/>
                <w:szCs w:val="24"/>
              </w:rPr>
            </w:pPr>
            <w:r>
              <w:rPr>
                <w:color w:val="auto"/>
                <w:sz w:val="24"/>
                <w:szCs w:val="24"/>
              </w:rPr>
              <w:t>根据《乐昌市人民政府关于印发乐昌市国土空间总体规划（2021—2035年）的通知》（乐府〔2025〕5号）和广东省三区三线专题图叠图分析（见附图</w:t>
            </w:r>
            <w:r>
              <w:rPr>
                <w:rFonts w:hint="eastAsia"/>
                <w:color w:val="auto"/>
                <w:sz w:val="24"/>
                <w:szCs w:val="24"/>
                <w:lang w:val="en-US" w:eastAsia="zh-CN"/>
              </w:rPr>
              <w:t>20</w:t>
            </w:r>
            <w:r>
              <w:rPr>
                <w:color w:val="auto"/>
                <w:sz w:val="24"/>
                <w:szCs w:val="24"/>
              </w:rPr>
              <w:t>），项目用地位于城镇开发边界范围内，不在基本农田保护红线和生态保护红线范围内。</w:t>
            </w:r>
          </w:p>
          <w:p w14:paraId="01A8D484">
            <w:pPr>
              <w:pStyle w:val="35"/>
              <w:spacing w:line="360" w:lineRule="auto"/>
              <w:ind w:firstLineChars="200"/>
              <w:rPr>
                <w:color w:val="auto"/>
                <w:sz w:val="24"/>
                <w:szCs w:val="24"/>
              </w:rPr>
            </w:pPr>
            <w:r>
              <w:rPr>
                <w:color w:val="auto"/>
                <w:sz w:val="24"/>
                <w:szCs w:val="24"/>
              </w:rPr>
              <w:t>综上所述，本评价认为项目选址合理。</w:t>
            </w:r>
          </w:p>
          <w:p w14:paraId="44ED820D">
            <w:pPr>
              <w:pStyle w:val="35"/>
              <w:spacing w:line="360" w:lineRule="auto"/>
              <w:ind w:firstLine="482" w:firstLineChars="200"/>
              <w:rPr>
                <w:b/>
                <w:bCs/>
                <w:color w:val="auto"/>
                <w:sz w:val="24"/>
                <w:szCs w:val="24"/>
              </w:rPr>
            </w:pPr>
            <w:r>
              <w:rPr>
                <w:b/>
                <w:bCs/>
                <w:color w:val="auto"/>
                <w:sz w:val="24"/>
                <w:szCs w:val="24"/>
              </w:rPr>
              <w:t>5、与《工业和信息化部发布〈限期淘汰产生严重污染环境的工业固体废物的落后生产工艺设备名录〉公告》（中华人民共和国工业和信息化部公告2021年第25号）相符性分析</w:t>
            </w:r>
          </w:p>
          <w:p w14:paraId="66A30C1B">
            <w:pPr>
              <w:pStyle w:val="35"/>
              <w:spacing w:line="360" w:lineRule="auto"/>
              <w:ind w:firstLineChars="200"/>
              <w:rPr>
                <w:color w:val="auto"/>
                <w:sz w:val="24"/>
                <w:szCs w:val="24"/>
              </w:rPr>
            </w:pPr>
            <w:r>
              <w:rPr>
                <w:color w:val="auto"/>
                <w:sz w:val="24"/>
                <w:szCs w:val="24"/>
              </w:rPr>
              <w:t>本项目所用生产工艺及设备不属于《限期淘汰产生严重污染环境的工业固体废物的落后生产工艺设备名录》中限期淘汰的落后生产工艺设备，故与《工业和信息化部发布〈限期淘汰产生严重污染环境的工业固体废物的落后生产工艺设备名录〉公告》（中华人民共和国工业和信息化部公告2021年第25号）相符。</w:t>
            </w:r>
          </w:p>
          <w:p w14:paraId="181455E2">
            <w:pPr>
              <w:pStyle w:val="35"/>
              <w:spacing w:line="360" w:lineRule="auto"/>
              <w:ind w:firstLine="482" w:firstLineChars="200"/>
              <w:rPr>
                <w:b/>
                <w:bCs/>
                <w:color w:val="auto"/>
                <w:sz w:val="24"/>
                <w:szCs w:val="24"/>
              </w:rPr>
            </w:pPr>
            <w:r>
              <w:rPr>
                <w:b/>
                <w:bCs/>
                <w:color w:val="auto"/>
                <w:sz w:val="24"/>
                <w:szCs w:val="24"/>
              </w:rPr>
              <w:t>6、与“两高”项目相符性分析</w:t>
            </w:r>
          </w:p>
          <w:p w14:paraId="5F2F6C0F">
            <w:pPr>
              <w:autoSpaceDE w:val="0"/>
              <w:autoSpaceDN w:val="0"/>
              <w:adjustRightInd w:val="0"/>
              <w:snapToGrid w:val="0"/>
              <w:spacing w:line="360" w:lineRule="auto"/>
              <w:ind w:firstLine="480" w:firstLineChars="200"/>
              <w:rPr>
                <w:color w:val="auto"/>
                <w:sz w:val="24"/>
                <w:szCs w:val="24"/>
                <w:lang w:bidi="ar"/>
              </w:rPr>
            </w:pPr>
            <w:r>
              <w:rPr>
                <w:color w:val="auto"/>
                <w:sz w:val="24"/>
                <w:szCs w:val="24"/>
              </w:rPr>
              <w:t>根据《广东省“两高”项目管理名录（2022年版）》，本项</w:t>
            </w:r>
            <w:r>
              <w:rPr>
                <w:color w:val="auto"/>
                <w:sz w:val="24"/>
                <w:szCs w:val="24"/>
                <w:lang w:bidi="ar"/>
              </w:rPr>
              <w:t>不在上述名录内，不属于“两高”项目。</w:t>
            </w:r>
          </w:p>
          <w:p w14:paraId="395154B1">
            <w:pPr>
              <w:pStyle w:val="35"/>
              <w:spacing w:line="360" w:lineRule="auto"/>
              <w:ind w:firstLine="482" w:firstLineChars="200"/>
              <w:rPr>
                <w:b/>
                <w:bCs/>
                <w:color w:val="auto"/>
                <w:sz w:val="24"/>
                <w:szCs w:val="24"/>
              </w:rPr>
            </w:pPr>
            <w:r>
              <w:rPr>
                <w:b/>
                <w:bCs/>
                <w:color w:val="auto"/>
                <w:sz w:val="24"/>
                <w:szCs w:val="24"/>
              </w:rPr>
              <w:t>7、项目与广东省</w:t>
            </w:r>
            <w:r>
              <w:rPr>
                <w:rFonts w:hint="eastAsia"/>
                <w:b/>
                <w:bCs/>
                <w:color w:val="auto"/>
                <w:sz w:val="24"/>
                <w:szCs w:val="24"/>
                <w:lang w:val="en-US" w:eastAsia="zh-CN"/>
              </w:rPr>
              <w:t>生态环境分区管控</w:t>
            </w:r>
            <w:r>
              <w:rPr>
                <w:b/>
                <w:bCs/>
                <w:color w:val="auto"/>
                <w:sz w:val="24"/>
                <w:szCs w:val="24"/>
              </w:rPr>
              <w:t>相符性分析</w:t>
            </w:r>
          </w:p>
          <w:p w14:paraId="002ACA98">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根据《广东省“三线一单”生态环境分区管控方案》、《广东省2023年度生态环境分区管控动态更新成果公告》，项目属于“乐昌经济开发区重点管控单元”内，单元编码ZH44028120003，（见附图7）</w:t>
            </w:r>
          </w:p>
          <w:p w14:paraId="04AAD6DB">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根据广东省人民政府发布的《关于印发&lt;广东省“三线一单”生态环境分区管控方案&gt;的通知》（粤府〔2020〕71 号），从区域布局管控、能源资源利用、污染物排放管控和环境风险防控等方面明确准入要求，建立“1+3+N”三级生态环境准入清单体系。“1”为全省总体管控要求，“3”为“一核一带一区”区域管控要求，“N”为 1912 个陆域环境管控单元和 471 个海域环境管控单元的管控要求。项目与</w:t>
            </w:r>
            <w:r>
              <w:rPr>
                <w:rFonts w:hint="eastAsia"/>
                <w:color w:val="auto"/>
                <w:sz w:val="24"/>
                <w:szCs w:val="24"/>
                <w:lang w:val="en-US" w:eastAsia="zh-CN"/>
              </w:rPr>
              <w:t>广东省生态环境分区管控</w:t>
            </w:r>
            <w:r>
              <w:rPr>
                <w:color w:val="auto"/>
                <w:sz w:val="24"/>
                <w:szCs w:val="24"/>
              </w:rPr>
              <w:t xml:space="preserve">的相符性分析如下： </w:t>
            </w:r>
          </w:p>
          <w:p w14:paraId="2901346D">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（1）与”一核一带一区”区域管控要求的相符性分析</w:t>
            </w:r>
          </w:p>
          <w:p w14:paraId="2E450989">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本项目所在区域为“一核一带一区”中的“一区”即“北部生态发展区”。坚持生态优先，强化生态系统保护与修复，筑牢北部生态屏障，区域管控要求如下： </w:t>
            </w:r>
          </w:p>
          <w:p w14:paraId="298B8874">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区域布局管控要求。大力强化生态保护和建设，严格控制开发强度。重点加强南岭山地保护，推进广东南岭国家公园建设，保护生态系统完整性与生物多样性，构建和巩固北部生态屏障。引导工业项目科学布局，新建项目原则上入园管理，推动现有工业项目集中进园。推动绿色钢铁、有色金属、建筑材料等先进材料产业集群向规模化、绿色化、高端化转型发展，打造特色优势产业集群，积极推动中高时延大数据中心项目布局落地。科学布局现代农业产业平台，打造现代农业与食品产业集群。严格控制涉重金属及有毒有害污染物排放的项目建设，新建、改建、扩建涉重金属重点行业的项目应明确重金属污染物总量来源。逐步扩大高污染燃料禁燃区范围。</w:t>
            </w:r>
          </w:p>
          <w:p w14:paraId="68FE8465">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能源资源利用要求。进一步优化调整能源结构，鼓励使用天然气及可再生能源。县级及以上城市建成区，禁止新建每小时35蒸吨以下燃煤锅炉。原则上不再新建小水电以及除国家和省规划外的风电项目，对不符合生态环境要求的小水电进行清理整改。严格落实东江、北江、韩江流域等重要控制断面生态流量保障目标。推动矿产资源开发合理布局和节约集约利用，提高矿产资源开发项目准入门槛，严格执行开采总量指标管控，加快淘汰落后采选工艺，提高资源产出率。 </w:t>
            </w:r>
          </w:p>
          <w:p w14:paraId="072A0C5F">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污染物排放管控要求。在可核查、可监管的基础上，新建项目原则上实施氮氧化物和挥发性有机物等量替代。北江流域严格实行重点重金属污染物减量替代。加快镇级生活污水处理设施及配套管网建设，因地制宜建设农村生活污水处理设施。加强养殖污染防治，推动养殖尾水达标排放或资源化利用。加快推进钢铁、陶瓷、水泥等重点行业提标改造（或“煤改气”改造）。加快矿山改造升级，逐步达到绿色矿山建设要求，凡口铅锌矿及其周边、大宝山矿及其周边等区域严格执行部分重金属水污染物特别排放限值的相关规定。 </w:t>
            </w:r>
          </w:p>
          <w:p w14:paraId="73294311">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环境风险防控要求。强化流域上游生态保护与水源涵养功能，建立完善突发环境事件应急管理体系，保障饮用水安全。加快落实受污染农用地的安全利用与严格管控措施，防范农产品重金属含量超标风险。加强尾矿库的环境风险排查与防范。加强金属矿采选、金属冶炼企业的重金属污染风险防控。强化选矿废水治理设施的升级改造，选矿废水原则上回用不外排。 </w:t>
            </w:r>
          </w:p>
          <w:p w14:paraId="10FEE9FA">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本项目位于</w:t>
            </w:r>
            <w:r>
              <w:rPr>
                <w:color w:val="auto"/>
                <w:sz w:val="24"/>
                <w:szCs w:val="24"/>
                <w:lang w:bidi="ar"/>
              </w:rPr>
              <w:t>乐昌产业转移工业园内</w:t>
            </w:r>
            <w:r>
              <w:rPr>
                <w:color w:val="auto"/>
                <w:sz w:val="24"/>
                <w:szCs w:val="24"/>
              </w:rPr>
              <w:t xml:space="preserve">，符合区域布局管控要求，项目不涉及重金属及有毒有害污染物排放；项目生产设备使用能源均为电能，符合能源资源利用要求；本项目挥发性有机物总量来源实行等量替代，废水不排放一类重金属污染物，符合污染物排放管控要求；本项目将采取一系列风险防范措施，制定并落实企业突发环境事件应急预案，建立体系完备的风险管控体系，符合环境风险防控要求。 </w:t>
            </w:r>
          </w:p>
          <w:p w14:paraId="1E62C69B">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（2）项目环境管控单元总体管控要求的相符性 </w:t>
            </w:r>
          </w:p>
          <w:p w14:paraId="4E69F748">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环境管控单元分为优先保护、重点管控和一般管控单元三类。全省共划定陆域环境管控单元1912个，其中，优先保护单元727个，主要涵盖生态保护红线、一般生态空间、饮用水水源保护区、环境空气质量一类功能区等区域；重点管控单元684个，主要包括工业集聚、人口集中和环境质量超标区域；一般管控单元501个，为优先保护单元、重点管控单元以外的区域。全省共划定海域环境管控单元471个，其中优先保护单元279个，为海洋生态保护红线；重点管控单元125个，主要为用于拓展工业与城镇发展空间、开发利用港口航运资源、矿产能源资源的海域和现状劣四类海水海域；一般管控单元67个，为优先保护单元、重点管控单元以外的海域。</w:t>
            </w:r>
          </w:p>
          <w:p w14:paraId="5240703A">
            <w:pPr>
              <w:widowControl/>
              <w:autoSpaceDE w:val="0"/>
              <w:autoSpaceDN w:val="0"/>
              <w:adjustRightInd w:val="0"/>
              <w:snapToGrid w:val="0"/>
              <w:spacing w:line="360" w:lineRule="auto"/>
              <w:ind w:firstLine="480" w:firstLineChars="200"/>
              <w:jc w:val="left"/>
              <w:rPr>
                <w:color w:val="auto"/>
                <w:sz w:val="24"/>
                <w:szCs w:val="24"/>
              </w:rPr>
            </w:pPr>
            <w:r>
              <w:rPr>
                <w:rFonts w:hint="eastAsia" w:ascii="宋体" w:hAnsi="宋体" w:cs="宋体"/>
                <w:color w:val="auto"/>
                <w:sz w:val="24"/>
                <w:szCs w:val="24"/>
              </w:rPr>
              <w:t>①</w:t>
            </w:r>
            <w:r>
              <w:rPr>
                <w:color w:val="auto"/>
                <w:sz w:val="24"/>
                <w:szCs w:val="24"/>
              </w:rPr>
              <w:t xml:space="preserve">优先保护单元。 </w:t>
            </w:r>
          </w:p>
          <w:p w14:paraId="0D1E5091">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以维护生态系统功能为主，禁止或限制大规模、高强度的工业和城镇建设，严守生态环境底线，确保生态功能不降低。 </w:t>
            </w:r>
          </w:p>
          <w:p w14:paraId="5F0588F1">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生态优先保护区。生态保护红线内，自然保护地核心保护区原则上禁止人为活动，其他区域严格禁止开发性、生产性建设活动，在符合现行法律法规前提下，除国家重大战略项目外，仅允许对生态功能不造成破坏的有限人为活动。一般生态空间内，可开展生态保护红线内允许的活动；在不影响主导生态功能的前提下，还可开展国家和省规定不纳入环评管理的项目建设，以及生态旅游、畜禽养殖、基础设施建设、村庄建设等人为活动。 </w:t>
            </w:r>
          </w:p>
          <w:p w14:paraId="72635D37">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水环境优先保护区。饮用水水源保护区全面加强水源涵养，强化源头控制，禁止新建排污口，严格防范水源污染风险，切实保障饮用水安全，一级保护区内禁止新建、改建、扩建与供水设施和保护水源无关的建设项目；二级保护区内禁止新建、改建、扩建排放污染物的建设项目。饮用水水源准保护区内禁止新建、扩建对水体污染严重的建设项目。 </w:t>
            </w:r>
          </w:p>
          <w:p w14:paraId="68FBF4C0">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——大气环境优先保护区。环境空气质量一类功能区实施严格保护，禁止新建、扩建大气污染物排放工业项目（国家和省规定不纳入环评管理的项目除外）。 </w:t>
            </w:r>
          </w:p>
          <w:p w14:paraId="24E947A3">
            <w:pPr>
              <w:widowControl/>
              <w:autoSpaceDE w:val="0"/>
              <w:autoSpaceDN w:val="0"/>
              <w:adjustRightInd w:val="0"/>
              <w:snapToGrid w:val="0"/>
              <w:spacing w:line="360" w:lineRule="auto"/>
              <w:ind w:firstLine="480" w:firstLineChars="200"/>
              <w:jc w:val="left"/>
              <w:rPr>
                <w:color w:val="auto"/>
                <w:sz w:val="24"/>
                <w:szCs w:val="24"/>
              </w:rPr>
            </w:pPr>
            <w:r>
              <w:rPr>
                <w:rFonts w:hint="eastAsia" w:ascii="宋体" w:hAnsi="宋体" w:cs="宋体"/>
                <w:color w:val="auto"/>
                <w:sz w:val="24"/>
                <w:szCs w:val="24"/>
              </w:rPr>
              <w:t>②</w:t>
            </w:r>
            <w:r>
              <w:rPr>
                <w:color w:val="auto"/>
                <w:sz w:val="24"/>
                <w:szCs w:val="24"/>
              </w:rPr>
              <w:t xml:space="preserve">重点管控单元。 </w:t>
            </w:r>
          </w:p>
          <w:p w14:paraId="246E028C">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以推动产业转型升级、强化污染减排、提升资源利用效率为重点，加快解决资源环境负荷大、局部区域生态环境质量差、生态环境风险高等问题。 </w:t>
            </w:r>
          </w:p>
          <w:p w14:paraId="2B646F88">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省级以上工业园区重点管控单元。依法开展园区规划环评，严格落实规划环评管理要求，开展环境质量跟踪监测，发布环境管理状况公告，制定并实施园区突发环境事件应急预案，定期开展环境安全隐患排查，提升风险防控及应急处置能力。周边1公里范围内涉及生态保护红线、自然保护地、饮用水水源地等生态环境敏感区域的园区，应优化产业布局，控制开发强度，优先引进无污染或轻污染的产业和项目，防止侵占生态空间。纳污水体水质超标的园区，应实施污水深度处理，新建、改建、扩建项目应实行重点污染物排放等量或减量替代。造纸、电镀、印染、鞣革等专业园区或基地应不断提升工艺水平，提高水回用率，逐步削减污染物排放总量；石化园区加快绿色智能升级改造，强化环保投入和管理，构建高效、清洁、低碳、循环的绿色制造体系。 </w:t>
            </w:r>
          </w:p>
          <w:p w14:paraId="47177080">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水环境质量超标类重点管控单元。加强山水林田湖草系统治理，开展江河、湖泊、水库、湿地保护与修复，提升流域生态环境承载力。严格控制耗水量大、污染物排放强度高的行业发展，新建、改建、扩建项目实施重点水污染物减量替代。以城镇生活污染为主的单元，加快推进城镇生活污水有效收集处理，重点完善污水处理设施配套管网建设，加快实施雨污分流改造，推动提升污水处理设施进水水量和浓度，充分发挥污水处理设施治污效能。以农业污染为主的单元，大力推进畜禽养殖生态化转型及水产养殖业绿色发展，实施种植业“肥药双控”，加强畜禽养殖废弃物资源化利用，加快规模化畜禽养殖场粪便污水贮存、处理与利用配套设施建设，强化水产养殖尾水治理。 </w:t>
            </w:r>
          </w:p>
          <w:p w14:paraId="6943ABE6">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大气环境受体敏感类重点管控单元。严格限制新建钢铁、燃煤燃油火电、石化、储油库等项目，产生和排放有毒有害大气污染物项目，以及使用溶剂型油墨、涂料、清洗剂、胶黏剂等高挥发性有机物原辅材料的项目；鼓励现有该类项目逐步搬迁退出。 </w:t>
            </w:r>
          </w:p>
          <w:p w14:paraId="642688BE">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（3）一般管控单元。 </w:t>
            </w:r>
          </w:p>
          <w:p w14:paraId="3558DA55">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 xml:space="preserve">执行区域生态环境保护的基本要求。根据资源环境承载能力，引导产业科学布局，合理控制开发强度，维护生态环境功能稳定。 </w:t>
            </w:r>
          </w:p>
          <w:p w14:paraId="2CBCCBA4">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本项目位于</w:t>
            </w:r>
            <w:r>
              <w:rPr>
                <w:color w:val="auto"/>
                <w:sz w:val="24"/>
                <w:szCs w:val="24"/>
                <w:lang w:bidi="ar"/>
              </w:rPr>
              <w:t>乐昌产业转移工业园</w:t>
            </w:r>
            <w:r>
              <w:rPr>
                <w:color w:val="auto"/>
                <w:sz w:val="24"/>
                <w:szCs w:val="24"/>
              </w:rPr>
              <w:t xml:space="preserve">，属于“重点管控单元”，项目所在产业园区已经开展园区规划环评，并严格落实规划环评管控要求，指定并实施园区突发环境事件应急预案；园区周边1公里范围内不涉及生态保护红线、自然保护地、饮用水水源地等生态环境敏感区域。项目所在工业园区内建设配备污水处理厂，项目产生的污水预处理达标后，可进入园区污水处理厂进行处理，本项目所在区域属于地表水环境质量达标区，因此符合环境管控单位的总体管控要求。 </w:t>
            </w:r>
          </w:p>
          <w:p w14:paraId="61DD2778">
            <w:pPr>
              <w:widowControl/>
              <w:autoSpaceDE w:val="0"/>
              <w:autoSpaceDN w:val="0"/>
              <w:adjustRightInd w:val="0"/>
              <w:snapToGrid w:val="0"/>
              <w:spacing w:line="360" w:lineRule="auto"/>
              <w:ind w:firstLine="480" w:firstLineChars="200"/>
              <w:jc w:val="left"/>
              <w:rPr>
                <w:color w:val="auto"/>
                <w:sz w:val="24"/>
                <w:szCs w:val="24"/>
              </w:rPr>
            </w:pPr>
            <w:r>
              <w:rPr>
                <w:color w:val="auto"/>
                <w:sz w:val="24"/>
                <w:szCs w:val="24"/>
              </w:rPr>
              <w:t>综上</w:t>
            </w:r>
            <w:r>
              <w:rPr>
                <w:rFonts w:hint="eastAsia"/>
                <w:color w:val="auto"/>
                <w:sz w:val="24"/>
                <w:szCs w:val="24"/>
                <w:lang w:val="en-US" w:eastAsia="zh-CN"/>
              </w:rPr>
              <w:t>所</w:t>
            </w:r>
            <w:r>
              <w:rPr>
                <w:color w:val="auto"/>
                <w:sz w:val="24"/>
                <w:szCs w:val="24"/>
              </w:rPr>
              <w:t>述，本项目符合</w:t>
            </w:r>
            <w:r>
              <w:rPr>
                <w:rFonts w:hint="eastAsia"/>
                <w:color w:val="auto"/>
                <w:sz w:val="24"/>
                <w:szCs w:val="24"/>
                <w:lang w:val="en-US" w:eastAsia="zh-CN"/>
              </w:rPr>
              <w:t>广东省生态环境分区管控的</w:t>
            </w:r>
            <w:r>
              <w:rPr>
                <w:color w:val="auto"/>
                <w:sz w:val="24"/>
                <w:szCs w:val="24"/>
              </w:rPr>
              <w:t>各项管控要求。</w:t>
            </w:r>
          </w:p>
          <w:p w14:paraId="7C401F13">
            <w:pPr>
              <w:pStyle w:val="35"/>
              <w:spacing w:line="360" w:lineRule="auto"/>
              <w:ind w:firstLine="482" w:firstLineChars="200"/>
              <w:rPr>
                <w:b/>
                <w:bCs/>
                <w:color w:val="auto"/>
                <w:sz w:val="24"/>
                <w:szCs w:val="24"/>
              </w:rPr>
            </w:pPr>
            <w:r>
              <w:rPr>
                <w:b/>
                <w:bCs/>
                <w:color w:val="auto"/>
                <w:sz w:val="24"/>
                <w:szCs w:val="24"/>
              </w:rPr>
              <w:t>4、与《韶关市“三线一单”生态环境分区管控方案》（韶府〔2021〕10号）及《韶关市人民政府关于印发韶关市生态环境分区管控动态更新成果的通知》（韶环[2024]103号）相符性分析</w:t>
            </w:r>
          </w:p>
          <w:p w14:paraId="42F51F1A">
            <w:pPr>
              <w:pStyle w:val="35"/>
              <w:spacing w:line="360" w:lineRule="auto"/>
              <w:ind w:firstLineChars="200"/>
              <w:rPr>
                <w:color w:val="auto"/>
              </w:rPr>
            </w:pPr>
            <w:r>
              <w:rPr>
                <w:color w:val="auto"/>
                <w:kern w:val="0"/>
                <w:sz w:val="24"/>
                <w:szCs w:val="24"/>
                <w:lang w:bidi="ar"/>
              </w:rPr>
              <w:t>根据《韶关市人民政府关于印发韶关市“三线一单”生态环境分区管控方案的通知》（韶府[2021]10号）、《韶关市人民政府关于印发韶关市生态环境分区管控动态更新成果的通知》（韶环[2024]103号），本项目位于韶关</w:t>
            </w:r>
            <w:r>
              <w:rPr>
                <w:rFonts w:hint="eastAsia"/>
                <w:color w:val="auto"/>
                <w:kern w:val="0"/>
                <w:sz w:val="24"/>
                <w:szCs w:val="24"/>
                <w:lang w:val="en-US" w:eastAsia="zh-CN" w:bidi="ar"/>
              </w:rPr>
              <w:t>乐昌市</w:t>
            </w:r>
            <w:r>
              <w:rPr>
                <w:color w:val="auto"/>
                <w:sz w:val="24"/>
                <w:szCs w:val="24"/>
                <w:lang w:val="zh-CN"/>
              </w:rPr>
              <w:t>乐昌产业转移工业园乐园大道23号6号厂房栋4层</w:t>
            </w:r>
            <w:r>
              <w:rPr>
                <w:color w:val="auto"/>
                <w:kern w:val="0"/>
                <w:sz w:val="24"/>
                <w:szCs w:val="24"/>
                <w:lang w:bidi="ar"/>
              </w:rPr>
              <w:t>，属于“</w:t>
            </w:r>
            <w:r>
              <w:rPr>
                <w:color w:val="auto"/>
                <w:sz w:val="24"/>
                <w:szCs w:val="24"/>
              </w:rPr>
              <w:t>乐昌经济开发区重点管控单元”内，单元编码ZH44028120003</w:t>
            </w:r>
            <w:r>
              <w:rPr>
                <w:color w:val="auto"/>
                <w:kern w:val="0"/>
                <w:sz w:val="24"/>
                <w:szCs w:val="24"/>
                <w:lang w:bidi="ar"/>
              </w:rPr>
              <w:t>，</w:t>
            </w:r>
            <w:r>
              <w:rPr>
                <w:color w:val="auto"/>
                <w:sz w:val="24"/>
                <w:szCs w:val="24"/>
              </w:rPr>
              <w:t>（见附图6）。本项目与韶关市生态环境分区管控相符性分析如下：</w:t>
            </w:r>
          </w:p>
        </w:tc>
      </w:tr>
    </w:tbl>
    <w:p w14:paraId="182FF893">
      <w:pPr>
        <w:adjustRightInd w:val="0"/>
        <w:snapToGrid w:val="0"/>
        <w:spacing w:line="360" w:lineRule="auto"/>
        <w:rPr>
          <w:rFonts w:eastAsia="黑体"/>
          <w:color w:val="auto"/>
          <w:sz w:val="30"/>
        </w:rPr>
        <w:sectPr>
          <w:footerReference r:id="rId6" w:type="default"/>
          <w:pgSz w:w="11906" w:h="16838"/>
          <w:pgMar w:top="1701" w:right="1531" w:bottom="1701" w:left="1531" w:header="1417" w:footer="1361" w:gutter="0"/>
          <w:pgNumType w:start="1"/>
          <w:cols w:space="720" w:num="1"/>
          <w:docGrid w:linePitch="312" w:charSpace="0"/>
        </w:sectPr>
      </w:pPr>
    </w:p>
    <w:tbl>
      <w:tblPr>
        <w:tblStyle w:val="38"/>
        <w:tblW w:w="13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
        <w:gridCol w:w="13183"/>
      </w:tblGrid>
      <w:tr w14:paraId="562B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5" w:hRule="atLeast"/>
        </w:trPr>
        <w:tc>
          <w:tcPr>
            <w:tcW w:w="469" w:type="dxa"/>
            <w:vAlign w:val="center"/>
          </w:tcPr>
          <w:p w14:paraId="035FD222">
            <w:pPr>
              <w:pStyle w:val="46"/>
              <w:jc w:val="center"/>
              <w:rPr>
                <w:rFonts w:hint="default" w:ascii="Times New Roman" w:hAnsi="Times New Roman"/>
                <w:color w:val="auto"/>
              </w:rPr>
            </w:pPr>
            <w:r>
              <w:rPr>
                <w:rFonts w:hint="default" w:ascii="Times New Roman" w:hAnsi="Times New Roman"/>
                <w:color w:val="auto"/>
                <w:sz w:val="21"/>
                <w:szCs w:val="21"/>
              </w:rPr>
              <w:t>其他符合性分析</w:t>
            </w:r>
          </w:p>
        </w:tc>
        <w:tc>
          <w:tcPr>
            <w:tcW w:w="13183" w:type="dxa"/>
          </w:tcPr>
          <w:p w14:paraId="0E0D14B5">
            <w:pPr>
              <w:keepNext/>
              <w:widowControl/>
              <w:spacing w:line="360" w:lineRule="auto"/>
              <w:jc w:val="center"/>
              <w:rPr>
                <w:b/>
                <w:bCs/>
                <w:color w:val="auto"/>
                <w:sz w:val="24"/>
                <w:szCs w:val="24"/>
              </w:rPr>
            </w:pPr>
            <w:r>
              <w:rPr>
                <w:b/>
                <w:color w:val="auto"/>
                <w:sz w:val="24"/>
                <w:szCs w:val="24"/>
              </w:rPr>
              <w:t>表</w:t>
            </w:r>
            <w:r>
              <w:rPr>
                <w:b/>
                <w:color w:val="auto"/>
                <w:sz w:val="24"/>
                <w:szCs w:val="24"/>
              </w:rPr>
              <w:fldChar w:fldCharType="begin"/>
            </w:r>
            <w:r>
              <w:rPr>
                <w:b/>
                <w:color w:val="auto"/>
                <w:sz w:val="24"/>
                <w:szCs w:val="24"/>
              </w:rPr>
              <w:instrText xml:space="preserve"> SEQ 表 \* ARABIC </w:instrText>
            </w:r>
            <w:r>
              <w:rPr>
                <w:b/>
                <w:color w:val="auto"/>
                <w:sz w:val="24"/>
                <w:szCs w:val="24"/>
              </w:rPr>
              <w:fldChar w:fldCharType="separate"/>
            </w:r>
            <w:r>
              <w:rPr>
                <w:b/>
                <w:color w:val="auto"/>
                <w:sz w:val="24"/>
                <w:szCs w:val="24"/>
              </w:rPr>
              <w:t>3</w:t>
            </w:r>
            <w:r>
              <w:rPr>
                <w:b/>
                <w:color w:val="auto"/>
                <w:sz w:val="24"/>
                <w:szCs w:val="24"/>
              </w:rPr>
              <w:fldChar w:fldCharType="end"/>
            </w:r>
            <w:r>
              <w:rPr>
                <w:b/>
                <w:color w:val="auto"/>
                <w:sz w:val="24"/>
                <w:szCs w:val="24"/>
              </w:rPr>
              <w:t xml:space="preserve">  </w:t>
            </w:r>
            <w:r>
              <w:rPr>
                <w:b/>
                <w:bCs/>
                <w:color w:val="auto"/>
                <w:sz w:val="24"/>
                <w:szCs w:val="24"/>
              </w:rPr>
              <w:t>项目与</w:t>
            </w:r>
            <w:r>
              <w:rPr>
                <w:rFonts w:hint="eastAsia"/>
                <w:b/>
                <w:bCs/>
                <w:color w:val="auto"/>
                <w:sz w:val="24"/>
                <w:szCs w:val="24"/>
                <w:lang w:val="en-US" w:eastAsia="zh-CN"/>
              </w:rPr>
              <w:t>韶关市生态环境分区管控</w:t>
            </w:r>
            <w:r>
              <w:rPr>
                <w:b/>
                <w:bCs/>
                <w:color w:val="auto"/>
                <w:sz w:val="24"/>
                <w:szCs w:val="24"/>
              </w:rPr>
              <w:t>相符性分析</w:t>
            </w:r>
          </w:p>
          <w:tbl>
            <w:tblPr>
              <w:tblStyle w:val="37"/>
              <w:tblW w:w="1294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2"/>
              <w:gridCol w:w="375"/>
              <w:gridCol w:w="8625"/>
              <w:gridCol w:w="2832"/>
              <w:gridCol w:w="643"/>
            </w:tblGrid>
            <w:tr w14:paraId="679DCE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847" w:type="dxa"/>
                  <w:gridSpan w:val="2"/>
                  <w:tcBorders>
                    <w:top w:val="single" w:color="auto" w:sz="8" w:space="0"/>
                    <w:bottom w:val="single" w:color="auto" w:sz="4" w:space="0"/>
                  </w:tcBorders>
                  <w:vAlign w:val="center"/>
                </w:tcPr>
                <w:p w14:paraId="26E019A1">
                  <w:pPr>
                    <w:adjustRightInd w:val="0"/>
                    <w:snapToGrid w:val="0"/>
                    <w:jc w:val="center"/>
                    <w:rPr>
                      <w:b/>
                      <w:bCs/>
                      <w:color w:val="auto"/>
                      <w:szCs w:val="21"/>
                    </w:rPr>
                  </w:pPr>
                  <w:r>
                    <w:rPr>
                      <w:b/>
                      <w:bCs/>
                      <w:color w:val="auto"/>
                      <w:szCs w:val="21"/>
                    </w:rPr>
                    <w:t>内容</w:t>
                  </w:r>
                </w:p>
              </w:tc>
              <w:tc>
                <w:tcPr>
                  <w:tcW w:w="8625" w:type="dxa"/>
                  <w:tcBorders>
                    <w:top w:val="single" w:color="auto" w:sz="8" w:space="0"/>
                    <w:bottom w:val="single" w:color="auto" w:sz="4" w:space="0"/>
                  </w:tcBorders>
                  <w:vAlign w:val="center"/>
                </w:tcPr>
                <w:p w14:paraId="7E43FFF7">
                  <w:pPr>
                    <w:adjustRightInd w:val="0"/>
                    <w:snapToGrid w:val="0"/>
                    <w:jc w:val="center"/>
                    <w:rPr>
                      <w:b/>
                      <w:bCs/>
                      <w:color w:val="auto"/>
                      <w:szCs w:val="21"/>
                    </w:rPr>
                  </w:pPr>
                  <w:r>
                    <w:rPr>
                      <w:b/>
                      <w:bCs/>
                      <w:color w:val="auto"/>
                      <w:szCs w:val="21"/>
                    </w:rPr>
                    <w:t>要求</w:t>
                  </w:r>
                </w:p>
              </w:tc>
              <w:tc>
                <w:tcPr>
                  <w:tcW w:w="2832" w:type="dxa"/>
                  <w:tcBorders>
                    <w:top w:val="single" w:color="auto" w:sz="8" w:space="0"/>
                    <w:bottom w:val="single" w:color="auto" w:sz="4" w:space="0"/>
                  </w:tcBorders>
                  <w:vAlign w:val="center"/>
                </w:tcPr>
                <w:p w14:paraId="11BF95B4">
                  <w:pPr>
                    <w:adjustRightInd w:val="0"/>
                    <w:snapToGrid w:val="0"/>
                    <w:jc w:val="center"/>
                    <w:rPr>
                      <w:b/>
                      <w:bCs/>
                      <w:color w:val="auto"/>
                      <w:szCs w:val="21"/>
                    </w:rPr>
                  </w:pPr>
                  <w:r>
                    <w:rPr>
                      <w:b/>
                      <w:bCs/>
                      <w:color w:val="auto"/>
                      <w:szCs w:val="21"/>
                    </w:rPr>
                    <w:t>相符性分析</w:t>
                  </w:r>
                </w:p>
              </w:tc>
              <w:tc>
                <w:tcPr>
                  <w:tcW w:w="643" w:type="dxa"/>
                  <w:tcBorders>
                    <w:top w:val="single" w:color="auto" w:sz="8" w:space="0"/>
                    <w:bottom w:val="single" w:color="auto" w:sz="4" w:space="0"/>
                  </w:tcBorders>
                  <w:vAlign w:val="center"/>
                </w:tcPr>
                <w:p w14:paraId="7DDECE50">
                  <w:pPr>
                    <w:adjustRightInd w:val="0"/>
                    <w:snapToGrid w:val="0"/>
                    <w:jc w:val="center"/>
                    <w:rPr>
                      <w:b/>
                      <w:bCs/>
                      <w:color w:val="auto"/>
                      <w:szCs w:val="21"/>
                    </w:rPr>
                  </w:pPr>
                  <w:r>
                    <w:rPr>
                      <w:b/>
                      <w:bCs/>
                      <w:color w:val="auto"/>
                      <w:szCs w:val="21"/>
                    </w:rPr>
                    <w:t>结论</w:t>
                  </w:r>
                </w:p>
              </w:tc>
            </w:tr>
            <w:tr w14:paraId="2E1CA0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72" w:type="dxa"/>
                  <w:vMerge w:val="restart"/>
                  <w:tcBorders>
                    <w:top w:val="single" w:color="auto" w:sz="4" w:space="0"/>
                  </w:tcBorders>
                  <w:vAlign w:val="center"/>
                </w:tcPr>
                <w:p w14:paraId="2C099186">
                  <w:pPr>
                    <w:adjustRightInd w:val="0"/>
                    <w:snapToGrid w:val="0"/>
                    <w:jc w:val="center"/>
                    <w:rPr>
                      <w:color w:val="auto"/>
                      <w:szCs w:val="21"/>
                    </w:rPr>
                  </w:pPr>
                  <w:r>
                    <w:rPr>
                      <w:color w:val="auto"/>
                      <w:szCs w:val="21"/>
                    </w:rPr>
                    <w:t>全市总体管控</w:t>
                  </w:r>
                </w:p>
              </w:tc>
              <w:tc>
                <w:tcPr>
                  <w:tcW w:w="375" w:type="dxa"/>
                  <w:tcBorders>
                    <w:top w:val="single" w:color="auto" w:sz="4" w:space="0"/>
                  </w:tcBorders>
                  <w:vAlign w:val="center"/>
                </w:tcPr>
                <w:p w14:paraId="06209228">
                  <w:pPr>
                    <w:jc w:val="center"/>
                    <w:rPr>
                      <w:color w:val="auto"/>
                      <w:szCs w:val="21"/>
                    </w:rPr>
                  </w:pPr>
                  <w:r>
                    <w:rPr>
                      <w:bCs/>
                      <w:color w:val="auto"/>
                    </w:rPr>
                    <w:t>区域布局管控</w:t>
                  </w:r>
                </w:p>
              </w:tc>
              <w:tc>
                <w:tcPr>
                  <w:tcW w:w="8625" w:type="dxa"/>
                  <w:tcBorders>
                    <w:top w:val="single" w:color="auto" w:sz="4" w:space="0"/>
                  </w:tcBorders>
                  <w:vAlign w:val="center"/>
                </w:tcPr>
                <w:p w14:paraId="2A93BF28">
                  <w:pPr>
                    <w:adjustRightInd w:val="0"/>
                    <w:snapToGrid w:val="0"/>
                    <w:ind w:firstLine="420" w:firstLineChars="200"/>
                    <w:jc w:val="left"/>
                    <w:rPr>
                      <w:color w:val="auto"/>
                      <w:szCs w:val="21"/>
                    </w:rPr>
                  </w:pPr>
                  <w:r>
                    <w:rPr>
                      <w:color w:val="auto"/>
                      <w:szCs w:val="21"/>
                    </w:rPr>
                    <w:t>严格控制涉重金属和高污染高能耗项目建设。新建、技改石化、化工、焦化、有色金属冶炼、平板玻璃项目应布设在依法合规设立并经规划环评的产业园区。严格控制水污染严重地区和水源保护敏感区域高耗水、高污染行业发展。环境空气质量一类功能区实施严格保护，禁止新建、技改排放大气污染物的工业项目（国家和省规定不纳入环评管理的项目除外）。逐步扩大高污染燃料禁燃区范围。</w:t>
                  </w:r>
                </w:p>
              </w:tc>
              <w:tc>
                <w:tcPr>
                  <w:tcW w:w="2832" w:type="dxa"/>
                  <w:tcBorders>
                    <w:top w:val="single" w:color="auto" w:sz="4" w:space="0"/>
                  </w:tcBorders>
                  <w:vAlign w:val="center"/>
                </w:tcPr>
                <w:p w14:paraId="011924F9">
                  <w:pPr>
                    <w:adjustRightInd w:val="0"/>
                    <w:snapToGrid w:val="0"/>
                    <w:ind w:firstLine="420" w:firstLineChars="200"/>
                    <w:jc w:val="left"/>
                    <w:rPr>
                      <w:color w:val="auto"/>
                      <w:szCs w:val="21"/>
                    </w:rPr>
                  </w:pPr>
                  <w:r>
                    <w:rPr>
                      <w:color w:val="auto"/>
                      <w:szCs w:val="21"/>
                    </w:rPr>
                    <w:t>本项目主要</w:t>
                  </w:r>
                  <w:r>
                    <w:rPr>
                      <w:color w:val="auto"/>
                      <w:lang w:bidi="ar"/>
                    </w:rPr>
                    <w:t>从事蚊香、电蚊液生产制造</w:t>
                  </w:r>
                  <w:r>
                    <w:rPr>
                      <w:color w:val="auto"/>
                      <w:szCs w:val="21"/>
                    </w:rPr>
                    <w:t>，不涉及重金属和高污染高耗能项目建设，本项目属于化工项目，项目所在地位于</w:t>
                  </w:r>
                  <w:r>
                    <w:rPr>
                      <w:color w:val="auto"/>
                      <w:szCs w:val="21"/>
                      <w:lang w:bidi="ar"/>
                    </w:rPr>
                    <w:t>乐昌产业转移工业园</w:t>
                  </w:r>
                  <w:r>
                    <w:rPr>
                      <w:color w:val="auto"/>
                      <w:szCs w:val="21"/>
                    </w:rPr>
                    <w:t>，园区依法合规设立，并已开展园区规划环评。本项目所在区域不属于水污染严重地区和水源保护敏感区域，不属于高耗水、高污染行业，本项目使用电能，不使用高污染燃料。项目符合区域管控要求。</w:t>
                  </w:r>
                </w:p>
              </w:tc>
              <w:tc>
                <w:tcPr>
                  <w:tcW w:w="643" w:type="dxa"/>
                  <w:tcBorders>
                    <w:top w:val="single" w:color="auto" w:sz="4" w:space="0"/>
                  </w:tcBorders>
                  <w:vAlign w:val="center"/>
                </w:tcPr>
                <w:p w14:paraId="3CAC03DA">
                  <w:pPr>
                    <w:adjustRightInd w:val="0"/>
                    <w:snapToGrid w:val="0"/>
                    <w:jc w:val="center"/>
                    <w:rPr>
                      <w:color w:val="auto"/>
                      <w:szCs w:val="21"/>
                    </w:rPr>
                  </w:pPr>
                  <w:r>
                    <w:rPr>
                      <w:color w:val="auto"/>
                      <w:szCs w:val="21"/>
                    </w:rPr>
                    <w:t>相符</w:t>
                  </w:r>
                </w:p>
              </w:tc>
            </w:tr>
            <w:tr w14:paraId="002816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72" w:type="dxa"/>
                  <w:vMerge w:val="continue"/>
                  <w:vAlign w:val="center"/>
                </w:tcPr>
                <w:p w14:paraId="1B38FB4C">
                  <w:pPr>
                    <w:adjustRightInd w:val="0"/>
                    <w:snapToGrid w:val="0"/>
                    <w:jc w:val="center"/>
                    <w:rPr>
                      <w:color w:val="auto"/>
                      <w:szCs w:val="21"/>
                    </w:rPr>
                  </w:pPr>
                </w:p>
              </w:tc>
              <w:tc>
                <w:tcPr>
                  <w:tcW w:w="375" w:type="dxa"/>
                  <w:vAlign w:val="center"/>
                </w:tcPr>
                <w:p w14:paraId="740D4123">
                  <w:pPr>
                    <w:jc w:val="center"/>
                    <w:rPr>
                      <w:color w:val="auto"/>
                      <w:szCs w:val="21"/>
                    </w:rPr>
                  </w:pPr>
                  <w:r>
                    <w:rPr>
                      <w:bCs/>
                      <w:color w:val="auto"/>
                    </w:rPr>
                    <w:t>能源资源利用</w:t>
                  </w:r>
                </w:p>
              </w:tc>
              <w:tc>
                <w:tcPr>
                  <w:tcW w:w="8625" w:type="dxa"/>
                  <w:vAlign w:val="center"/>
                </w:tcPr>
                <w:p w14:paraId="3B88D433">
                  <w:pPr>
                    <w:pStyle w:val="46"/>
                    <w:ind w:firstLine="420" w:firstLineChars="200"/>
                    <w:jc w:val="left"/>
                    <w:rPr>
                      <w:rFonts w:hint="default" w:ascii="Times New Roman" w:hAnsi="Times New Roman"/>
                      <w:color w:val="auto"/>
                      <w:kern w:val="2"/>
                      <w:sz w:val="21"/>
                      <w:szCs w:val="21"/>
                    </w:rPr>
                  </w:pPr>
                  <w:r>
                    <w:rPr>
                      <w:rFonts w:hint="default" w:ascii="Times New Roman" w:hAnsi="Times New Roman"/>
                      <w:color w:val="auto"/>
                      <w:kern w:val="2"/>
                      <w:sz w:val="21"/>
                      <w:szCs w:val="21"/>
                    </w:rPr>
                    <w:t>积极落实国家、省制定的碳达峰碳中和目标任务，制定并落实碳达峰与碳减排工作计划、行动方案，综合运用相关政策工具和手段措施，持续推动实施。进一步优化调整能源结构，发展以光伏全产业链为龙头的风光氢等多元化可再生清洁能源产业，提高可再生能源发电装机占比，推动电力源网荷储一体化和多能互补。实行能源消费强度与消费总量“双控”制度。抓好电力、建材、冶炼等重点耗能行业的节能降耗工作，推动单位GDP能源消耗、单位GDP二氧化碳排放持续下降。鼓励使用天然气及可再生能源，县级及以上城市建成区，禁止新建每小时35蒸吨以下燃煤锅炉。</w:t>
                  </w:r>
                </w:p>
                <w:p w14:paraId="0B41855E">
                  <w:pPr>
                    <w:pStyle w:val="46"/>
                    <w:ind w:firstLine="420" w:firstLineChars="200"/>
                    <w:jc w:val="left"/>
                    <w:rPr>
                      <w:rFonts w:hint="default" w:ascii="Times New Roman" w:hAnsi="Times New Roman"/>
                      <w:color w:val="auto"/>
                      <w:kern w:val="2"/>
                      <w:sz w:val="21"/>
                      <w:szCs w:val="21"/>
                    </w:rPr>
                  </w:pPr>
                  <w:r>
                    <w:rPr>
                      <w:rFonts w:hint="default" w:ascii="Times New Roman" w:hAnsi="Times New Roman"/>
                      <w:color w:val="auto"/>
                      <w:kern w:val="2"/>
                      <w:sz w:val="21"/>
                      <w:szCs w:val="21"/>
                    </w:rPr>
                    <w:t>原则上不再新建小水电以及除国家和省规划外的风电项目，对不符合生态环境要求的小水电进行清理整改。严格落实东江、北江流域等重要控制断面生态流量保障目标。加强城市节水，提高水资源的利用效率和效益。</w:t>
                  </w:r>
                </w:p>
                <w:p w14:paraId="6BA61CA5">
                  <w:pPr>
                    <w:pStyle w:val="46"/>
                    <w:ind w:firstLine="420" w:firstLineChars="200"/>
                    <w:jc w:val="left"/>
                    <w:rPr>
                      <w:rFonts w:hint="default" w:ascii="Times New Roman" w:hAnsi="Times New Roman"/>
                      <w:color w:val="auto"/>
                      <w:sz w:val="21"/>
                      <w:szCs w:val="21"/>
                    </w:rPr>
                  </w:pPr>
                  <w:r>
                    <w:rPr>
                      <w:rFonts w:hint="default" w:ascii="Times New Roman" w:hAnsi="Times New Roman"/>
                      <w:color w:val="auto"/>
                      <w:kern w:val="2"/>
                      <w:sz w:val="21"/>
                      <w:szCs w:val="21"/>
                    </w:rPr>
                    <w:t>严格矿产资源开发准入管理，从严控制矿产资源开发总量和综合利用标准。加强矿产资源规划管理，提高矿产资源开发利用效率，推动矿产资源开发合理布局和节约集约利用。推进大宝山、凡口矿等矿山企业转型升级，打造国家级绿色矿山。全市矿山企业在2025年前全部达到绿色矿山标准。</w:t>
                  </w:r>
                </w:p>
              </w:tc>
              <w:tc>
                <w:tcPr>
                  <w:tcW w:w="2832" w:type="dxa"/>
                  <w:vAlign w:val="center"/>
                </w:tcPr>
                <w:p w14:paraId="5EA5DA4E">
                  <w:pPr>
                    <w:adjustRightInd w:val="0"/>
                    <w:snapToGrid w:val="0"/>
                    <w:ind w:firstLine="420" w:firstLineChars="200"/>
                    <w:jc w:val="left"/>
                    <w:rPr>
                      <w:color w:val="auto"/>
                      <w:szCs w:val="21"/>
                    </w:rPr>
                  </w:pPr>
                  <w:r>
                    <w:rPr>
                      <w:color w:val="auto"/>
                      <w:szCs w:val="21"/>
                    </w:rPr>
                    <w:t>本项目不涉及燃煤锅炉，运营过程中仅消耗一定水资源；能源主要依托园区电网供电，项目建设用地不涉及基本农田，土地资源消耗符合要求。因此，项目符合能源资源利用要求。</w:t>
                  </w:r>
                </w:p>
              </w:tc>
              <w:tc>
                <w:tcPr>
                  <w:tcW w:w="643" w:type="dxa"/>
                  <w:vAlign w:val="center"/>
                </w:tcPr>
                <w:p w14:paraId="1BB4BFA0">
                  <w:pPr>
                    <w:adjustRightInd w:val="0"/>
                    <w:snapToGrid w:val="0"/>
                    <w:jc w:val="center"/>
                    <w:rPr>
                      <w:color w:val="auto"/>
                      <w:szCs w:val="21"/>
                    </w:rPr>
                  </w:pPr>
                  <w:r>
                    <w:rPr>
                      <w:color w:val="auto"/>
                      <w:szCs w:val="21"/>
                    </w:rPr>
                    <w:t>相符</w:t>
                  </w:r>
                </w:p>
              </w:tc>
            </w:tr>
            <w:tr w14:paraId="5FAA5A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72" w:type="dxa"/>
                  <w:vMerge w:val="continue"/>
                  <w:vAlign w:val="center"/>
                </w:tcPr>
                <w:p w14:paraId="1CE38C2E">
                  <w:pPr>
                    <w:adjustRightInd w:val="0"/>
                    <w:snapToGrid w:val="0"/>
                    <w:jc w:val="center"/>
                    <w:rPr>
                      <w:color w:val="auto"/>
                      <w:szCs w:val="21"/>
                    </w:rPr>
                  </w:pPr>
                </w:p>
              </w:tc>
              <w:tc>
                <w:tcPr>
                  <w:tcW w:w="375" w:type="dxa"/>
                  <w:vAlign w:val="center"/>
                </w:tcPr>
                <w:p w14:paraId="608579CE">
                  <w:pPr>
                    <w:jc w:val="center"/>
                    <w:rPr>
                      <w:color w:val="auto"/>
                      <w:szCs w:val="21"/>
                    </w:rPr>
                  </w:pPr>
                  <w:r>
                    <w:rPr>
                      <w:bCs/>
                      <w:color w:val="auto"/>
                    </w:rPr>
                    <w:t>污染物排放管控</w:t>
                  </w:r>
                </w:p>
              </w:tc>
              <w:tc>
                <w:tcPr>
                  <w:tcW w:w="8625" w:type="dxa"/>
                  <w:vAlign w:val="center"/>
                </w:tcPr>
                <w:p w14:paraId="7B9ECBCB">
                  <w:pPr>
                    <w:pStyle w:val="46"/>
                    <w:ind w:firstLine="420" w:firstLineChars="200"/>
                    <w:jc w:val="left"/>
                    <w:rPr>
                      <w:rFonts w:hint="default" w:ascii="Times New Roman" w:hAnsi="Times New Roman"/>
                      <w:color w:val="auto"/>
                      <w:kern w:val="2"/>
                      <w:sz w:val="21"/>
                      <w:szCs w:val="21"/>
                    </w:rPr>
                  </w:pPr>
                  <w:r>
                    <w:rPr>
                      <w:rFonts w:hint="default" w:ascii="Times New Roman" w:hAnsi="Times New Roman"/>
                      <w:color w:val="auto"/>
                      <w:kern w:val="2"/>
                      <w:sz w:val="21"/>
                      <w:szCs w:val="21"/>
                    </w:rPr>
                    <w:t>深入实施重点污染物总量控制。“十四五”期间重点污染物排放总量在现有基础上持续减少。优化总量分配和调控机制，重点污染物排放总量指标优先向重点建设项目、重点工业园区、战略性产业集群倾斜。新建“两高”项目应配套区域主要污染物削减方案，采取有效的主要污染物区域削减措施，腾出足够的环境容量。新建项目原则上实施氮氧化物（NO</w:t>
                  </w:r>
                  <w:r>
                    <w:rPr>
                      <w:rFonts w:hint="default" w:ascii="Times New Roman" w:hAnsi="Times New Roman"/>
                      <w:color w:val="auto"/>
                      <w:kern w:val="2"/>
                      <w:sz w:val="21"/>
                      <w:szCs w:val="21"/>
                      <w:vertAlign w:val="subscript"/>
                    </w:rPr>
                    <w:t>X</w:t>
                  </w:r>
                  <w:r>
                    <w:rPr>
                      <w:rFonts w:hint="default" w:ascii="Times New Roman" w:hAnsi="Times New Roman"/>
                      <w:color w:val="auto"/>
                      <w:kern w:val="2"/>
                      <w:sz w:val="21"/>
                      <w:szCs w:val="21"/>
                    </w:rPr>
                    <w:t>）和挥发性有机物（VOCs）等量替代，推动钢铁行业执行大气污染物超低排放标准。新建、改建、技改造纸、焦化、有色金属、印染、农副食品加工、原料药制造、制革、农药、电镀等行业建设项目实行主要水体污染物排放等量替代。</w:t>
                  </w:r>
                </w:p>
                <w:p w14:paraId="15FD2389">
                  <w:pPr>
                    <w:pStyle w:val="46"/>
                    <w:ind w:firstLine="420" w:firstLineChars="200"/>
                    <w:jc w:val="left"/>
                    <w:rPr>
                      <w:rFonts w:hint="default" w:ascii="Times New Roman" w:hAnsi="Times New Roman"/>
                      <w:color w:val="auto"/>
                      <w:kern w:val="2"/>
                      <w:sz w:val="21"/>
                      <w:szCs w:val="21"/>
                    </w:rPr>
                  </w:pPr>
                  <w:r>
                    <w:rPr>
                      <w:rFonts w:hint="default" w:ascii="Times New Roman" w:hAnsi="Times New Roman"/>
                      <w:color w:val="auto"/>
                      <w:kern w:val="2"/>
                      <w:sz w:val="21"/>
                      <w:szCs w:val="21"/>
                    </w:rPr>
                    <w:t>实施低挥发性有机物(VOCs)含量产品源头替代工程。全面加强无组织排放控制，深入实施精细化治理。推进溶剂使用及挥发性有机液体储运销环节的减排，全过程实施反应活性物质、有毒有害物质、恶臭物质的协同控制。对VOCs重点企业实施分级和清单化管控，将全面使用低VOCs含量原辅材料的企业纳入正面清单和政府绿色采购清单。</w:t>
                  </w:r>
                </w:p>
                <w:p w14:paraId="2B48EAC1">
                  <w:pPr>
                    <w:pStyle w:val="46"/>
                    <w:ind w:firstLine="420" w:firstLineChars="200"/>
                    <w:jc w:val="left"/>
                    <w:rPr>
                      <w:rFonts w:hint="default" w:ascii="Times New Roman" w:hAnsi="Times New Roman"/>
                      <w:color w:val="auto"/>
                      <w:kern w:val="2"/>
                      <w:sz w:val="21"/>
                      <w:szCs w:val="21"/>
                    </w:rPr>
                  </w:pPr>
                  <w:r>
                    <w:rPr>
                      <w:rFonts w:hint="default" w:ascii="Times New Roman" w:hAnsi="Times New Roman"/>
                      <w:color w:val="auto"/>
                      <w:kern w:val="2"/>
                      <w:sz w:val="21"/>
                      <w:szCs w:val="21"/>
                    </w:rPr>
                    <w:t>北江流域实行重金属污染物排放总量控制。新建、改建、技改的项目严格实行重金属等特征污染物排放减量替代。加强“三矿两厂”等日常监督，在重点防控区域内新建、改建、技改增加重金属污染物排放总量的建设项目应通过实施区域削减，实现增产减污。凡口铅锌矿及其周边区域（仁化县董塘镇）、大宝山矿及其周边区域（曲江区沙溪镇、翁源县铁龙镇）严格执行部分重金属水污染物特别排放限值的相关规定。</w:t>
                  </w:r>
                </w:p>
                <w:p w14:paraId="2762B97E">
                  <w:pPr>
                    <w:pStyle w:val="46"/>
                    <w:ind w:firstLine="420" w:firstLineChars="200"/>
                    <w:jc w:val="left"/>
                    <w:rPr>
                      <w:rFonts w:hint="default" w:ascii="Times New Roman" w:hAnsi="Times New Roman"/>
                      <w:color w:val="auto"/>
                      <w:kern w:val="2"/>
                      <w:sz w:val="21"/>
                      <w:szCs w:val="21"/>
                    </w:rPr>
                  </w:pPr>
                  <w:r>
                    <w:rPr>
                      <w:rFonts w:hint="default" w:ascii="Times New Roman" w:hAnsi="Times New Roman"/>
                      <w:color w:val="auto"/>
                      <w:kern w:val="2"/>
                      <w:sz w:val="21"/>
                      <w:szCs w:val="21"/>
                    </w:rPr>
                    <w:t>饮用水水源保护区全面加强水源涵养，强化源头控制，禁止新建排污口，严格防范水源污染风险，切实保障饮用水安全，一级保护区内禁止新建、改建、技改与供水设施和保护水源无关的建设项目；二级保护区内禁止新建、改建、技改排放污染物的建设项目。饮用水水源准保护区内禁止新建、技改对水体污染严重的建设项目。</w:t>
                  </w:r>
                </w:p>
                <w:p w14:paraId="1172E647">
                  <w:pPr>
                    <w:pStyle w:val="46"/>
                    <w:ind w:firstLine="420" w:firstLineChars="200"/>
                    <w:jc w:val="left"/>
                    <w:rPr>
                      <w:rFonts w:hint="default" w:ascii="Times New Roman" w:hAnsi="Times New Roman"/>
                      <w:color w:val="auto"/>
                      <w:sz w:val="21"/>
                      <w:szCs w:val="21"/>
                    </w:rPr>
                  </w:pPr>
                  <w:r>
                    <w:rPr>
                      <w:rFonts w:hint="default" w:ascii="Times New Roman" w:hAnsi="Times New Roman"/>
                      <w:color w:val="auto"/>
                      <w:kern w:val="2"/>
                      <w:sz w:val="21"/>
                      <w:szCs w:val="21"/>
                    </w:rPr>
                    <w:t>完善污水处理厂配套管网建设，切实提高运行负荷。强化城中村、老旧城区和城乡结合部污水截流、收集。现有合流制排水系统应加快实施雨污分流改造，加快镇级生活污水处理设施及配套管网建设，因地制宜建设农村生活污水处理设施。加强农业面源污染治理，实施种植业“肥药双控”；严格禁养区管理，加强养殖污染防治，加强畜禽养殖废弃物资源化利用。</w:t>
                  </w:r>
                </w:p>
              </w:tc>
              <w:tc>
                <w:tcPr>
                  <w:tcW w:w="2832" w:type="dxa"/>
                  <w:vAlign w:val="center"/>
                </w:tcPr>
                <w:p w14:paraId="7FF8DA8D">
                  <w:pPr>
                    <w:adjustRightInd w:val="0"/>
                    <w:snapToGrid w:val="0"/>
                    <w:ind w:firstLine="420" w:firstLineChars="200"/>
                    <w:jc w:val="left"/>
                    <w:rPr>
                      <w:color w:val="auto"/>
                      <w:szCs w:val="21"/>
                    </w:rPr>
                  </w:pPr>
                  <w:r>
                    <w:rPr>
                      <w:color w:val="auto"/>
                      <w:szCs w:val="21"/>
                    </w:rPr>
                    <w:t>本项目的挥发性有机物排放量实行等量替代，不涉及重金属污染物；危险废物交有资质单位处理。</w:t>
                  </w:r>
                  <w:r>
                    <w:rPr>
                      <w:rFonts w:hint="eastAsia"/>
                      <w:color w:val="auto"/>
                      <w:szCs w:val="21"/>
                      <w:lang w:val="en-US" w:eastAsia="zh-CN"/>
                    </w:rPr>
                    <w:t>本项目</w:t>
                  </w:r>
                  <w:r>
                    <w:rPr>
                      <w:color w:val="auto"/>
                      <w:szCs w:val="21"/>
                    </w:rPr>
                    <w:t>不涉及饮用水水源保护区。本项目</w:t>
                  </w:r>
                  <w:r>
                    <w:rPr>
                      <w:rFonts w:hint="eastAsia"/>
                      <w:color w:val="auto"/>
                      <w:szCs w:val="21"/>
                      <w:lang w:val="en-US" w:eastAsia="zh-CN"/>
                    </w:rPr>
                    <w:t>废水主要为生活污水，无生产废水，生活污水经三级化粪池预处理达标后排入园区污水处理厂，化学需氧量、氨氮</w:t>
                  </w:r>
                  <w:r>
                    <w:rPr>
                      <w:rFonts w:hint="default" w:ascii="Times New Roman" w:hAnsi="Times New Roman" w:eastAsia="宋体" w:cs="Times New Roman"/>
                      <w:bCs/>
                      <w:color w:val="auto"/>
                      <w:szCs w:val="21"/>
                    </w:rPr>
                    <w:t>纳入园区污水处理厂的总量控制指标，</w:t>
                  </w:r>
                  <w:r>
                    <w:rPr>
                      <w:rFonts w:ascii="Times New Roman" w:hAnsi="Times New Roman" w:eastAsia="宋体" w:cs="Times New Roman"/>
                      <w:bCs/>
                      <w:color w:val="auto"/>
                      <w:szCs w:val="21"/>
                    </w:rPr>
                    <w:t>不单独设置总量指标</w:t>
                  </w:r>
                  <w:r>
                    <w:rPr>
                      <w:rFonts w:hint="default" w:ascii="Times New Roman" w:hAnsi="Times New Roman" w:eastAsia="宋体" w:cs="Times New Roman"/>
                      <w:bCs/>
                      <w:color w:val="auto"/>
                      <w:szCs w:val="21"/>
                    </w:rPr>
                    <w:t>。</w:t>
                  </w:r>
                  <w:r>
                    <w:rPr>
                      <w:color w:val="auto"/>
                      <w:szCs w:val="21"/>
                    </w:rPr>
                    <w:t>项目符合污染物排放管控要求。</w:t>
                  </w:r>
                </w:p>
              </w:tc>
              <w:tc>
                <w:tcPr>
                  <w:tcW w:w="643" w:type="dxa"/>
                  <w:vAlign w:val="center"/>
                </w:tcPr>
                <w:p w14:paraId="08E54C3C">
                  <w:pPr>
                    <w:adjustRightInd w:val="0"/>
                    <w:snapToGrid w:val="0"/>
                    <w:spacing w:line="240" w:lineRule="exact"/>
                    <w:jc w:val="center"/>
                    <w:rPr>
                      <w:color w:val="auto"/>
                      <w:szCs w:val="21"/>
                    </w:rPr>
                  </w:pPr>
                  <w:r>
                    <w:rPr>
                      <w:color w:val="auto"/>
                      <w:szCs w:val="21"/>
                    </w:rPr>
                    <w:t>相符</w:t>
                  </w:r>
                </w:p>
              </w:tc>
            </w:tr>
            <w:tr w14:paraId="60C6B4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72" w:type="dxa"/>
                  <w:vMerge w:val="continue"/>
                  <w:vAlign w:val="center"/>
                </w:tcPr>
                <w:p w14:paraId="2568B0D3">
                  <w:pPr>
                    <w:adjustRightInd w:val="0"/>
                    <w:snapToGrid w:val="0"/>
                    <w:jc w:val="center"/>
                    <w:rPr>
                      <w:color w:val="auto"/>
                      <w:szCs w:val="21"/>
                    </w:rPr>
                  </w:pPr>
                </w:p>
              </w:tc>
              <w:tc>
                <w:tcPr>
                  <w:tcW w:w="375" w:type="dxa"/>
                  <w:vAlign w:val="center"/>
                </w:tcPr>
                <w:p w14:paraId="3C545B28">
                  <w:pPr>
                    <w:jc w:val="center"/>
                    <w:rPr>
                      <w:color w:val="auto"/>
                      <w:szCs w:val="21"/>
                    </w:rPr>
                  </w:pPr>
                  <w:r>
                    <w:rPr>
                      <w:bCs/>
                      <w:color w:val="auto"/>
                    </w:rPr>
                    <w:t>环境风险防控</w:t>
                  </w:r>
                </w:p>
              </w:tc>
              <w:tc>
                <w:tcPr>
                  <w:tcW w:w="8625" w:type="dxa"/>
                  <w:vAlign w:val="center"/>
                </w:tcPr>
                <w:p w14:paraId="0B39D278">
                  <w:pPr>
                    <w:pStyle w:val="46"/>
                    <w:ind w:firstLine="420" w:firstLineChars="200"/>
                    <w:jc w:val="left"/>
                    <w:rPr>
                      <w:rFonts w:hint="default" w:ascii="Times New Roman" w:hAnsi="Times New Roman"/>
                      <w:color w:val="auto"/>
                      <w:kern w:val="2"/>
                      <w:sz w:val="21"/>
                      <w:szCs w:val="21"/>
                    </w:rPr>
                  </w:pPr>
                  <w:r>
                    <w:rPr>
                      <w:rFonts w:hint="default" w:ascii="Times New Roman" w:hAnsi="Times New Roman"/>
                      <w:color w:val="auto"/>
                      <w:kern w:val="2"/>
                      <w:sz w:val="21"/>
                      <w:szCs w:val="21"/>
                    </w:rPr>
                    <w:t>加强北江、东江干流沿岸以及饮用水水源地环境风险防控。严格控制沿岸石油加工、化学原料和化学制品制造、有色金属冶炼、纺织印染等项目环境风险。强化地表水、地下水和土壤污染风险协同防控，建立完善突发环境事件应急管理体系，全面排查“千吨万人”饮用水水源地周边环境问题并及时开展专项整治，保障饮用水水源地安全。重点加强环境风险分级分类管控，建立全市环境风险源在线监控预警系统，强化化工企业、涉重金属行业、工业园区和尾矿库等重点环境风险源的环境风险防控。构建企业、园区和区域三级环境风险防控联动体系，增强园区风险防控能力。园区管理机构应定期开展环境风险评估，编制完善综合环境应急预案并备案，整合应急资源，储备环境应急物资及装备，定期组织开展应急演练，全面提升园区突发环境事件应急处理能力。</w:t>
                  </w:r>
                </w:p>
                <w:p w14:paraId="444BFD44">
                  <w:pPr>
                    <w:pStyle w:val="46"/>
                    <w:ind w:firstLine="420" w:firstLineChars="200"/>
                    <w:jc w:val="left"/>
                    <w:rPr>
                      <w:rFonts w:hint="default" w:ascii="Times New Roman" w:hAnsi="Times New Roman"/>
                      <w:color w:val="auto"/>
                      <w:sz w:val="21"/>
                      <w:szCs w:val="21"/>
                    </w:rPr>
                  </w:pPr>
                  <w:r>
                    <w:rPr>
                      <w:rFonts w:hint="default" w:ascii="Times New Roman" w:hAnsi="Times New Roman"/>
                      <w:color w:val="auto"/>
                      <w:kern w:val="2"/>
                      <w:sz w:val="21"/>
                      <w:szCs w:val="21"/>
                    </w:rPr>
                    <w:t>持续推进土壤环境风险管控工作。实行农用地分类分级安全利用，有效提升农用地土地资源开发利用率，依法划定特定农作物禁止种植区域，严格按照耕地土壤环境质量类别划分成果对耕地实施安全利用，防范农产品重金属含量超标风险。加强建设用地准入管理，规范受污染建设用地地块再开发。加强尾矿库的环境风险排查与防范。加强金属矿采选、金属冶炼企业的重金属污染风险防控。强化选矿废水治理设施的升级改造，选矿废水原则上回用不外排。全力避免因各类安全事故（事件）引发的次生环境风险事故（事件）。</w:t>
                  </w:r>
                </w:p>
              </w:tc>
              <w:tc>
                <w:tcPr>
                  <w:tcW w:w="2832" w:type="dxa"/>
                  <w:vAlign w:val="center"/>
                </w:tcPr>
                <w:p w14:paraId="323FF1F8">
                  <w:pPr>
                    <w:adjustRightInd w:val="0"/>
                    <w:snapToGrid w:val="0"/>
                    <w:ind w:firstLine="420" w:firstLineChars="200"/>
                    <w:jc w:val="left"/>
                    <w:rPr>
                      <w:color w:val="auto"/>
                      <w:szCs w:val="21"/>
                    </w:rPr>
                  </w:pPr>
                  <w:r>
                    <w:rPr>
                      <w:color w:val="auto"/>
                      <w:szCs w:val="21"/>
                    </w:rPr>
                    <w:t>本项目将采取一系列风险防范措施，制定并落实企业突发环境事件应急预案，建立体系完备的风险管控体系，符合环境风险防</w:t>
                  </w:r>
                  <w:r>
                    <w:rPr>
                      <w:rFonts w:hint="eastAsia"/>
                      <w:color w:val="auto"/>
                      <w:szCs w:val="21"/>
                      <w:lang w:val="en-US" w:eastAsia="zh-CN"/>
                    </w:rPr>
                    <w:t>控</w:t>
                  </w:r>
                  <w:r>
                    <w:rPr>
                      <w:color w:val="auto"/>
                      <w:szCs w:val="21"/>
                    </w:rPr>
                    <w:t>要求。</w:t>
                  </w:r>
                </w:p>
              </w:tc>
              <w:tc>
                <w:tcPr>
                  <w:tcW w:w="643" w:type="dxa"/>
                  <w:vAlign w:val="center"/>
                </w:tcPr>
                <w:p w14:paraId="5A328FE2">
                  <w:pPr>
                    <w:adjustRightInd w:val="0"/>
                    <w:snapToGrid w:val="0"/>
                    <w:spacing w:line="240" w:lineRule="exact"/>
                    <w:jc w:val="center"/>
                    <w:rPr>
                      <w:color w:val="auto"/>
                      <w:szCs w:val="21"/>
                    </w:rPr>
                  </w:pPr>
                  <w:r>
                    <w:rPr>
                      <w:color w:val="auto"/>
                      <w:szCs w:val="21"/>
                    </w:rPr>
                    <w:t>相符</w:t>
                  </w:r>
                </w:p>
              </w:tc>
            </w:tr>
            <w:tr w14:paraId="0D40A0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2" w:type="dxa"/>
                  <w:vMerge w:val="restart"/>
                  <w:textDirection w:val="tbLrV"/>
                  <w:vAlign w:val="center"/>
                </w:tcPr>
                <w:p w14:paraId="4200010F">
                  <w:pPr>
                    <w:rPr>
                      <w:color w:val="auto"/>
                    </w:rPr>
                  </w:pPr>
                </w:p>
                <w:p w14:paraId="1535656F">
                  <w:pPr>
                    <w:rPr>
                      <w:color w:val="auto"/>
                    </w:rPr>
                  </w:pPr>
                  <w:r>
                    <w:rPr>
                      <w:color w:val="auto"/>
                    </w:rPr>
                    <w:t>生态准入清单（乐昌经济开发区重点管控单元）</w:t>
                  </w:r>
                </w:p>
                <w:p w14:paraId="3C8103A7">
                  <w:pPr>
                    <w:rPr>
                      <w:color w:val="auto"/>
                    </w:rPr>
                  </w:pPr>
                </w:p>
              </w:tc>
              <w:tc>
                <w:tcPr>
                  <w:tcW w:w="375" w:type="dxa"/>
                  <w:vAlign w:val="center"/>
                </w:tcPr>
                <w:p w14:paraId="3C75FD94">
                  <w:pPr>
                    <w:jc w:val="center"/>
                    <w:rPr>
                      <w:bCs/>
                      <w:color w:val="auto"/>
                      <w:szCs w:val="21"/>
                    </w:rPr>
                  </w:pPr>
                  <w:r>
                    <w:rPr>
                      <w:bCs/>
                      <w:color w:val="auto"/>
                    </w:rPr>
                    <w:t>区域布局管控</w:t>
                  </w:r>
                </w:p>
              </w:tc>
              <w:tc>
                <w:tcPr>
                  <w:tcW w:w="8625" w:type="dxa"/>
                  <w:vMerge w:val="restart"/>
                  <w:vAlign w:val="center"/>
                </w:tcPr>
                <w:p w14:paraId="158DDD6D">
                  <w:pPr>
                    <w:pStyle w:val="16"/>
                    <w:rPr>
                      <w:rFonts w:ascii="Times New Roman" w:hAnsi="Times New Roman" w:eastAsia="宋体"/>
                      <w:color w:val="auto"/>
                      <w:sz w:val="21"/>
                      <w:szCs w:val="21"/>
                    </w:rPr>
                  </w:pPr>
                  <w:r>
                    <w:rPr>
                      <w:rFonts w:ascii="Times New Roman" w:hAnsi="Times New Roman" w:eastAsia="宋体"/>
                      <w:color w:val="auto"/>
                      <w:sz w:val="21"/>
                      <w:szCs w:val="21"/>
                    </w:rPr>
                    <w:t>1-1.【产业/鼓励引导类】重点发展现代轻工产业（消费电子等）、先进装备制造业等产业，优先引进无污染物或轻污染项目。</w:t>
                  </w:r>
                </w:p>
                <w:p w14:paraId="7E745D16">
                  <w:pPr>
                    <w:tabs>
                      <w:tab w:val="left" w:pos="1021"/>
                    </w:tabs>
                    <w:snapToGrid w:val="0"/>
                    <w:jc w:val="left"/>
                    <w:rPr>
                      <w:color w:val="auto"/>
                      <w:szCs w:val="21"/>
                    </w:rPr>
                  </w:pPr>
                  <w:r>
                    <w:rPr>
                      <w:color w:val="auto"/>
                      <w:szCs w:val="21"/>
                    </w:rPr>
                    <w:t>1-2.【产业/禁止类】园区禁止引入专业电镀、化学制浆、鞣革等水污染物排放量大或排放一类污染物、持久性有机污染物的项目。</w:t>
                  </w:r>
                </w:p>
                <w:p w14:paraId="51240190">
                  <w:pPr>
                    <w:widowControl/>
                    <w:jc w:val="left"/>
                    <w:rPr>
                      <w:color w:val="auto"/>
                      <w:szCs w:val="21"/>
                    </w:rPr>
                  </w:pPr>
                  <w:r>
                    <w:rPr>
                      <w:color w:val="auto"/>
                      <w:szCs w:val="21"/>
                    </w:rPr>
                    <w:t>1-3.【产业/限制类】严格限制不符合园区发展定位的项目入驻。</w:t>
                  </w:r>
                </w:p>
                <w:p w14:paraId="6D5CD2CB">
                  <w:pPr>
                    <w:pStyle w:val="16"/>
                    <w:rPr>
                      <w:rFonts w:ascii="Times New Roman" w:hAnsi="Times New Roman" w:eastAsia="宋体"/>
                      <w:color w:val="auto"/>
                      <w:sz w:val="21"/>
                      <w:szCs w:val="21"/>
                    </w:rPr>
                  </w:pPr>
                  <w:r>
                    <w:rPr>
                      <w:rFonts w:ascii="Times New Roman" w:hAnsi="Times New Roman" w:eastAsia="宋体"/>
                      <w:color w:val="auto"/>
                      <w:sz w:val="21"/>
                      <w:szCs w:val="21"/>
                    </w:rPr>
                    <w:t>1-4.【产业/综合类】居民区、学校等环境敏感点邻近地块优先布局废气排放量小、工业噪声影响小的产业。</w:t>
                  </w:r>
                </w:p>
              </w:tc>
              <w:tc>
                <w:tcPr>
                  <w:tcW w:w="2832" w:type="dxa"/>
                  <w:vAlign w:val="center"/>
                </w:tcPr>
                <w:p w14:paraId="1D0F9BA7">
                  <w:pPr>
                    <w:adjustRightInd w:val="0"/>
                    <w:snapToGrid w:val="0"/>
                    <w:jc w:val="left"/>
                    <w:rPr>
                      <w:color w:val="auto"/>
                    </w:rPr>
                  </w:pPr>
                  <w:r>
                    <w:rPr>
                      <w:color w:val="auto"/>
                      <w:lang w:bidi="ar"/>
                    </w:rPr>
                    <w:t>本项目主要从事蚊香、电蚊液生产制造，不属于园区禁止引入项目，符合园区准入条件，符合相关规划。本项目废气排放量较小，噪声影响小，距离最近的环境敏感点约490m。</w:t>
                  </w:r>
                </w:p>
              </w:tc>
              <w:tc>
                <w:tcPr>
                  <w:tcW w:w="643" w:type="dxa"/>
                  <w:vAlign w:val="center"/>
                </w:tcPr>
                <w:p w14:paraId="7AD30A57">
                  <w:pPr>
                    <w:adjustRightInd w:val="0"/>
                    <w:snapToGrid w:val="0"/>
                    <w:jc w:val="center"/>
                    <w:rPr>
                      <w:color w:val="auto"/>
                      <w:szCs w:val="21"/>
                    </w:rPr>
                  </w:pPr>
                  <w:r>
                    <w:rPr>
                      <w:color w:val="auto"/>
                      <w:szCs w:val="21"/>
                    </w:rPr>
                    <w:t>相符</w:t>
                  </w:r>
                </w:p>
              </w:tc>
            </w:tr>
            <w:tr w14:paraId="0243B2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472" w:type="dxa"/>
                  <w:vMerge w:val="continue"/>
                  <w:vAlign w:val="center"/>
                </w:tcPr>
                <w:p w14:paraId="0348AA54">
                  <w:pPr>
                    <w:adjustRightInd w:val="0"/>
                    <w:snapToGrid w:val="0"/>
                    <w:jc w:val="center"/>
                    <w:rPr>
                      <w:color w:val="auto"/>
                      <w:szCs w:val="21"/>
                    </w:rPr>
                  </w:pPr>
                </w:p>
              </w:tc>
              <w:tc>
                <w:tcPr>
                  <w:tcW w:w="375" w:type="dxa"/>
                  <w:vAlign w:val="center"/>
                </w:tcPr>
                <w:p w14:paraId="15BB1450">
                  <w:pPr>
                    <w:jc w:val="center"/>
                    <w:rPr>
                      <w:bCs/>
                      <w:color w:val="auto"/>
                      <w:szCs w:val="21"/>
                    </w:rPr>
                  </w:pPr>
                  <w:r>
                    <w:rPr>
                      <w:bCs/>
                      <w:color w:val="auto"/>
                    </w:rPr>
                    <w:t>能源资源利用</w:t>
                  </w:r>
                </w:p>
              </w:tc>
              <w:tc>
                <w:tcPr>
                  <w:tcW w:w="8625" w:type="dxa"/>
                  <w:vAlign w:val="center"/>
                </w:tcPr>
                <w:p w14:paraId="4506F298">
                  <w:pPr>
                    <w:widowControl/>
                    <w:jc w:val="left"/>
                    <w:rPr>
                      <w:color w:val="auto"/>
                      <w:szCs w:val="21"/>
                    </w:rPr>
                  </w:pPr>
                  <w:r>
                    <w:rPr>
                      <w:color w:val="auto"/>
                      <w:szCs w:val="21"/>
                    </w:rPr>
                    <w:t>2-1.【能源/鼓励引导类】园区内能源结构应以电能、燃气等清洁能源为主。</w:t>
                  </w:r>
                </w:p>
                <w:p w14:paraId="36957E2C">
                  <w:pPr>
                    <w:widowControl/>
                    <w:jc w:val="left"/>
                    <w:rPr>
                      <w:color w:val="auto"/>
                      <w:szCs w:val="21"/>
                    </w:rPr>
                  </w:pPr>
                  <w:r>
                    <w:rPr>
                      <w:color w:val="auto"/>
                      <w:szCs w:val="21"/>
                    </w:rPr>
                    <w:t>2-2.【水资源/综合类】提高园区水资源利用效率，加快中水回用系统建设。</w:t>
                  </w:r>
                </w:p>
                <w:p w14:paraId="2016265E">
                  <w:pPr>
                    <w:tabs>
                      <w:tab w:val="left" w:pos="1021"/>
                    </w:tabs>
                    <w:adjustRightInd w:val="0"/>
                    <w:snapToGrid w:val="0"/>
                    <w:ind w:right="149" w:rightChars="71"/>
                    <w:rPr>
                      <w:color w:val="auto"/>
                      <w:szCs w:val="21"/>
                    </w:rPr>
                  </w:pPr>
                  <w:r>
                    <w:rPr>
                      <w:color w:val="auto"/>
                      <w:szCs w:val="21"/>
                    </w:rPr>
                    <w:t>2-3.【其他/综合类】有行业清洁生产标准的新引进项目清洁生产水平须达到本行业国内先进水平。</w:t>
                  </w:r>
                </w:p>
              </w:tc>
              <w:tc>
                <w:tcPr>
                  <w:tcW w:w="2832" w:type="dxa"/>
                  <w:vAlign w:val="center"/>
                </w:tcPr>
                <w:p w14:paraId="0CCAA976">
                  <w:pPr>
                    <w:adjustRightInd w:val="0"/>
                    <w:snapToGrid w:val="0"/>
                    <w:jc w:val="left"/>
                    <w:rPr>
                      <w:color w:val="auto"/>
                      <w:szCs w:val="21"/>
                    </w:rPr>
                  </w:pPr>
                  <w:r>
                    <w:rPr>
                      <w:color w:val="auto"/>
                      <w:szCs w:val="21"/>
                    </w:rPr>
                    <w:t>1、本项目使用电能；</w:t>
                  </w:r>
                </w:p>
                <w:p w14:paraId="55D3C804">
                  <w:pPr>
                    <w:adjustRightInd w:val="0"/>
                    <w:snapToGrid w:val="0"/>
                    <w:jc w:val="left"/>
                    <w:rPr>
                      <w:rFonts w:ascii="Times New Roman" w:hAnsi="Times New Roman" w:eastAsia="宋体" w:cs="Times New Roman"/>
                      <w:color w:val="auto"/>
                      <w:szCs w:val="21"/>
                    </w:rPr>
                  </w:pPr>
                  <w:r>
                    <w:rPr>
                      <w:color w:val="auto"/>
                      <w:szCs w:val="21"/>
                    </w:rPr>
                    <w:t>2、运营过程中仅消耗一定水</w:t>
                  </w:r>
                  <w:r>
                    <w:rPr>
                      <w:rFonts w:ascii="Times New Roman" w:hAnsi="Times New Roman" w:eastAsia="宋体" w:cs="Times New Roman"/>
                      <w:color w:val="auto"/>
                      <w:szCs w:val="21"/>
                    </w:rPr>
                    <w:t>资源，不属于高污染高耗能项目；</w:t>
                  </w:r>
                </w:p>
                <w:p w14:paraId="38AD2B7A">
                  <w:pPr>
                    <w:adjustRightInd w:val="0"/>
                    <w:snapToGrid w:val="0"/>
                    <w:jc w:val="left"/>
                    <w:rPr>
                      <w:color w:val="auto"/>
                    </w:rPr>
                  </w:pPr>
                  <w:r>
                    <w:rPr>
                      <w:rFonts w:ascii="Times New Roman" w:hAnsi="Times New Roman" w:eastAsia="宋体" w:cs="Times New Roman"/>
                      <w:color w:val="auto"/>
                      <w:szCs w:val="21"/>
                    </w:rPr>
                    <w:t>3、</w:t>
                  </w:r>
                  <w:r>
                    <w:rPr>
                      <w:rFonts w:hint="eastAsia" w:ascii="Times New Roman" w:hAnsi="Times New Roman" w:eastAsia="宋体" w:cs="Times New Roman"/>
                      <w:color w:val="auto"/>
                      <w:szCs w:val="21"/>
                    </w:rPr>
                    <w:t>本项目</w:t>
                  </w:r>
                  <w:r>
                    <w:rPr>
                      <w:rFonts w:ascii="Times New Roman" w:hAnsi="Times New Roman" w:eastAsia="宋体" w:cs="Times New Roman"/>
                      <w:color w:val="auto"/>
                      <w:szCs w:val="21"/>
                    </w:rPr>
                    <w:t>所属行业暂未发布行业清洁生产标准，本项目</w:t>
                  </w:r>
                  <w:r>
                    <w:rPr>
                      <w:rFonts w:hint="eastAsia" w:ascii="Times New Roman" w:hAnsi="Times New Roman" w:eastAsia="宋体" w:cs="Times New Roman"/>
                      <w:color w:val="auto"/>
                      <w:szCs w:val="21"/>
                    </w:rPr>
                    <w:t>将</w:t>
                  </w:r>
                  <w:r>
                    <w:rPr>
                      <w:rFonts w:ascii="Times New Roman" w:hAnsi="Times New Roman" w:eastAsia="宋体" w:cs="Times New Roman"/>
                      <w:color w:val="auto"/>
                      <w:szCs w:val="21"/>
                    </w:rPr>
                    <w:t>根据相关要求开展清洁生产工作</w:t>
                  </w:r>
                  <w:r>
                    <w:rPr>
                      <w:rFonts w:hint="eastAsia" w:ascii="Times New Roman" w:hAnsi="Times New Roman" w:eastAsia="宋体" w:cs="Times New Roman"/>
                      <w:color w:val="auto"/>
                      <w:szCs w:val="21"/>
                      <w:lang w:eastAsia="zh-CN"/>
                    </w:rPr>
                    <w:t>。</w:t>
                  </w:r>
                </w:p>
              </w:tc>
              <w:tc>
                <w:tcPr>
                  <w:tcW w:w="643" w:type="dxa"/>
                  <w:vAlign w:val="center"/>
                </w:tcPr>
                <w:p w14:paraId="6669C1FB">
                  <w:pPr>
                    <w:adjustRightInd w:val="0"/>
                    <w:snapToGrid w:val="0"/>
                    <w:jc w:val="center"/>
                    <w:rPr>
                      <w:color w:val="auto"/>
                      <w:szCs w:val="21"/>
                    </w:rPr>
                  </w:pPr>
                  <w:r>
                    <w:rPr>
                      <w:color w:val="auto"/>
                      <w:szCs w:val="21"/>
                    </w:rPr>
                    <w:t>相符</w:t>
                  </w:r>
                </w:p>
              </w:tc>
            </w:tr>
            <w:tr w14:paraId="4DCFE4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2" w:type="dxa"/>
                  <w:vMerge w:val="continue"/>
                  <w:vAlign w:val="center"/>
                </w:tcPr>
                <w:p w14:paraId="7A1607DC">
                  <w:pPr>
                    <w:adjustRightInd w:val="0"/>
                    <w:snapToGrid w:val="0"/>
                    <w:jc w:val="center"/>
                    <w:rPr>
                      <w:color w:val="auto"/>
                      <w:szCs w:val="21"/>
                    </w:rPr>
                  </w:pPr>
                </w:p>
              </w:tc>
              <w:tc>
                <w:tcPr>
                  <w:tcW w:w="375" w:type="dxa"/>
                  <w:vAlign w:val="center"/>
                </w:tcPr>
                <w:p w14:paraId="3A387BA2">
                  <w:pPr>
                    <w:jc w:val="center"/>
                    <w:rPr>
                      <w:bCs/>
                      <w:color w:val="auto"/>
                      <w:szCs w:val="21"/>
                    </w:rPr>
                  </w:pPr>
                  <w:r>
                    <w:rPr>
                      <w:bCs/>
                      <w:color w:val="auto"/>
                    </w:rPr>
                    <w:t>污染物排放管控</w:t>
                  </w:r>
                </w:p>
              </w:tc>
              <w:tc>
                <w:tcPr>
                  <w:tcW w:w="8625" w:type="dxa"/>
                  <w:vAlign w:val="center"/>
                </w:tcPr>
                <w:p w14:paraId="23EBD83C">
                  <w:pPr>
                    <w:widowControl/>
                    <w:jc w:val="left"/>
                    <w:rPr>
                      <w:color w:val="auto"/>
                      <w:szCs w:val="21"/>
                    </w:rPr>
                  </w:pPr>
                  <w:r>
                    <w:rPr>
                      <w:color w:val="auto"/>
                      <w:szCs w:val="21"/>
                    </w:rPr>
                    <w:t>3-1.【水、大气/限制类】园区各项污染物排放总量不得突破园区规划环评核定的污染物排放总量管控要求。</w:t>
                  </w:r>
                </w:p>
                <w:p w14:paraId="29D33C3B">
                  <w:pPr>
                    <w:widowControl/>
                    <w:jc w:val="left"/>
                    <w:rPr>
                      <w:color w:val="auto"/>
                      <w:szCs w:val="21"/>
                    </w:rPr>
                  </w:pPr>
                  <w:r>
                    <w:rPr>
                      <w:color w:val="auto"/>
                      <w:szCs w:val="21"/>
                    </w:rPr>
                    <w:t>3-2.【水/限制类】实行重点重金属污染物（铅、砷、汞、镉、铬）等量替代。严格控制涉重金属及有毒有害污染物排放的项目建设，新建、改建、扩建涉重金属重点行业的项目应明确重金属污染物总量来源。</w:t>
                  </w:r>
                </w:p>
                <w:p w14:paraId="27BA7362">
                  <w:pPr>
                    <w:tabs>
                      <w:tab w:val="left" w:pos="1021"/>
                    </w:tabs>
                    <w:snapToGrid w:val="0"/>
                    <w:jc w:val="left"/>
                    <w:rPr>
                      <w:color w:val="auto"/>
                      <w:szCs w:val="21"/>
                    </w:rPr>
                  </w:pPr>
                  <w:r>
                    <w:rPr>
                      <w:color w:val="auto"/>
                      <w:szCs w:val="21"/>
                    </w:rPr>
                    <w:t>3-3.【大气/限制类】新建项目原则上实施氮氧化物、挥发性有机物排放量等量替代。</w:t>
                  </w:r>
                </w:p>
                <w:p w14:paraId="36E9492C">
                  <w:pPr>
                    <w:tabs>
                      <w:tab w:val="left" w:pos="1021"/>
                    </w:tabs>
                    <w:snapToGrid w:val="0"/>
                    <w:jc w:val="left"/>
                    <w:rPr>
                      <w:color w:val="auto"/>
                      <w:szCs w:val="21"/>
                    </w:rPr>
                  </w:pPr>
                  <w:r>
                    <w:rPr>
                      <w:color w:val="auto"/>
                      <w:szCs w:val="21"/>
                    </w:rPr>
                    <w:t>3-4.【其它/鼓励引导类】支持危险废物专业收集转运和利用处置单位建设区域性收集网点和贮存设施。</w:t>
                  </w:r>
                </w:p>
              </w:tc>
              <w:tc>
                <w:tcPr>
                  <w:tcW w:w="2832" w:type="dxa"/>
                  <w:vAlign w:val="center"/>
                </w:tcPr>
                <w:p w14:paraId="2EA8FD45">
                  <w:pPr>
                    <w:adjustRightInd w:val="0"/>
                    <w:snapToGrid w:val="0"/>
                    <w:jc w:val="left"/>
                    <w:rPr>
                      <w:rFonts w:hint="eastAsia" w:eastAsia="宋体"/>
                      <w:color w:val="auto"/>
                      <w:szCs w:val="21"/>
                      <w:lang w:eastAsia="zh-CN"/>
                    </w:rPr>
                  </w:pPr>
                  <w:r>
                    <w:rPr>
                      <w:color w:val="auto"/>
                      <w:szCs w:val="21"/>
                    </w:rPr>
                    <w:t>1、本项目挥发性有机物排放量实行总量控制，排放总量来源由相关单位分配</w:t>
                  </w:r>
                  <w:r>
                    <w:rPr>
                      <w:rFonts w:hint="eastAsia"/>
                      <w:color w:val="auto"/>
                      <w:szCs w:val="21"/>
                      <w:lang w:eastAsia="zh-CN"/>
                    </w:rPr>
                    <w:t>。</w:t>
                  </w:r>
                </w:p>
                <w:p w14:paraId="24090334">
                  <w:pPr>
                    <w:adjustRightInd w:val="0"/>
                    <w:snapToGrid w:val="0"/>
                    <w:jc w:val="left"/>
                    <w:rPr>
                      <w:color w:val="auto"/>
                      <w:szCs w:val="21"/>
                    </w:rPr>
                  </w:pPr>
                  <w:r>
                    <w:rPr>
                      <w:color w:val="auto"/>
                      <w:szCs w:val="21"/>
                    </w:rPr>
                    <w:t>2、本项目不涉及重金属污染物。</w:t>
                  </w:r>
                </w:p>
                <w:p w14:paraId="08CCB224">
                  <w:pPr>
                    <w:adjustRightInd w:val="0"/>
                    <w:snapToGrid w:val="0"/>
                    <w:jc w:val="left"/>
                    <w:rPr>
                      <w:color w:val="auto"/>
                      <w:szCs w:val="21"/>
                    </w:rPr>
                  </w:pPr>
                  <w:r>
                    <w:rPr>
                      <w:color w:val="auto"/>
                      <w:szCs w:val="21"/>
                    </w:rPr>
                    <w:t>3、本项目不排放氮氧化物，挥发性有机物排放量进行等量替代；</w:t>
                  </w:r>
                </w:p>
                <w:p w14:paraId="2FDAD729">
                  <w:pPr>
                    <w:snapToGrid w:val="0"/>
                    <w:jc w:val="left"/>
                    <w:rPr>
                      <w:color w:val="auto"/>
                      <w:szCs w:val="21"/>
                    </w:rPr>
                  </w:pPr>
                  <w:r>
                    <w:rPr>
                      <w:color w:val="auto"/>
                      <w:szCs w:val="21"/>
                    </w:rPr>
                    <w:t>4、本项目危废储存至危废暂存间后委托有资质单位处理。</w:t>
                  </w:r>
                </w:p>
              </w:tc>
              <w:tc>
                <w:tcPr>
                  <w:tcW w:w="643" w:type="dxa"/>
                  <w:vAlign w:val="center"/>
                </w:tcPr>
                <w:p w14:paraId="797D0FB1">
                  <w:pPr>
                    <w:adjustRightInd w:val="0"/>
                    <w:snapToGrid w:val="0"/>
                    <w:jc w:val="center"/>
                    <w:rPr>
                      <w:color w:val="auto"/>
                      <w:szCs w:val="21"/>
                    </w:rPr>
                  </w:pPr>
                  <w:r>
                    <w:rPr>
                      <w:color w:val="auto"/>
                      <w:szCs w:val="21"/>
                    </w:rPr>
                    <w:t>相符</w:t>
                  </w:r>
                </w:p>
              </w:tc>
            </w:tr>
            <w:tr w14:paraId="1BEFCA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72" w:type="dxa"/>
                  <w:vMerge w:val="continue"/>
                  <w:vAlign w:val="center"/>
                </w:tcPr>
                <w:p w14:paraId="3B762023">
                  <w:pPr>
                    <w:adjustRightInd w:val="0"/>
                    <w:snapToGrid w:val="0"/>
                    <w:jc w:val="center"/>
                    <w:rPr>
                      <w:color w:val="auto"/>
                      <w:szCs w:val="21"/>
                    </w:rPr>
                  </w:pPr>
                </w:p>
              </w:tc>
              <w:tc>
                <w:tcPr>
                  <w:tcW w:w="375" w:type="dxa"/>
                  <w:vAlign w:val="center"/>
                </w:tcPr>
                <w:p w14:paraId="3DBBA11A">
                  <w:pPr>
                    <w:jc w:val="center"/>
                    <w:rPr>
                      <w:bCs/>
                      <w:color w:val="auto"/>
                      <w:szCs w:val="21"/>
                    </w:rPr>
                  </w:pPr>
                  <w:r>
                    <w:rPr>
                      <w:bCs/>
                      <w:color w:val="auto"/>
                    </w:rPr>
                    <w:t>环境风险防控</w:t>
                  </w:r>
                </w:p>
              </w:tc>
              <w:tc>
                <w:tcPr>
                  <w:tcW w:w="8625" w:type="dxa"/>
                  <w:vAlign w:val="center"/>
                </w:tcPr>
                <w:p w14:paraId="622039BC">
                  <w:pPr>
                    <w:snapToGrid w:val="0"/>
                    <w:jc w:val="left"/>
                    <w:rPr>
                      <w:color w:val="auto"/>
                      <w:szCs w:val="21"/>
                    </w:rPr>
                  </w:pPr>
                  <w:r>
                    <w:rPr>
                      <w:color w:val="auto"/>
                      <w:szCs w:val="21"/>
                    </w:rPr>
                    <w:t>4-1.【风险/综合类】园区内生产、使用、储存危险化学品的项目应设置足够容积的事故应急池，园区应制定环境风险事故防范和应急预案，建立健全企业、园区和市政三级事故应急体系，落实有效的事故风险防范和应急措施，有效防范污染事故发生，并避免发生事故对周围环境造成污染，确保环境安全。园区污染处理厂设置足够容积的事故应急池，纳污水体设置水质监控断面，发现问题，及时采取限制废水排放等措施。</w:t>
                  </w:r>
                </w:p>
              </w:tc>
              <w:tc>
                <w:tcPr>
                  <w:tcW w:w="2832" w:type="dxa"/>
                  <w:vAlign w:val="center"/>
                </w:tcPr>
                <w:p w14:paraId="0953D298">
                  <w:pPr>
                    <w:adjustRightInd w:val="0"/>
                    <w:snapToGrid w:val="0"/>
                    <w:ind w:firstLine="420" w:firstLineChars="200"/>
                    <w:jc w:val="left"/>
                    <w:rPr>
                      <w:color w:val="auto"/>
                      <w:szCs w:val="21"/>
                    </w:rPr>
                  </w:pPr>
                  <w:r>
                    <w:rPr>
                      <w:color w:val="auto"/>
                      <w:szCs w:val="21"/>
                    </w:rPr>
                    <w:t>本项目并制定有效的环境风险事故风险防范、应急措施和应急预案，为防范污染事故发生，并避免发生事故对周围环境造成污染，确保环境安全</w:t>
                  </w:r>
                  <w:r>
                    <w:rPr>
                      <w:color w:val="auto"/>
                      <w:kern w:val="0"/>
                      <w:szCs w:val="21"/>
                    </w:rPr>
                    <w:t>。</w:t>
                  </w:r>
                </w:p>
              </w:tc>
              <w:tc>
                <w:tcPr>
                  <w:tcW w:w="643" w:type="dxa"/>
                  <w:vAlign w:val="center"/>
                </w:tcPr>
                <w:p w14:paraId="6FC2B6E8">
                  <w:pPr>
                    <w:adjustRightInd w:val="0"/>
                    <w:snapToGrid w:val="0"/>
                    <w:jc w:val="center"/>
                    <w:rPr>
                      <w:color w:val="auto"/>
                      <w:szCs w:val="21"/>
                    </w:rPr>
                  </w:pPr>
                  <w:r>
                    <w:rPr>
                      <w:color w:val="auto"/>
                      <w:szCs w:val="21"/>
                    </w:rPr>
                    <w:t>相符</w:t>
                  </w:r>
                </w:p>
              </w:tc>
            </w:tr>
          </w:tbl>
          <w:p w14:paraId="592A4AE6">
            <w:pPr>
              <w:keepNext/>
              <w:widowControl/>
              <w:spacing w:line="360" w:lineRule="auto"/>
              <w:jc w:val="center"/>
              <w:rPr>
                <w:b/>
                <w:color w:val="auto"/>
                <w:szCs w:val="21"/>
              </w:rPr>
            </w:pPr>
          </w:p>
          <w:p w14:paraId="46883D82">
            <w:pPr>
              <w:keepNext/>
              <w:widowControl/>
              <w:spacing w:line="360" w:lineRule="auto"/>
              <w:jc w:val="center"/>
              <w:rPr>
                <w:b/>
                <w:bCs/>
                <w:color w:val="auto"/>
                <w:sz w:val="24"/>
                <w:szCs w:val="24"/>
              </w:rPr>
            </w:pPr>
            <w:r>
              <w:rPr>
                <w:b/>
                <w:color w:val="auto"/>
                <w:sz w:val="24"/>
                <w:szCs w:val="24"/>
              </w:rPr>
              <w:t>表</w:t>
            </w:r>
            <w:r>
              <w:rPr>
                <w:b/>
                <w:color w:val="auto"/>
                <w:sz w:val="24"/>
                <w:szCs w:val="24"/>
              </w:rPr>
              <w:fldChar w:fldCharType="begin"/>
            </w:r>
            <w:r>
              <w:rPr>
                <w:b/>
                <w:color w:val="auto"/>
                <w:sz w:val="24"/>
                <w:szCs w:val="24"/>
              </w:rPr>
              <w:instrText xml:space="preserve"> SEQ 表 \* ARABIC </w:instrText>
            </w:r>
            <w:r>
              <w:rPr>
                <w:b/>
                <w:color w:val="auto"/>
                <w:sz w:val="24"/>
                <w:szCs w:val="24"/>
              </w:rPr>
              <w:fldChar w:fldCharType="separate"/>
            </w:r>
            <w:r>
              <w:rPr>
                <w:b/>
                <w:color w:val="auto"/>
                <w:sz w:val="24"/>
                <w:szCs w:val="24"/>
              </w:rPr>
              <w:t>4</w:t>
            </w:r>
            <w:r>
              <w:rPr>
                <w:b/>
                <w:color w:val="auto"/>
                <w:sz w:val="24"/>
                <w:szCs w:val="24"/>
              </w:rPr>
              <w:fldChar w:fldCharType="end"/>
            </w:r>
            <w:r>
              <w:rPr>
                <w:b/>
                <w:color w:val="auto"/>
                <w:sz w:val="24"/>
                <w:szCs w:val="24"/>
              </w:rPr>
              <w:t xml:space="preserve">  </w:t>
            </w:r>
            <w:r>
              <w:rPr>
                <w:b/>
                <w:bCs/>
                <w:color w:val="auto"/>
                <w:sz w:val="24"/>
                <w:szCs w:val="24"/>
              </w:rPr>
              <w:t>项目与相关管控单元相符性分析</w:t>
            </w:r>
          </w:p>
          <w:tbl>
            <w:tblPr>
              <w:tblStyle w:val="3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6782"/>
              <w:gridCol w:w="3419"/>
              <w:gridCol w:w="44"/>
              <w:gridCol w:w="738"/>
            </w:tblGrid>
            <w:tr w14:paraId="1825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73AC89E7">
                  <w:pPr>
                    <w:ind w:right="76" w:rightChars="36"/>
                    <w:jc w:val="center"/>
                    <w:rPr>
                      <w:b/>
                      <w:bCs/>
                      <w:color w:val="auto"/>
                      <w:szCs w:val="21"/>
                    </w:rPr>
                  </w:pPr>
                  <w:r>
                    <w:rPr>
                      <w:b/>
                      <w:bCs/>
                      <w:color w:val="auto"/>
                      <w:szCs w:val="21"/>
                    </w:rPr>
                    <w:t>环境管控单元编码</w:t>
                  </w:r>
                </w:p>
              </w:tc>
              <w:tc>
                <w:tcPr>
                  <w:tcW w:w="2617" w:type="pct"/>
                  <w:tcBorders>
                    <w:tl2br w:val="nil"/>
                    <w:tr2bl w:val="nil"/>
                  </w:tcBorders>
                  <w:vAlign w:val="center"/>
                </w:tcPr>
                <w:p w14:paraId="3D334F6A">
                  <w:pPr>
                    <w:jc w:val="center"/>
                    <w:rPr>
                      <w:b/>
                      <w:bCs/>
                      <w:color w:val="auto"/>
                      <w:szCs w:val="21"/>
                    </w:rPr>
                  </w:pPr>
                  <w:r>
                    <w:rPr>
                      <w:b/>
                      <w:bCs/>
                      <w:color w:val="auto"/>
                      <w:szCs w:val="21"/>
                    </w:rPr>
                    <w:t>环境管控单元名称</w:t>
                  </w:r>
                </w:p>
              </w:tc>
              <w:tc>
                <w:tcPr>
                  <w:tcW w:w="1621" w:type="pct"/>
                  <w:gridSpan w:val="3"/>
                  <w:tcBorders>
                    <w:tl2br w:val="nil"/>
                    <w:tr2bl w:val="nil"/>
                  </w:tcBorders>
                  <w:vAlign w:val="center"/>
                </w:tcPr>
                <w:p w14:paraId="747A6FF2">
                  <w:pPr>
                    <w:jc w:val="center"/>
                    <w:rPr>
                      <w:b/>
                      <w:bCs/>
                      <w:color w:val="auto"/>
                      <w:szCs w:val="21"/>
                    </w:rPr>
                  </w:pPr>
                  <w:r>
                    <w:rPr>
                      <w:b/>
                      <w:bCs/>
                      <w:color w:val="auto"/>
                      <w:szCs w:val="21"/>
                    </w:rPr>
                    <w:t>管控单元分类</w:t>
                  </w:r>
                </w:p>
              </w:tc>
            </w:tr>
            <w:tr w14:paraId="2DC8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70C4FE06">
                  <w:pPr>
                    <w:ind w:right="76" w:rightChars="36"/>
                    <w:jc w:val="center"/>
                    <w:rPr>
                      <w:color w:val="auto"/>
                      <w:szCs w:val="21"/>
                    </w:rPr>
                  </w:pPr>
                  <w:r>
                    <w:rPr>
                      <w:color w:val="auto"/>
                      <w:kern w:val="0"/>
                      <w:szCs w:val="21"/>
                      <w:lang w:bidi="ar"/>
                    </w:rPr>
                    <w:t>YS4402813110001</w:t>
                  </w:r>
                </w:p>
              </w:tc>
              <w:tc>
                <w:tcPr>
                  <w:tcW w:w="2617" w:type="pct"/>
                  <w:tcBorders>
                    <w:tl2br w:val="nil"/>
                    <w:tr2bl w:val="nil"/>
                  </w:tcBorders>
                  <w:vAlign w:val="center"/>
                </w:tcPr>
                <w:p w14:paraId="505231B4">
                  <w:pPr>
                    <w:jc w:val="center"/>
                    <w:rPr>
                      <w:color w:val="auto"/>
                      <w:szCs w:val="21"/>
                    </w:rPr>
                  </w:pPr>
                  <w:r>
                    <w:rPr>
                      <w:color w:val="auto"/>
                      <w:kern w:val="0"/>
                      <w:szCs w:val="21"/>
                      <w:lang w:bidi="ar"/>
                    </w:rPr>
                    <w:t>乐昌市生态空间一般管控区</w:t>
                  </w:r>
                </w:p>
              </w:tc>
              <w:tc>
                <w:tcPr>
                  <w:tcW w:w="1621" w:type="pct"/>
                  <w:gridSpan w:val="3"/>
                  <w:tcBorders>
                    <w:tl2br w:val="nil"/>
                    <w:tr2bl w:val="nil"/>
                  </w:tcBorders>
                  <w:vAlign w:val="center"/>
                </w:tcPr>
                <w:p w14:paraId="7C49943D">
                  <w:pPr>
                    <w:jc w:val="center"/>
                    <w:rPr>
                      <w:color w:val="auto"/>
                      <w:szCs w:val="21"/>
                    </w:rPr>
                  </w:pPr>
                  <w:r>
                    <w:rPr>
                      <w:color w:val="auto"/>
                      <w:szCs w:val="21"/>
                    </w:rPr>
                    <w:t>生态空间一般管控区</w:t>
                  </w:r>
                </w:p>
              </w:tc>
            </w:tr>
            <w:tr w14:paraId="0424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0DF1BBD8">
                  <w:pPr>
                    <w:ind w:right="76" w:rightChars="36"/>
                    <w:jc w:val="center"/>
                    <w:rPr>
                      <w:b/>
                      <w:bCs/>
                      <w:color w:val="auto"/>
                      <w:kern w:val="0"/>
                      <w:szCs w:val="21"/>
                      <w:lang w:bidi="ar"/>
                    </w:rPr>
                  </w:pPr>
                  <w:r>
                    <w:rPr>
                      <w:b/>
                      <w:bCs/>
                      <w:color w:val="auto"/>
                      <w:kern w:val="0"/>
                      <w:szCs w:val="21"/>
                      <w:lang w:bidi="ar"/>
                    </w:rPr>
                    <w:t>管控维度</w:t>
                  </w:r>
                </w:p>
              </w:tc>
              <w:tc>
                <w:tcPr>
                  <w:tcW w:w="2617" w:type="pct"/>
                  <w:tcBorders>
                    <w:tl2br w:val="nil"/>
                    <w:tr2bl w:val="nil"/>
                  </w:tcBorders>
                  <w:vAlign w:val="center"/>
                </w:tcPr>
                <w:p w14:paraId="0DC0140E">
                  <w:pPr>
                    <w:jc w:val="center"/>
                    <w:rPr>
                      <w:b/>
                      <w:bCs/>
                      <w:color w:val="auto"/>
                      <w:kern w:val="0"/>
                      <w:szCs w:val="21"/>
                      <w:lang w:bidi="ar"/>
                    </w:rPr>
                  </w:pPr>
                  <w:r>
                    <w:rPr>
                      <w:b/>
                      <w:bCs/>
                      <w:color w:val="auto"/>
                      <w:kern w:val="0"/>
                      <w:szCs w:val="21"/>
                      <w:lang w:bidi="ar"/>
                    </w:rPr>
                    <w:t>管控要求</w:t>
                  </w:r>
                </w:p>
              </w:tc>
              <w:tc>
                <w:tcPr>
                  <w:tcW w:w="1319" w:type="pct"/>
                  <w:tcBorders>
                    <w:tl2br w:val="nil"/>
                    <w:tr2bl w:val="nil"/>
                  </w:tcBorders>
                  <w:vAlign w:val="center"/>
                </w:tcPr>
                <w:p w14:paraId="1CCE149C">
                  <w:pPr>
                    <w:jc w:val="center"/>
                    <w:rPr>
                      <w:b/>
                      <w:bCs/>
                      <w:color w:val="auto"/>
                      <w:szCs w:val="21"/>
                    </w:rPr>
                  </w:pPr>
                  <w:r>
                    <w:rPr>
                      <w:b/>
                      <w:bCs/>
                      <w:color w:val="auto"/>
                      <w:szCs w:val="21"/>
                    </w:rPr>
                    <w:t>项目情况</w:t>
                  </w:r>
                </w:p>
              </w:tc>
              <w:tc>
                <w:tcPr>
                  <w:tcW w:w="302" w:type="pct"/>
                  <w:gridSpan w:val="2"/>
                  <w:tcBorders>
                    <w:tl2br w:val="nil"/>
                    <w:tr2bl w:val="nil"/>
                  </w:tcBorders>
                  <w:vAlign w:val="center"/>
                </w:tcPr>
                <w:p w14:paraId="28F96F01">
                  <w:pPr>
                    <w:jc w:val="center"/>
                    <w:rPr>
                      <w:b/>
                      <w:bCs/>
                      <w:color w:val="auto"/>
                      <w:szCs w:val="21"/>
                    </w:rPr>
                  </w:pPr>
                  <w:r>
                    <w:rPr>
                      <w:b/>
                      <w:bCs/>
                      <w:color w:val="auto"/>
                      <w:szCs w:val="21"/>
                    </w:rPr>
                    <w:t>相符性</w:t>
                  </w:r>
                </w:p>
              </w:tc>
            </w:tr>
            <w:tr w14:paraId="6988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7BECF95C">
                  <w:pPr>
                    <w:ind w:right="76" w:rightChars="36"/>
                    <w:jc w:val="center"/>
                    <w:rPr>
                      <w:color w:val="auto"/>
                      <w:kern w:val="0"/>
                      <w:szCs w:val="21"/>
                      <w:lang w:bidi="ar"/>
                    </w:rPr>
                  </w:pPr>
                  <w:r>
                    <w:rPr>
                      <w:color w:val="auto"/>
                      <w:kern w:val="0"/>
                      <w:szCs w:val="21"/>
                      <w:lang w:bidi="ar"/>
                    </w:rPr>
                    <w:t>区域布局管控</w:t>
                  </w:r>
                </w:p>
              </w:tc>
              <w:tc>
                <w:tcPr>
                  <w:tcW w:w="2617" w:type="pct"/>
                  <w:tcBorders>
                    <w:tl2br w:val="nil"/>
                    <w:tr2bl w:val="nil"/>
                  </w:tcBorders>
                  <w:vAlign w:val="center"/>
                </w:tcPr>
                <w:p w14:paraId="4D273230">
                  <w:pPr>
                    <w:jc w:val="center"/>
                    <w:rPr>
                      <w:color w:val="auto"/>
                      <w:kern w:val="0"/>
                      <w:szCs w:val="21"/>
                      <w:lang w:bidi="ar"/>
                    </w:rPr>
                  </w:pPr>
                  <w:r>
                    <w:rPr>
                      <w:color w:val="auto"/>
                      <w:kern w:val="0"/>
                      <w:szCs w:val="21"/>
                      <w:lang w:bidi="ar"/>
                    </w:rPr>
                    <w:t>按国家和省统一要求管理。</w:t>
                  </w:r>
                </w:p>
              </w:tc>
              <w:tc>
                <w:tcPr>
                  <w:tcW w:w="1319" w:type="pct"/>
                  <w:tcBorders>
                    <w:tl2br w:val="nil"/>
                    <w:tr2bl w:val="nil"/>
                  </w:tcBorders>
                  <w:vAlign w:val="center"/>
                </w:tcPr>
                <w:p w14:paraId="73BD2756">
                  <w:pPr>
                    <w:jc w:val="center"/>
                    <w:rPr>
                      <w:color w:val="auto"/>
                      <w:szCs w:val="21"/>
                    </w:rPr>
                  </w:pPr>
                  <w:r>
                    <w:rPr>
                      <w:color w:val="auto"/>
                      <w:szCs w:val="21"/>
                    </w:rPr>
                    <w:t>项目不涉及自然生态用地，符合城市规划</w:t>
                  </w:r>
                </w:p>
              </w:tc>
              <w:tc>
                <w:tcPr>
                  <w:tcW w:w="302" w:type="pct"/>
                  <w:gridSpan w:val="2"/>
                  <w:tcBorders>
                    <w:tl2br w:val="nil"/>
                    <w:tr2bl w:val="nil"/>
                  </w:tcBorders>
                  <w:vAlign w:val="center"/>
                </w:tcPr>
                <w:p w14:paraId="3A9B0E85">
                  <w:pPr>
                    <w:jc w:val="center"/>
                    <w:rPr>
                      <w:color w:val="auto"/>
                      <w:szCs w:val="21"/>
                    </w:rPr>
                  </w:pPr>
                  <w:r>
                    <w:rPr>
                      <w:color w:val="auto"/>
                      <w:szCs w:val="21"/>
                    </w:rPr>
                    <w:t>符合</w:t>
                  </w:r>
                </w:p>
              </w:tc>
            </w:tr>
            <w:tr w14:paraId="0966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42917846">
                  <w:pPr>
                    <w:widowControl/>
                    <w:jc w:val="center"/>
                    <w:rPr>
                      <w:color w:val="auto"/>
                      <w:kern w:val="0"/>
                      <w:szCs w:val="21"/>
                      <w:lang w:bidi="ar"/>
                    </w:rPr>
                  </w:pPr>
                  <w:r>
                    <w:rPr>
                      <w:b/>
                      <w:bCs/>
                      <w:color w:val="auto"/>
                      <w:kern w:val="0"/>
                      <w:szCs w:val="21"/>
                      <w:lang w:bidi="ar"/>
                    </w:rPr>
                    <w:t>环境管控单元编码</w:t>
                  </w:r>
                </w:p>
              </w:tc>
              <w:tc>
                <w:tcPr>
                  <w:tcW w:w="2617" w:type="pct"/>
                  <w:tcBorders>
                    <w:tl2br w:val="nil"/>
                    <w:tr2bl w:val="nil"/>
                  </w:tcBorders>
                  <w:vAlign w:val="center"/>
                </w:tcPr>
                <w:p w14:paraId="61BFE407">
                  <w:pPr>
                    <w:widowControl/>
                    <w:jc w:val="center"/>
                    <w:rPr>
                      <w:color w:val="auto"/>
                      <w:kern w:val="0"/>
                      <w:szCs w:val="21"/>
                      <w:lang w:bidi="ar"/>
                    </w:rPr>
                  </w:pPr>
                  <w:r>
                    <w:rPr>
                      <w:b/>
                      <w:bCs/>
                      <w:color w:val="auto"/>
                      <w:kern w:val="0"/>
                      <w:szCs w:val="21"/>
                      <w:lang w:bidi="ar"/>
                    </w:rPr>
                    <w:t>环境管控单元名称</w:t>
                  </w:r>
                </w:p>
              </w:tc>
              <w:tc>
                <w:tcPr>
                  <w:tcW w:w="1621" w:type="pct"/>
                  <w:gridSpan w:val="3"/>
                  <w:tcBorders>
                    <w:tl2br w:val="nil"/>
                    <w:tr2bl w:val="nil"/>
                  </w:tcBorders>
                  <w:vAlign w:val="center"/>
                </w:tcPr>
                <w:p w14:paraId="199BCF24">
                  <w:pPr>
                    <w:widowControl/>
                    <w:jc w:val="center"/>
                    <w:rPr>
                      <w:color w:val="auto"/>
                      <w:szCs w:val="21"/>
                    </w:rPr>
                  </w:pPr>
                  <w:r>
                    <w:rPr>
                      <w:b/>
                      <w:bCs/>
                      <w:color w:val="auto"/>
                      <w:kern w:val="0"/>
                      <w:szCs w:val="21"/>
                      <w:lang w:bidi="ar"/>
                    </w:rPr>
                    <w:t>管控单元分类</w:t>
                  </w:r>
                </w:p>
              </w:tc>
            </w:tr>
            <w:tr w14:paraId="56A9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3502D189">
                  <w:pPr>
                    <w:ind w:right="76" w:rightChars="36"/>
                    <w:jc w:val="center"/>
                    <w:rPr>
                      <w:color w:val="auto"/>
                      <w:kern w:val="0"/>
                      <w:szCs w:val="21"/>
                      <w:lang w:bidi="ar"/>
                    </w:rPr>
                  </w:pPr>
                  <w:r>
                    <w:rPr>
                      <w:color w:val="auto"/>
                      <w:szCs w:val="21"/>
                    </w:rPr>
                    <w:t>YS4402813210014</w:t>
                  </w:r>
                </w:p>
              </w:tc>
              <w:tc>
                <w:tcPr>
                  <w:tcW w:w="2617" w:type="pct"/>
                  <w:tcBorders>
                    <w:tl2br w:val="nil"/>
                    <w:tr2bl w:val="nil"/>
                  </w:tcBorders>
                  <w:vAlign w:val="center"/>
                </w:tcPr>
                <w:p w14:paraId="482D37AE">
                  <w:pPr>
                    <w:jc w:val="center"/>
                    <w:rPr>
                      <w:color w:val="auto"/>
                      <w:kern w:val="0"/>
                      <w:szCs w:val="21"/>
                      <w:lang w:bidi="ar"/>
                    </w:rPr>
                  </w:pPr>
                  <w:r>
                    <w:rPr>
                      <w:color w:val="auto"/>
                      <w:szCs w:val="21"/>
                    </w:rPr>
                    <w:t>武水韶关市长来-廊田镇控制单元</w:t>
                  </w:r>
                </w:p>
              </w:tc>
              <w:tc>
                <w:tcPr>
                  <w:tcW w:w="1621" w:type="pct"/>
                  <w:gridSpan w:val="3"/>
                  <w:tcBorders>
                    <w:tl2br w:val="nil"/>
                    <w:tr2bl w:val="nil"/>
                  </w:tcBorders>
                  <w:vAlign w:val="center"/>
                </w:tcPr>
                <w:p w14:paraId="09BDEFEC">
                  <w:pPr>
                    <w:jc w:val="center"/>
                    <w:rPr>
                      <w:color w:val="auto"/>
                      <w:szCs w:val="21"/>
                    </w:rPr>
                  </w:pPr>
                  <w:r>
                    <w:rPr>
                      <w:color w:val="auto"/>
                      <w:szCs w:val="21"/>
                    </w:rPr>
                    <w:t>水环境一般管控区</w:t>
                  </w:r>
                </w:p>
              </w:tc>
            </w:tr>
            <w:tr w14:paraId="522D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4DD5C69A">
                  <w:pPr>
                    <w:widowControl/>
                    <w:jc w:val="center"/>
                    <w:rPr>
                      <w:color w:val="auto"/>
                      <w:kern w:val="0"/>
                      <w:szCs w:val="21"/>
                      <w:lang w:bidi="ar"/>
                    </w:rPr>
                  </w:pPr>
                  <w:r>
                    <w:rPr>
                      <w:b/>
                      <w:bCs/>
                      <w:color w:val="auto"/>
                      <w:kern w:val="0"/>
                      <w:szCs w:val="21"/>
                      <w:lang w:bidi="ar"/>
                    </w:rPr>
                    <w:t>管控维度</w:t>
                  </w:r>
                </w:p>
              </w:tc>
              <w:tc>
                <w:tcPr>
                  <w:tcW w:w="2617" w:type="pct"/>
                  <w:tcBorders>
                    <w:tl2br w:val="nil"/>
                    <w:tr2bl w:val="nil"/>
                  </w:tcBorders>
                  <w:vAlign w:val="center"/>
                </w:tcPr>
                <w:p w14:paraId="1D30D126">
                  <w:pPr>
                    <w:widowControl/>
                    <w:jc w:val="center"/>
                    <w:rPr>
                      <w:color w:val="auto"/>
                      <w:kern w:val="0"/>
                      <w:szCs w:val="21"/>
                      <w:lang w:bidi="ar"/>
                    </w:rPr>
                  </w:pPr>
                  <w:r>
                    <w:rPr>
                      <w:b/>
                      <w:bCs/>
                      <w:color w:val="auto"/>
                      <w:kern w:val="0"/>
                      <w:szCs w:val="21"/>
                      <w:lang w:bidi="ar"/>
                    </w:rPr>
                    <w:t>管控要求</w:t>
                  </w:r>
                </w:p>
              </w:tc>
              <w:tc>
                <w:tcPr>
                  <w:tcW w:w="1319" w:type="pct"/>
                  <w:tcBorders>
                    <w:tl2br w:val="nil"/>
                    <w:tr2bl w:val="nil"/>
                  </w:tcBorders>
                  <w:vAlign w:val="center"/>
                </w:tcPr>
                <w:p w14:paraId="74D4520E">
                  <w:pPr>
                    <w:widowControl/>
                    <w:jc w:val="center"/>
                    <w:rPr>
                      <w:color w:val="auto"/>
                      <w:szCs w:val="21"/>
                    </w:rPr>
                  </w:pPr>
                  <w:r>
                    <w:rPr>
                      <w:b/>
                      <w:bCs/>
                      <w:color w:val="auto"/>
                      <w:kern w:val="0"/>
                      <w:szCs w:val="21"/>
                      <w:lang w:bidi="ar"/>
                    </w:rPr>
                    <w:t>项目情况</w:t>
                  </w:r>
                </w:p>
              </w:tc>
              <w:tc>
                <w:tcPr>
                  <w:tcW w:w="302" w:type="pct"/>
                  <w:gridSpan w:val="2"/>
                  <w:tcBorders>
                    <w:tl2br w:val="nil"/>
                    <w:tr2bl w:val="nil"/>
                  </w:tcBorders>
                  <w:vAlign w:val="center"/>
                </w:tcPr>
                <w:p w14:paraId="105CC638">
                  <w:pPr>
                    <w:jc w:val="center"/>
                    <w:rPr>
                      <w:color w:val="auto"/>
                      <w:szCs w:val="21"/>
                    </w:rPr>
                  </w:pPr>
                  <w:r>
                    <w:rPr>
                      <w:b/>
                      <w:bCs/>
                      <w:color w:val="auto"/>
                      <w:szCs w:val="21"/>
                    </w:rPr>
                    <w:t>相符性</w:t>
                  </w:r>
                </w:p>
              </w:tc>
            </w:tr>
            <w:tr w14:paraId="1205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26110645">
                  <w:pPr>
                    <w:ind w:right="76" w:rightChars="36"/>
                    <w:jc w:val="center"/>
                    <w:rPr>
                      <w:color w:val="auto"/>
                      <w:kern w:val="0"/>
                      <w:szCs w:val="21"/>
                      <w:lang w:bidi="ar"/>
                    </w:rPr>
                  </w:pPr>
                  <w:r>
                    <w:rPr>
                      <w:color w:val="auto"/>
                      <w:szCs w:val="21"/>
                    </w:rPr>
                    <w:t>区域布局管控</w:t>
                  </w:r>
                </w:p>
              </w:tc>
              <w:tc>
                <w:tcPr>
                  <w:tcW w:w="2617" w:type="pct"/>
                  <w:tcBorders>
                    <w:tl2br w:val="nil"/>
                    <w:tr2bl w:val="nil"/>
                  </w:tcBorders>
                  <w:vAlign w:val="center"/>
                </w:tcPr>
                <w:p w14:paraId="762A5742">
                  <w:pPr>
                    <w:jc w:val="center"/>
                    <w:rPr>
                      <w:color w:val="auto"/>
                      <w:kern w:val="0"/>
                      <w:szCs w:val="21"/>
                      <w:lang w:bidi="ar"/>
                    </w:rPr>
                  </w:pPr>
                  <w:r>
                    <w:rPr>
                      <w:color w:val="auto"/>
                      <w:szCs w:val="21"/>
                    </w:rPr>
                    <w:t>严格执行畜禽养殖禁养区管理要求，畜禽养殖禁养区内严禁建设规模化畜禽养殖场和规模化畜禽养殖小区，禁养区外的养殖场应配套污染防治设施</w:t>
                  </w:r>
                </w:p>
              </w:tc>
              <w:tc>
                <w:tcPr>
                  <w:tcW w:w="1319" w:type="pct"/>
                  <w:tcBorders>
                    <w:tl2br w:val="nil"/>
                    <w:tr2bl w:val="nil"/>
                  </w:tcBorders>
                  <w:vAlign w:val="center"/>
                </w:tcPr>
                <w:p w14:paraId="51628925">
                  <w:pPr>
                    <w:jc w:val="center"/>
                    <w:rPr>
                      <w:color w:val="auto"/>
                      <w:szCs w:val="21"/>
                    </w:rPr>
                  </w:pPr>
                  <w:r>
                    <w:rPr>
                      <w:color w:val="auto"/>
                      <w:szCs w:val="21"/>
                    </w:rPr>
                    <w:t>本项目不涉及畜禽</w:t>
                  </w:r>
                </w:p>
                <w:p w14:paraId="4C34282F">
                  <w:pPr>
                    <w:jc w:val="center"/>
                    <w:rPr>
                      <w:color w:val="auto"/>
                      <w:szCs w:val="21"/>
                    </w:rPr>
                  </w:pPr>
                  <w:r>
                    <w:rPr>
                      <w:color w:val="auto"/>
                      <w:szCs w:val="21"/>
                    </w:rPr>
                    <w:t>养殖。</w:t>
                  </w:r>
                </w:p>
              </w:tc>
              <w:tc>
                <w:tcPr>
                  <w:tcW w:w="302" w:type="pct"/>
                  <w:gridSpan w:val="2"/>
                  <w:tcBorders>
                    <w:tl2br w:val="nil"/>
                    <w:tr2bl w:val="nil"/>
                  </w:tcBorders>
                  <w:vAlign w:val="center"/>
                </w:tcPr>
                <w:p w14:paraId="07F66174">
                  <w:pPr>
                    <w:jc w:val="center"/>
                    <w:rPr>
                      <w:color w:val="auto"/>
                      <w:szCs w:val="21"/>
                    </w:rPr>
                  </w:pPr>
                  <w:r>
                    <w:rPr>
                      <w:color w:val="auto"/>
                      <w:szCs w:val="21"/>
                    </w:rPr>
                    <w:t>符合</w:t>
                  </w:r>
                </w:p>
              </w:tc>
            </w:tr>
            <w:tr w14:paraId="17D3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71398954">
                  <w:pPr>
                    <w:ind w:right="76" w:rightChars="36"/>
                    <w:jc w:val="center"/>
                    <w:rPr>
                      <w:color w:val="auto"/>
                      <w:szCs w:val="21"/>
                    </w:rPr>
                  </w:pPr>
                  <w:r>
                    <w:rPr>
                      <w:color w:val="auto"/>
                      <w:szCs w:val="21"/>
                    </w:rPr>
                    <w:t>环境风险防控</w:t>
                  </w:r>
                </w:p>
              </w:tc>
              <w:tc>
                <w:tcPr>
                  <w:tcW w:w="2617" w:type="pct"/>
                  <w:tcBorders>
                    <w:tl2br w:val="nil"/>
                    <w:tr2bl w:val="nil"/>
                  </w:tcBorders>
                  <w:vAlign w:val="center"/>
                </w:tcPr>
                <w:p w14:paraId="47563D26">
                  <w:pPr>
                    <w:jc w:val="center"/>
                    <w:rPr>
                      <w:color w:val="auto"/>
                      <w:szCs w:val="21"/>
                    </w:rPr>
                  </w:pPr>
                  <w:r>
                    <w:rPr>
                      <w:color w:val="auto"/>
                      <w:szCs w:val="21"/>
                    </w:rPr>
                    <w:t>集中式污水处理厂应采取有效措施，防止事故废水直接排入水体</w:t>
                  </w:r>
                </w:p>
              </w:tc>
              <w:tc>
                <w:tcPr>
                  <w:tcW w:w="1319" w:type="pct"/>
                  <w:tcBorders>
                    <w:tl2br w:val="nil"/>
                    <w:tr2bl w:val="nil"/>
                  </w:tcBorders>
                  <w:vAlign w:val="center"/>
                </w:tcPr>
                <w:p w14:paraId="5274A85B">
                  <w:pPr>
                    <w:jc w:val="center"/>
                    <w:rPr>
                      <w:color w:val="auto"/>
                      <w:szCs w:val="21"/>
                    </w:rPr>
                  </w:pPr>
                  <w:r>
                    <w:rPr>
                      <w:color w:val="auto"/>
                      <w:szCs w:val="21"/>
                    </w:rPr>
                    <w:t>本项目不属于集中式污水处理厂建设，依托的园区污水处理厂设有应急措施，防止事故废水直接排入水体。</w:t>
                  </w:r>
                </w:p>
              </w:tc>
              <w:tc>
                <w:tcPr>
                  <w:tcW w:w="302" w:type="pct"/>
                  <w:gridSpan w:val="2"/>
                  <w:tcBorders>
                    <w:tl2br w:val="nil"/>
                    <w:tr2bl w:val="nil"/>
                  </w:tcBorders>
                  <w:vAlign w:val="center"/>
                </w:tcPr>
                <w:p w14:paraId="606B84D2">
                  <w:pPr>
                    <w:jc w:val="center"/>
                    <w:rPr>
                      <w:color w:val="auto"/>
                      <w:szCs w:val="21"/>
                    </w:rPr>
                  </w:pPr>
                  <w:r>
                    <w:rPr>
                      <w:color w:val="auto"/>
                      <w:szCs w:val="21"/>
                    </w:rPr>
                    <w:t>符合</w:t>
                  </w:r>
                </w:p>
              </w:tc>
            </w:tr>
            <w:tr w14:paraId="086C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22B14992">
                  <w:pPr>
                    <w:widowControl/>
                    <w:jc w:val="center"/>
                    <w:rPr>
                      <w:color w:val="auto"/>
                      <w:szCs w:val="21"/>
                    </w:rPr>
                  </w:pPr>
                  <w:r>
                    <w:rPr>
                      <w:b/>
                      <w:bCs/>
                      <w:color w:val="auto"/>
                      <w:kern w:val="0"/>
                      <w:szCs w:val="21"/>
                      <w:lang w:bidi="ar"/>
                    </w:rPr>
                    <w:t>环境管控单元编码</w:t>
                  </w:r>
                </w:p>
              </w:tc>
              <w:tc>
                <w:tcPr>
                  <w:tcW w:w="2617" w:type="pct"/>
                  <w:tcBorders>
                    <w:tl2br w:val="nil"/>
                    <w:tr2bl w:val="nil"/>
                  </w:tcBorders>
                  <w:vAlign w:val="center"/>
                </w:tcPr>
                <w:p w14:paraId="066033E5">
                  <w:pPr>
                    <w:widowControl/>
                    <w:jc w:val="center"/>
                    <w:rPr>
                      <w:color w:val="auto"/>
                      <w:szCs w:val="21"/>
                    </w:rPr>
                  </w:pPr>
                  <w:r>
                    <w:rPr>
                      <w:b/>
                      <w:bCs/>
                      <w:color w:val="auto"/>
                      <w:kern w:val="0"/>
                      <w:szCs w:val="21"/>
                      <w:lang w:bidi="ar"/>
                    </w:rPr>
                    <w:t>环境管控单元名称</w:t>
                  </w:r>
                </w:p>
              </w:tc>
              <w:tc>
                <w:tcPr>
                  <w:tcW w:w="1621" w:type="pct"/>
                  <w:gridSpan w:val="3"/>
                  <w:tcBorders>
                    <w:tl2br w:val="nil"/>
                    <w:tr2bl w:val="nil"/>
                  </w:tcBorders>
                  <w:vAlign w:val="center"/>
                </w:tcPr>
                <w:p w14:paraId="33B3811A">
                  <w:pPr>
                    <w:widowControl/>
                    <w:jc w:val="center"/>
                    <w:rPr>
                      <w:color w:val="auto"/>
                      <w:szCs w:val="21"/>
                    </w:rPr>
                  </w:pPr>
                  <w:r>
                    <w:rPr>
                      <w:b/>
                      <w:bCs/>
                      <w:color w:val="auto"/>
                      <w:kern w:val="0"/>
                      <w:szCs w:val="21"/>
                      <w:lang w:bidi="ar"/>
                    </w:rPr>
                    <w:t>管控单元分类</w:t>
                  </w:r>
                </w:p>
              </w:tc>
            </w:tr>
            <w:tr w14:paraId="0E0C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4AB7228D">
                  <w:pPr>
                    <w:ind w:right="76" w:rightChars="36"/>
                    <w:jc w:val="center"/>
                    <w:rPr>
                      <w:color w:val="auto"/>
                      <w:szCs w:val="21"/>
                    </w:rPr>
                  </w:pPr>
                  <w:r>
                    <w:rPr>
                      <w:color w:val="auto"/>
                      <w:szCs w:val="21"/>
                    </w:rPr>
                    <w:t>YS4402812310002</w:t>
                  </w:r>
                </w:p>
              </w:tc>
              <w:tc>
                <w:tcPr>
                  <w:tcW w:w="2617" w:type="pct"/>
                  <w:tcBorders>
                    <w:tl2br w:val="nil"/>
                    <w:tr2bl w:val="nil"/>
                  </w:tcBorders>
                  <w:vAlign w:val="center"/>
                </w:tcPr>
                <w:p w14:paraId="6EB56159">
                  <w:pPr>
                    <w:jc w:val="center"/>
                    <w:rPr>
                      <w:color w:val="auto"/>
                      <w:szCs w:val="21"/>
                    </w:rPr>
                  </w:pPr>
                  <w:r>
                    <w:rPr>
                      <w:color w:val="auto"/>
                      <w:szCs w:val="21"/>
                    </w:rPr>
                    <w:t>大气环境高排放重点管控区</w:t>
                  </w:r>
                </w:p>
              </w:tc>
              <w:tc>
                <w:tcPr>
                  <w:tcW w:w="1621" w:type="pct"/>
                  <w:gridSpan w:val="3"/>
                  <w:tcBorders>
                    <w:tl2br w:val="nil"/>
                    <w:tr2bl w:val="nil"/>
                  </w:tcBorders>
                  <w:vAlign w:val="center"/>
                </w:tcPr>
                <w:p w14:paraId="3F648346">
                  <w:pPr>
                    <w:jc w:val="center"/>
                    <w:rPr>
                      <w:color w:val="auto"/>
                      <w:szCs w:val="21"/>
                    </w:rPr>
                  </w:pPr>
                  <w:r>
                    <w:rPr>
                      <w:color w:val="auto"/>
                      <w:szCs w:val="21"/>
                    </w:rPr>
                    <w:t>重点管控区</w:t>
                  </w:r>
                </w:p>
              </w:tc>
            </w:tr>
            <w:tr w14:paraId="22E7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234585E9">
                  <w:pPr>
                    <w:widowControl/>
                    <w:jc w:val="center"/>
                    <w:rPr>
                      <w:color w:val="auto"/>
                      <w:szCs w:val="21"/>
                    </w:rPr>
                  </w:pPr>
                  <w:r>
                    <w:rPr>
                      <w:b/>
                      <w:bCs/>
                      <w:color w:val="auto"/>
                      <w:kern w:val="0"/>
                      <w:szCs w:val="21"/>
                      <w:lang w:bidi="ar"/>
                    </w:rPr>
                    <w:t>管控维度</w:t>
                  </w:r>
                </w:p>
              </w:tc>
              <w:tc>
                <w:tcPr>
                  <w:tcW w:w="2617" w:type="pct"/>
                  <w:tcBorders>
                    <w:tl2br w:val="nil"/>
                    <w:tr2bl w:val="nil"/>
                  </w:tcBorders>
                  <w:vAlign w:val="center"/>
                </w:tcPr>
                <w:p w14:paraId="3D2EFD0F">
                  <w:pPr>
                    <w:widowControl/>
                    <w:jc w:val="center"/>
                    <w:rPr>
                      <w:color w:val="auto"/>
                      <w:szCs w:val="21"/>
                    </w:rPr>
                  </w:pPr>
                  <w:r>
                    <w:rPr>
                      <w:b/>
                      <w:bCs/>
                      <w:color w:val="auto"/>
                      <w:kern w:val="0"/>
                      <w:szCs w:val="21"/>
                      <w:lang w:bidi="ar"/>
                    </w:rPr>
                    <w:t>管控要求</w:t>
                  </w:r>
                </w:p>
              </w:tc>
              <w:tc>
                <w:tcPr>
                  <w:tcW w:w="1336" w:type="pct"/>
                  <w:gridSpan w:val="2"/>
                  <w:tcBorders>
                    <w:tl2br w:val="nil"/>
                    <w:tr2bl w:val="nil"/>
                  </w:tcBorders>
                  <w:vAlign w:val="center"/>
                </w:tcPr>
                <w:p w14:paraId="4EAEF1E1">
                  <w:pPr>
                    <w:widowControl/>
                    <w:jc w:val="center"/>
                    <w:rPr>
                      <w:color w:val="auto"/>
                      <w:szCs w:val="21"/>
                    </w:rPr>
                  </w:pPr>
                  <w:r>
                    <w:rPr>
                      <w:b/>
                      <w:bCs/>
                      <w:color w:val="auto"/>
                      <w:kern w:val="0"/>
                      <w:szCs w:val="21"/>
                      <w:lang w:bidi="ar"/>
                    </w:rPr>
                    <w:t>项目情况</w:t>
                  </w:r>
                </w:p>
              </w:tc>
              <w:tc>
                <w:tcPr>
                  <w:tcW w:w="284" w:type="pct"/>
                  <w:tcBorders>
                    <w:tl2br w:val="nil"/>
                    <w:tr2bl w:val="nil"/>
                  </w:tcBorders>
                  <w:vAlign w:val="center"/>
                </w:tcPr>
                <w:p w14:paraId="28821EE1">
                  <w:pPr>
                    <w:jc w:val="center"/>
                    <w:rPr>
                      <w:color w:val="auto"/>
                      <w:szCs w:val="21"/>
                    </w:rPr>
                  </w:pPr>
                  <w:r>
                    <w:rPr>
                      <w:b/>
                      <w:bCs/>
                      <w:color w:val="auto"/>
                      <w:szCs w:val="21"/>
                    </w:rPr>
                    <w:t>相符性</w:t>
                  </w:r>
                </w:p>
              </w:tc>
            </w:tr>
            <w:tr w14:paraId="55CB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22177AA4">
                  <w:pPr>
                    <w:widowControl/>
                    <w:jc w:val="center"/>
                    <w:rPr>
                      <w:b/>
                      <w:bCs/>
                      <w:color w:val="auto"/>
                      <w:kern w:val="0"/>
                      <w:szCs w:val="21"/>
                      <w:lang w:bidi="ar"/>
                    </w:rPr>
                  </w:pPr>
                  <w:r>
                    <w:rPr>
                      <w:color w:val="auto"/>
                      <w:szCs w:val="21"/>
                    </w:rPr>
                    <w:t>区域布局管控</w:t>
                  </w:r>
                </w:p>
              </w:tc>
              <w:tc>
                <w:tcPr>
                  <w:tcW w:w="2617" w:type="pct"/>
                  <w:tcBorders>
                    <w:tl2br w:val="nil"/>
                    <w:tr2bl w:val="nil"/>
                  </w:tcBorders>
                  <w:vAlign w:val="center"/>
                </w:tcPr>
                <w:p w14:paraId="79C8B54C">
                  <w:pPr>
                    <w:widowControl/>
                    <w:rPr>
                      <w:color w:val="auto"/>
                      <w:szCs w:val="21"/>
                    </w:rPr>
                  </w:pPr>
                  <w:r>
                    <w:rPr>
                      <w:color w:val="auto"/>
                      <w:szCs w:val="21"/>
                    </w:rPr>
                    <w:t>1-1.引导工业项目科学布局，新建项目原则上入园管理，推动现有工业项目集中进园。</w:t>
                  </w:r>
                </w:p>
                <w:p w14:paraId="23E02F01">
                  <w:pPr>
                    <w:widowControl/>
                    <w:rPr>
                      <w:color w:val="auto"/>
                      <w:szCs w:val="21"/>
                    </w:rPr>
                  </w:pPr>
                  <w:r>
                    <w:rPr>
                      <w:color w:val="auto"/>
                      <w:szCs w:val="21"/>
                    </w:rPr>
                    <w:t>1-2.严格控制涉重金属及有毒有害污染物排放的项目建设，新建、改建、扩建涉重金属重点行业的项目应明确重金属污染物总量来源。</w:t>
                  </w:r>
                </w:p>
                <w:p w14:paraId="6A77FFB8">
                  <w:pPr>
                    <w:widowControl/>
                    <w:rPr>
                      <w:color w:val="auto"/>
                      <w:szCs w:val="21"/>
                    </w:rPr>
                  </w:pPr>
                  <w:r>
                    <w:rPr>
                      <w:color w:val="auto"/>
                      <w:szCs w:val="21"/>
                    </w:rPr>
                    <w:t>1-3.严格限制新建除热电联产以外的煤电项目；严格限制新（改、扩）建钢铁、建材（水泥、平板玻璃）、焦化、有色金属冶炼、石化等高污染行业项目。</w:t>
                  </w:r>
                </w:p>
                <w:p w14:paraId="189A2531">
                  <w:pPr>
                    <w:widowControl/>
                    <w:rPr>
                      <w:b/>
                      <w:bCs/>
                      <w:color w:val="auto"/>
                      <w:kern w:val="0"/>
                      <w:szCs w:val="21"/>
                      <w:lang w:bidi="ar"/>
                    </w:rPr>
                  </w:pPr>
                  <w:r>
                    <w:rPr>
                      <w:color w:val="auto"/>
                      <w:szCs w:val="21"/>
                    </w:rPr>
                    <w:t>1-4.禁止违法露天焚烧秸秆等产生烟尘污染物质以及焚烧垃圾等产生有毒有害烟尘、恶臭气体物质的行为。</w:t>
                  </w:r>
                </w:p>
              </w:tc>
              <w:tc>
                <w:tcPr>
                  <w:tcW w:w="1336" w:type="pct"/>
                  <w:gridSpan w:val="2"/>
                  <w:tcBorders>
                    <w:tl2br w:val="nil"/>
                    <w:tr2bl w:val="nil"/>
                  </w:tcBorders>
                  <w:vAlign w:val="center"/>
                </w:tcPr>
                <w:p w14:paraId="6C917921">
                  <w:pPr>
                    <w:widowControl/>
                    <w:jc w:val="left"/>
                    <w:rPr>
                      <w:color w:val="auto"/>
                      <w:szCs w:val="21"/>
                    </w:rPr>
                  </w:pPr>
                  <w:r>
                    <w:rPr>
                      <w:color w:val="auto"/>
                      <w:szCs w:val="21"/>
                    </w:rPr>
                    <w:t>1-1.本项目选址位于乐昌产业转移工业园，属于入园管理项目；</w:t>
                  </w:r>
                </w:p>
                <w:p w14:paraId="23E0C6E6">
                  <w:pPr>
                    <w:widowControl/>
                    <w:jc w:val="left"/>
                    <w:rPr>
                      <w:color w:val="auto"/>
                      <w:szCs w:val="21"/>
                    </w:rPr>
                  </w:pPr>
                  <w:r>
                    <w:rPr>
                      <w:color w:val="auto"/>
                      <w:szCs w:val="21"/>
                    </w:rPr>
                    <w:t>1-2.本项目不涉及重金属及有毒有害污染物排放。</w:t>
                  </w:r>
                </w:p>
                <w:p w14:paraId="013B2C37">
                  <w:pPr>
                    <w:pStyle w:val="46"/>
                    <w:jc w:val="left"/>
                    <w:textAlignment w:val="auto"/>
                    <w:rPr>
                      <w:rFonts w:hint="default" w:ascii="Times New Roman" w:hAnsi="Times New Roman"/>
                      <w:color w:val="auto"/>
                      <w:sz w:val="21"/>
                      <w:szCs w:val="21"/>
                    </w:rPr>
                  </w:pPr>
                  <w:r>
                    <w:rPr>
                      <w:rFonts w:hint="default" w:ascii="Times New Roman" w:hAnsi="Times New Roman"/>
                      <w:color w:val="auto"/>
                      <w:sz w:val="21"/>
                      <w:szCs w:val="21"/>
                    </w:rPr>
                    <w:t>1-3.本项目不涉及。</w:t>
                  </w:r>
                </w:p>
                <w:p w14:paraId="561BF878">
                  <w:pPr>
                    <w:pStyle w:val="46"/>
                    <w:jc w:val="left"/>
                    <w:textAlignment w:val="auto"/>
                    <w:rPr>
                      <w:rFonts w:hint="default" w:ascii="Times New Roman" w:hAnsi="Times New Roman"/>
                      <w:color w:val="auto"/>
                    </w:rPr>
                  </w:pPr>
                  <w:r>
                    <w:rPr>
                      <w:rFonts w:hint="default" w:ascii="Times New Roman" w:hAnsi="Times New Roman"/>
                      <w:color w:val="auto"/>
                      <w:sz w:val="21"/>
                      <w:szCs w:val="21"/>
                    </w:rPr>
                    <w:t>1-4.本项目不涉及。</w:t>
                  </w:r>
                </w:p>
              </w:tc>
              <w:tc>
                <w:tcPr>
                  <w:tcW w:w="284" w:type="pct"/>
                  <w:tcBorders>
                    <w:tl2br w:val="nil"/>
                    <w:tr2bl w:val="nil"/>
                  </w:tcBorders>
                  <w:vAlign w:val="center"/>
                </w:tcPr>
                <w:p w14:paraId="0A18002B">
                  <w:pPr>
                    <w:jc w:val="center"/>
                    <w:rPr>
                      <w:b/>
                      <w:bCs/>
                      <w:color w:val="auto"/>
                      <w:szCs w:val="21"/>
                    </w:rPr>
                  </w:pPr>
                  <w:r>
                    <w:rPr>
                      <w:color w:val="auto"/>
                      <w:szCs w:val="21"/>
                    </w:rPr>
                    <w:t>符合</w:t>
                  </w:r>
                </w:p>
              </w:tc>
            </w:tr>
            <w:tr w14:paraId="21BB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703520E7">
                  <w:pPr>
                    <w:widowControl/>
                    <w:jc w:val="center"/>
                    <w:rPr>
                      <w:color w:val="auto"/>
                      <w:szCs w:val="21"/>
                    </w:rPr>
                  </w:pPr>
                  <w:r>
                    <w:rPr>
                      <w:color w:val="auto"/>
                      <w:szCs w:val="21"/>
                    </w:rPr>
                    <w:t>能源资源利用</w:t>
                  </w:r>
                </w:p>
              </w:tc>
              <w:tc>
                <w:tcPr>
                  <w:tcW w:w="2617" w:type="pct"/>
                  <w:tcBorders>
                    <w:tl2br w:val="nil"/>
                    <w:tr2bl w:val="nil"/>
                  </w:tcBorders>
                  <w:vAlign w:val="center"/>
                </w:tcPr>
                <w:p w14:paraId="413C32BB">
                  <w:pPr>
                    <w:widowControl/>
                    <w:rPr>
                      <w:color w:val="auto"/>
                      <w:szCs w:val="21"/>
                    </w:rPr>
                  </w:pPr>
                  <w:r>
                    <w:rPr>
                      <w:color w:val="auto"/>
                      <w:szCs w:val="21"/>
                    </w:rPr>
                    <w:t>4-1.推广节能技术，加快发展绿色货运与现代物流。</w:t>
                  </w:r>
                </w:p>
                <w:p w14:paraId="3D7310AB">
                  <w:pPr>
                    <w:widowControl/>
                    <w:rPr>
                      <w:color w:val="auto"/>
                      <w:szCs w:val="21"/>
                    </w:rPr>
                  </w:pPr>
                  <w:r>
                    <w:rPr>
                      <w:color w:val="auto"/>
                      <w:szCs w:val="21"/>
                    </w:rPr>
                    <w:t>4-2.禁燃区内，禁止新建、扩建燃用高污染燃料的设施；已有使用高污染燃料设施改用清洁能源。</w:t>
                  </w:r>
                </w:p>
                <w:p w14:paraId="025336B5">
                  <w:pPr>
                    <w:widowControl/>
                    <w:rPr>
                      <w:color w:val="auto"/>
                      <w:szCs w:val="21"/>
                    </w:rPr>
                  </w:pPr>
                  <w:r>
                    <w:rPr>
                      <w:color w:val="auto"/>
                      <w:szCs w:val="21"/>
                    </w:rPr>
                    <w:t>4-3.科学实施能源消费总量和强度“双控”，新建高能耗项目单位产品(产值)能耗达到国际国内先进水平。</w:t>
                  </w:r>
                </w:p>
              </w:tc>
              <w:tc>
                <w:tcPr>
                  <w:tcW w:w="1336" w:type="pct"/>
                  <w:gridSpan w:val="2"/>
                  <w:tcBorders>
                    <w:tl2br w:val="nil"/>
                    <w:tr2bl w:val="nil"/>
                  </w:tcBorders>
                  <w:vAlign w:val="center"/>
                </w:tcPr>
                <w:p w14:paraId="4D667546">
                  <w:pPr>
                    <w:widowControl/>
                    <w:jc w:val="center"/>
                    <w:rPr>
                      <w:b/>
                      <w:bCs/>
                      <w:color w:val="auto"/>
                      <w:kern w:val="0"/>
                      <w:szCs w:val="21"/>
                      <w:lang w:bidi="ar"/>
                    </w:rPr>
                  </w:pPr>
                  <w:r>
                    <w:rPr>
                      <w:color w:val="auto"/>
                      <w:szCs w:val="21"/>
                    </w:rPr>
                    <w:t>本项目使用能源为电能，不涉及高污染燃料且项目不属于高能耗类型项目</w:t>
                  </w:r>
                </w:p>
              </w:tc>
              <w:tc>
                <w:tcPr>
                  <w:tcW w:w="284" w:type="pct"/>
                  <w:tcBorders>
                    <w:tl2br w:val="nil"/>
                    <w:tr2bl w:val="nil"/>
                  </w:tcBorders>
                  <w:vAlign w:val="center"/>
                </w:tcPr>
                <w:p w14:paraId="6EADEF1F">
                  <w:pPr>
                    <w:jc w:val="center"/>
                    <w:rPr>
                      <w:b/>
                      <w:bCs/>
                      <w:color w:val="auto"/>
                      <w:szCs w:val="21"/>
                    </w:rPr>
                  </w:pPr>
                  <w:r>
                    <w:rPr>
                      <w:color w:val="auto"/>
                      <w:szCs w:val="21"/>
                    </w:rPr>
                    <w:t>符合</w:t>
                  </w:r>
                </w:p>
              </w:tc>
            </w:tr>
            <w:tr w14:paraId="11F7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2ECFED26">
                  <w:pPr>
                    <w:widowControl/>
                    <w:jc w:val="center"/>
                    <w:rPr>
                      <w:color w:val="auto"/>
                      <w:szCs w:val="21"/>
                    </w:rPr>
                  </w:pPr>
                  <w:r>
                    <w:rPr>
                      <w:color w:val="auto"/>
                      <w:szCs w:val="21"/>
                    </w:rPr>
                    <w:t>污染物排放管控</w:t>
                  </w:r>
                </w:p>
              </w:tc>
              <w:tc>
                <w:tcPr>
                  <w:tcW w:w="2617" w:type="pct"/>
                  <w:tcBorders>
                    <w:tl2br w:val="nil"/>
                    <w:tr2bl w:val="nil"/>
                  </w:tcBorders>
                  <w:vAlign w:val="center"/>
                </w:tcPr>
                <w:p w14:paraId="79C9A6F7">
                  <w:pPr>
                    <w:widowControl/>
                    <w:rPr>
                      <w:color w:val="auto"/>
                      <w:szCs w:val="21"/>
                    </w:rPr>
                  </w:pPr>
                  <w:r>
                    <w:rPr>
                      <w:color w:val="auto"/>
                      <w:szCs w:val="21"/>
                    </w:rPr>
                    <w:t>2-1.园区各项污染物排放总量不得突破园区规划环评核定的污染物排放总量管控要求。</w:t>
                  </w:r>
                </w:p>
                <w:p w14:paraId="48173B9B">
                  <w:pPr>
                    <w:widowControl/>
                    <w:rPr>
                      <w:color w:val="auto"/>
                      <w:szCs w:val="21"/>
                    </w:rPr>
                  </w:pPr>
                  <w:r>
                    <w:rPr>
                      <w:color w:val="auto"/>
                      <w:szCs w:val="21"/>
                    </w:rPr>
                    <w:t>2-2.实行重点重金属污染物（铅、砷、汞、镉、铬）等量替代。严格控制涉重金属及有毒有害污染物排放的项目建设，新建、改建、扩建涉重金属重点行业的项目应明确重金属污染物总量来源。</w:t>
                  </w:r>
                </w:p>
                <w:p w14:paraId="3E56761C">
                  <w:pPr>
                    <w:widowControl/>
                    <w:rPr>
                      <w:color w:val="auto"/>
                      <w:szCs w:val="21"/>
                    </w:rPr>
                  </w:pPr>
                  <w:r>
                    <w:rPr>
                      <w:color w:val="auto"/>
                      <w:szCs w:val="21"/>
                    </w:rPr>
                    <w:t>2-3.新建项目原则上实施氮氧化物、挥发性有机物排放量等量替代。</w:t>
                  </w:r>
                </w:p>
                <w:p w14:paraId="15FDF0FB">
                  <w:pPr>
                    <w:widowControl/>
                    <w:rPr>
                      <w:color w:val="auto"/>
                      <w:szCs w:val="21"/>
                    </w:rPr>
                  </w:pPr>
                  <w:r>
                    <w:rPr>
                      <w:color w:val="auto"/>
                      <w:szCs w:val="21"/>
                    </w:rPr>
                    <w:t>2-4.支持危险废物专业收集转运和利用处置单位建设区域性收集网点和贮存设施。</w:t>
                  </w:r>
                </w:p>
                <w:p w14:paraId="4A129ABC">
                  <w:pPr>
                    <w:widowControl/>
                    <w:rPr>
                      <w:color w:val="auto"/>
                      <w:szCs w:val="21"/>
                    </w:rPr>
                  </w:pPr>
                  <w:r>
                    <w:rPr>
                      <w:color w:val="auto"/>
                      <w:szCs w:val="21"/>
                    </w:rPr>
                    <w:t>2-5.积极实行集中供热，应尽快关停现有企业小锅炉。</w:t>
                  </w:r>
                </w:p>
              </w:tc>
              <w:tc>
                <w:tcPr>
                  <w:tcW w:w="1336" w:type="pct"/>
                  <w:gridSpan w:val="2"/>
                  <w:tcBorders>
                    <w:tl2br w:val="nil"/>
                    <w:tr2bl w:val="nil"/>
                  </w:tcBorders>
                  <w:vAlign w:val="center"/>
                </w:tcPr>
                <w:p w14:paraId="46C6F810">
                  <w:pPr>
                    <w:widowControl/>
                    <w:jc w:val="left"/>
                    <w:rPr>
                      <w:color w:val="auto"/>
                      <w:szCs w:val="21"/>
                    </w:rPr>
                  </w:pPr>
                  <w:r>
                    <w:rPr>
                      <w:color w:val="auto"/>
                      <w:szCs w:val="21"/>
                    </w:rPr>
                    <w:t>2-1.项目生产过程产生的挥发性有机物没有突破园区规划环评核定的污染物排放总量，需向韶关市生态环境局乐昌分局申请分配实行等量代替；</w:t>
                  </w:r>
                </w:p>
                <w:p w14:paraId="5A274884">
                  <w:pPr>
                    <w:widowControl/>
                    <w:jc w:val="left"/>
                    <w:rPr>
                      <w:color w:val="auto"/>
                      <w:szCs w:val="21"/>
                    </w:rPr>
                  </w:pPr>
                  <w:r>
                    <w:rPr>
                      <w:color w:val="auto"/>
                      <w:szCs w:val="21"/>
                    </w:rPr>
                    <w:t>2-2项目不涉及重金属污染物排放；</w:t>
                  </w:r>
                </w:p>
                <w:p w14:paraId="3015CD77">
                  <w:pPr>
                    <w:widowControl/>
                    <w:jc w:val="left"/>
                    <w:rPr>
                      <w:color w:val="auto"/>
                      <w:szCs w:val="21"/>
                    </w:rPr>
                  </w:pPr>
                  <w:r>
                    <w:rPr>
                      <w:color w:val="auto"/>
                      <w:szCs w:val="21"/>
                    </w:rPr>
                    <w:t>2-3、项目生产过程产生的挥发性有机物需向韶关市生态环境局乐昌分局申请分配实行等量代替；</w:t>
                  </w:r>
                </w:p>
                <w:p w14:paraId="4F781C15">
                  <w:pPr>
                    <w:widowControl/>
                    <w:jc w:val="left"/>
                    <w:rPr>
                      <w:color w:val="auto"/>
                      <w:szCs w:val="21"/>
                    </w:rPr>
                  </w:pPr>
                  <w:r>
                    <w:rPr>
                      <w:color w:val="auto"/>
                      <w:szCs w:val="21"/>
                    </w:rPr>
                    <w:t>2-4.本项目不涉及危险废物专业收集转运和利用处置。</w:t>
                  </w:r>
                </w:p>
                <w:p w14:paraId="4DDA20E7">
                  <w:pPr>
                    <w:widowControl/>
                    <w:jc w:val="left"/>
                    <w:rPr>
                      <w:color w:val="auto"/>
                      <w:szCs w:val="21"/>
                    </w:rPr>
                  </w:pPr>
                  <w:r>
                    <w:rPr>
                      <w:color w:val="auto"/>
                      <w:szCs w:val="21"/>
                    </w:rPr>
                    <w:t>2-5.本项目不设锅炉</w:t>
                  </w:r>
                </w:p>
              </w:tc>
              <w:tc>
                <w:tcPr>
                  <w:tcW w:w="284" w:type="pct"/>
                  <w:tcBorders>
                    <w:tl2br w:val="nil"/>
                    <w:tr2bl w:val="nil"/>
                  </w:tcBorders>
                  <w:vAlign w:val="center"/>
                </w:tcPr>
                <w:p w14:paraId="442D1E80">
                  <w:pPr>
                    <w:jc w:val="center"/>
                    <w:rPr>
                      <w:b/>
                      <w:bCs/>
                      <w:color w:val="auto"/>
                      <w:szCs w:val="21"/>
                    </w:rPr>
                  </w:pPr>
                  <w:r>
                    <w:rPr>
                      <w:color w:val="auto"/>
                      <w:szCs w:val="21"/>
                    </w:rPr>
                    <w:t>符合</w:t>
                  </w:r>
                </w:p>
              </w:tc>
            </w:tr>
            <w:tr w14:paraId="3913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7045A85A">
                  <w:pPr>
                    <w:widowControl/>
                    <w:jc w:val="center"/>
                    <w:rPr>
                      <w:color w:val="auto"/>
                      <w:szCs w:val="21"/>
                    </w:rPr>
                  </w:pPr>
                  <w:r>
                    <w:rPr>
                      <w:color w:val="auto"/>
                      <w:szCs w:val="21"/>
                    </w:rPr>
                    <w:t>环境风险防控</w:t>
                  </w:r>
                </w:p>
              </w:tc>
              <w:tc>
                <w:tcPr>
                  <w:tcW w:w="2617" w:type="pct"/>
                  <w:tcBorders>
                    <w:tl2br w:val="nil"/>
                    <w:tr2bl w:val="nil"/>
                  </w:tcBorders>
                  <w:vAlign w:val="center"/>
                </w:tcPr>
                <w:p w14:paraId="3B5874A4">
                  <w:pPr>
                    <w:widowControl/>
                    <w:rPr>
                      <w:color w:val="auto"/>
                      <w:szCs w:val="21"/>
                    </w:rPr>
                  </w:pPr>
                  <w:r>
                    <w:rPr>
                      <w:color w:val="auto"/>
                      <w:szCs w:val="21"/>
                    </w:rPr>
                    <w:t>4-1.集中式污水处理厂应采取有效措施，防止事故废水直接排入水体。</w:t>
                  </w:r>
                </w:p>
                <w:p w14:paraId="4B7F7971">
                  <w:pPr>
                    <w:widowControl/>
                    <w:rPr>
                      <w:color w:val="auto"/>
                      <w:szCs w:val="21"/>
                    </w:rPr>
                  </w:pPr>
                  <w:r>
                    <w:rPr>
                      <w:color w:val="auto"/>
                      <w:szCs w:val="21"/>
                    </w:rPr>
                    <w:t>4-2.有水环境污染风险的企事业单位，应当制定有关水污染事故的应急方案，做好应急准备，并定期进行演练，做好突发水污染事故应急处置和事后恢复等工作。有水环境污染风险的企事业单位，生产、储存危险化学品的企事业单位，应当采取措施，防止在应急处置过程中产生的消防废水、废液直接排入水体。</w:t>
                  </w:r>
                </w:p>
              </w:tc>
              <w:tc>
                <w:tcPr>
                  <w:tcW w:w="1336" w:type="pct"/>
                  <w:gridSpan w:val="2"/>
                  <w:tcBorders>
                    <w:tl2br w:val="nil"/>
                    <w:tr2bl w:val="nil"/>
                  </w:tcBorders>
                  <w:vAlign w:val="center"/>
                </w:tcPr>
                <w:p w14:paraId="7462B0ED">
                  <w:pPr>
                    <w:widowControl/>
                    <w:rPr>
                      <w:b/>
                      <w:bCs/>
                      <w:color w:val="auto"/>
                      <w:kern w:val="0"/>
                      <w:szCs w:val="21"/>
                      <w:lang w:bidi="ar"/>
                    </w:rPr>
                  </w:pPr>
                  <w:r>
                    <w:rPr>
                      <w:color w:val="auto"/>
                      <w:szCs w:val="21"/>
                    </w:rPr>
                    <w:t>项目制定了完善的环境风险防范与应急措施。</w:t>
                  </w:r>
                </w:p>
              </w:tc>
              <w:tc>
                <w:tcPr>
                  <w:tcW w:w="284" w:type="pct"/>
                  <w:tcBorders>
                    <w:tl2br w:val="nil"/>
                    <w:tr2bl w:val="nil"/>
                  </w:tcBorders>
                  <w:vAlign w:val="center"/>
                </w:tcPr>
                <w:p w14:paraId="092A5BE1">
                  <w:pPr>
                    <w:jc w:val="center"/>
                    <w:rPr>
                      <w:b/>
                      <w:bCs/>
                      <w:color w:val="auto"/>
                      <w:szCs w:val="21"/>
                    </w:rPr>
                  </w:pPr>
                  <w:r>
                    <w:rPr>
                      <w:color w:val="auto"/>
                      <w:szCs w:val="21"/>
                    </w:rPr>
                    <w:t>符合</w:t>
                  </w:r>
                </w:p>
              </w:tc>
            </w:tr>
            <w:tr w14:paraId="74CF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38D1BDD9">
                  <w:pPr>
                    <w:widowControl/>
                    <w:jc w:val="center"/>
                    <w:rPr>
                      <w:color w:val="auto"/>
                      <w:szCs w:val="21"/>
                    </w:rPr>
                  </w:pPr>
                  <w:r>
                    <w:rPr>
                      <w:b/>
                      <w:bCs/>
                      <w:color w:val="auto"/>
                      <w:kern w:val="0"/>
                      <w:szCs w:val="21"/>
                      <w:lang w:bidi="ar"/>
                    </w:rPr>
                    <w:t>环境管控单元编码</w:t>
                  </w:r>
                </w:p>
              </w:tc>
              <w:tc>
                <w:tcPr>
                  <w:tcW w:w="2617" w:type="pct"/>
                  <w:tcBorders>
                    <w:tl2br w:val="nil"/>
                    <w:tr2bl w:val="nil"/>
                  </w:tcBorders>
                  <w:vAlign w:val="center"/>
                </w:tcPr>
                <w:p w14:paraId="616CF0E4">
                  <w:pPr>
                    <w:widowControl/>
                    <w:jc w:val="center"/>
                    <w:rPr>
                      <w:color w:val="auto"/>
                      <w:szCs w:val="21"/>
                    </w:rPr>
                  </w:pPr>
                  <w:r>
                    <w:rPr>
                      <w:b/>
                      <w:bCs/>
                      <w:color w:val="auto"/>
                      <w:kern w:val="0"/>
                      <w:szCs w:val="21"/>
                      <w:lang w:bidi="ar"/>
                    </w:rPr>
                    <w:t>环境管控单元名称</w:t>
                  </w:r>
                </w:p>
              </w:tc>
              <w:tc>
                <w:tcPr>
                  <w:tcW w:w="1621" w:type="pct"/>
                  <w:gridSpan w:val="3"/>
                  <w:tcBorders>
                    <w:tl2br w:val="nil"/>
                    <w:tr2bl w:val="nil"/>
                  </w:tcBorders>
                  <w:vAlign w:val="center"/>
                </w:tcPr>
                <w:p w14:paraId="2B624A79">
                  <w:pPr>
                    <w:widowControl/>
                    <w:jc w:val="center"/>
                    <w:rPr>
                      <w:color w:val="auto"/>
                      <w:szCs w:val="21"/>
                    </w:rPr>
                  </w:pPr>
                  <w:r>
                    <w:rPr>
                      <w:b/>
                      <w:bCs/>
                      <w:color w:val="auto"/>
                      <w:kern w:val="0"/>
                      <w:szCs w:val="21"/>
                      <w:lang w:bidi="ar"/>
                    </w:rPr>
                    <w:t>管控单元分类</w:t>
                  </w:r>
                </w:p>
              </w:tc>
            </w:tr>
            <w:tr w14:paraId="296C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63718451">
                  <w:pPr>
                    <w:widowControl/>
                    <w:jc w:val="center"/>
                    <w:rPr>
                      <w:b/>
                      <w:bCs/>
                      <w:color w:val="auto"/>
                      <w:kern w:val="0"/>
                      <w:szCs w:val="21"/>
                      <w:lang w:bidi="ar"/>
                    </w:rPr>
                  </w:pPr>
                  <w:r>
                    <w:rPr>
                      <w:color w:val="auto"/>
                      <w:szCs w:val="21"/>
                    </w:rPr>
                    <w:t>YS4402812540001</w:t>
                  </w:r>
                </w:p>
              </w:tc>
              <w:tc>
                <w:tcPr>
                  <w:tcW w:w="2617" w:type="pct"/>
                  <w:tcBorders>
                    <w:tl2br w:val="nil"/>
                    <w:tr2bl w:val="nil"/>
                  </w:tcBorders>
                  <w:vAlign w:val="center"/>
                </w:tcPr>
                <w:p w14:paraId="14EE05F3">
                  <w:pPr>
                    <w:widowControl/>
                    <w:jc w:val="center"/>
                    <w:rPr>
                      <w:b/>
                      <w:bCs/>
                      <w:color w:val="auto"/>
                      <w:kern w:val="0"/>
                      <w:szCs w:val="21"/>
                      <w:lang w:bidi="ar"/>
                    </w:rPr>
                  </w:pPr>
                  <w:r>
                    <w:rPr>
                      <w:color w:val="auto"/>
                      <w:szCs w:val="21"/>
                    </w:rPr>
                    <w:t>乐昌市高污染燃料禁燃区</w:t>
                  </w:r>
                </w:p>
              </w:tc>
              <w:tc>
                <w:tcPr>
                  <w:tcW w:w="1621" w:type="pct"/>
                  <w:gridSpan w:val="3"/>
                  <w:tcBorders>
                    <w:tl2br w:val="nil"/>
                    <w:tr2bl w:val="nil"/>
                  </w:tcBorders>
                  <w:vAlign w:val="center"/>
                </w:tcPr>
                <w:p w14:paraId="0A66EBAF">
                  <w:pPr>
                    <w:widowControl/>
                    <w:jc w:val="center"/>
                    <w:rPr>
                      <w:b/>
                      <w:bCs/>
                      <w:color w:val="auto"/>
                      <w:kern w:val="0"/>
                      <w:szCs w:val="21"/>
                      <w:lang w:bidi="ar"/>
                    </w:rPr>
                  </w:pPr>
                  <w:r>
                    <w:rPr>
                      <w:color w:val="auto"/>
                      <w:szCs w:val="21"/>
                    </w:rPr>
                    <w:t>重点管控区</w:t>
                  </w:r>
                </w:p>
              </w:tc>
            </w:tr>
            <w:tr w14:paraId="71CF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3CA289E4">
                  <w:pPr>
                    <w:widowControl/>
                    <w:jc w:val="center"/>
                    <w:rPr>
                      <w:color w:val="auto"/>
                      <w:szCs w:val="21"/>
                    </w:rPr>
                  </w:pPr>
                  <w:r>
                    <w:rPr>
                      <w:b/>
                      <w:bCs/>
                      <w:color w:val="auto"/>
                      <w:kern w:val="0"/>
                      <w:szCs w:val="21"/>
                      <w:lang w:bidi="ar"/>
                    </w:rPr>
                    <w:t>管控维度</w:t>
                  </w:r>
                </w:p>
              </w:tc>
              <w:tc>
                <w:tcPr>
                  <w:tcW w:w="2617" w:type="pct"/>
                  <w:tcBorders>
                    <w:tl2br w:val="nil"/>
                    <w:tr2bl w:val="nil"/>
                  </w:tcBorders>
                  <w:vAlign w:val="center"/>
                </w:tcPr>
                <w:p w14:paraId="4290D50E">
                  <w:pPr>
                    <w:widowControl/>
                    <w:jc w:val="center"/>
                    <w:rPr>
                      <w:color w:val="auto"/>
                      <w:szCs w:val="21"/>
                    </w:rPr>
                  </w:pPr>
                  <w:r>
                    <w:rPr>
                      <w:b/>
                      <w:bCs/>
                      <w:color w:val="auto"/>
                      <w:kern w:val="0"/>
                      <w:szCs w:val="21"/>
                      <w:lang w:bidi="ar"/>
                    </w:rPr>
                    <w:t>管控要求</w:t>
                  </w:r>
                </w:p>
              </w:tc>
              <w:tc>
                <w:tcPr>
                  <w:tcW w:w="1336" w:type="pct"/>
                  <w:gridSpan w:val="2"/>
                  <w:tcBorders>
                    <w:tl2br w:val="nil"/>
                    <w:tr2bl w:val="nil"/>
                  </w:tcBorders>
                  <w:vAlign w:val="center"/>
                </w:tcPr>
                <w:p w14:paraId="494A6323">
                  <w:pPr>
                    <w:widowControl/>
                    <w:jc w:val="center"/>
                    <w:rPr>
                      <w:color w:val="auto"/>
                      <w:szCs w:val="21"/>
                    </w:rPr>
                  </w:pPr>
                  <w:r>
                    <w:rPr>
                      <w:b/>
                      <w:bCs/>
                      <w:color w:val="auto"/>
                      <w:kern w:val="0"/>
                      <w:szCs w:val="21"/>
                      <w:lang w:bidi="ar"/>
                    </w:rPr>
                    <w:t>项目情况</w:t>
                  </w:r>
                </w:p>
              </w:tc>
              <w:tc>
                <w:tcPr>
                  <w:tcW w:w="284" w:type="pct"/>
                  <w:tcBorders>
                    <w:tl2br w:val="nil"/>
                    <w:tr2bl w:val="nil"/>
                  </w:tcBorders>
                  <w:vAlign w:val="center"/>
                </w:tcPr>
                <w:p w14:paraId="45CA0284">
                  <w:pPr>
                    <w:jc w:val="center"/>
                    <w:rPr>
                      <w:color w:val="auto"/>
                      <w:szCs w:val="21"/>
                    </w:rPr>
                  </w:pPr>
                  <w:r>
                    <w:rPr>
                      <w:b/>
                      <w:bCs/>
                      <w:color w:val="auto"/>
                      <w:szCs w:val="21"/>
                    </w:rPr>
                    <w:t>相符性</w:t>
                  </w:r>
                </w:p>
              </w:tc>
            </w:tr>
            <w:tr w14:paraId="4129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3C0CA064">
                  <w:pPr>
                    <w:widowControl/>
                    <w:jc w:val="center"/>
                    <w:rPr>
                      <w:color w:val="auto"/>
                      <w:szCs w:val="21"/>
                    </w:rPr>
                  </w:pPr>
                  <w:r>
                    <w:rPr>
                      <w:color w:val="auto"/>
                      <w:szCs w:val="21"/>
                    </w:rPr>
                    <w:t>区域布局管控</w:t>
                  </w:r>
                </w:p>
              </w:tc>
              <w:tc>
                <w:tcPr>
                  <w:tcW w:w="2617" w:type="pct"/>
                  <w:tcBorders>
                    <w:tl2br w:val="nil"/>
                    <w:tr2bl w:val="nil"/>
                  </w:tcBorders>
                  <w:vAlign w:val="center"/>
                </w:tcPr>
                <w:p w14:paraId="4B71F62B">
                  <w:pPr>
                    <w:widowControl/>
                    <w:jc w:val="center"/>
                    <w:rPr>
                      <w:color w:val="auto"/>
                      <w:szCs w:val="21"/>
                    </w:rPr>
                  </w:pPr>
                  <w:r>
                    <w:rPr>
                      <w:color w:val="auto"/>
                      <w:szCs w:val="21"/>
                    </w:rPr>
                    <w:t>禁止新、扩建燃用高污染燃料的设施</w:t>
                  </w:r>
                </w:p>
              </w:tc>
              <w:tc>
                <w:tcPr>
                  <w:tcW w:w="1336" w:type="pct"/>
                  <w:gridSpan w:val="2"/>
                  <w:tcBorders>
                    <w:tl2br w:val="nil"/>
                    <w:tr2bl w:val="nil"/>
                  </w:tcBorders>
                  <w:vAlign w:val="center"/>
                </w:tcPr>
                <w:p w14:paraId="6DFDA14A">
                  <w:pPr>
                    <w:widowControl/>
                    <w:jc w:val="center"/>
                    <w:rPr>
                      <w:color w:val="auto"/>
                      <w:szCs w:val="21"/>
                    </w:rPr>
                  </w:pPr>
                  <w:r>
                    <w:rPr>
                      <w:color w:val="auto"/>
                      <w:kern w:val="0"/>
                      <w:szCs w:val="21"/>
                      <w:lang w:bidi="ar"/>
                    </w:rPr>
                    <w:t>本项目使用电能，不使用高污染燃料。</w:t>
                  </w:r>
                </w:p>
              </w:tc>
              <w:tc>
                <w:tcPr>
                  <w:tcW w:w="284" w:type="pct"/>
                  <w:tcBorders>
                    <w:tl2br w:val="nil"/>
                    <w:tr2bl w:val="nil"/>
                  </w:tcBorders>
                  <w:vAlign w:val="center"/>
                </w:tcPr>
                <w:p w14:paraId="362193A3">
                  <w:pPr>
                    <w:jc w:val="center"/>
                    <w:rPr>
                      <w:color w:val="auto"/>
                      <w:szCs w:val="21"/>
                    </w:rPr>
                  </w:pPr>
                  <w:r>
                    <w:rPr>
                      <w:color w:val="auto"/>
                      <w:szCs w:val="21"/>
                    </w:rPr>
                    <w:t>符合</w:t>
                  </w:r>
                </w:p>
              </w:tc>
            </w:tr>
            <w:tr w14:paraId="090A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754C74AC">
                  <w:pPr>
                    <w:widowControl/>
                    <w:jc w:val="center"/>
                    <w:rPr>
                      <w:color w:val="auto"/>
                      <w:szCs w:val="21"/>
                    </w:rPr>
                  </w:pPr>
                  <w:r>
                    <w:rPr>
                      <w:color w:val="auto"/>
                      <w:szCs w:val="21"/>
                    </w:rPr>
                    <w:t>能源资源利用</w:t>
                  </w:r>
                </w:p>
              </w:tc>
              <w:tc>
                <w:tcPr>
                  <w:tcW w:w="2617" w:type="pct"/>
                  <w:tcBorders>
                    <w:tl2br w:val="nil"/>
                    <w:tr2bl w:val="nil"/>
                  </w:tcBorders>
                  <w:vAlign w:val="center"/>
                </w:tcPr>
                <w:p w14:paraId="1124D8B5">
                  <w:pPr>
                    <w:widowControl/>
                    <w:jc w:val="center"/>
                    <w:rPr>
                      <w:color w:val="auto"/>
                      <w:szCs w:val="21"/>
                    </w:rPr>
                  </w:pPr>
                  <w:r>
                    <w:rPr>
                      <w:color w:val="auto"/>
                      <w:szCs w:val="21"/>
                    </w:rPr>
                    <w:t>在禁燃区内，禁止销售、燃用高污染燃料；已建成的高污染燃料设施应当改用天然气、页岩气、液化石油气、电等清洁能源。</w:t>
                  </w:r>
                </w:p>
              </w:tc>
              <w:tc>
                <w:tcPr>
                  <w:tcW w:w="1336" w:type="pct"/>
                  <w:gridSpan w:val="2"/>
                  <w:tcBorders>
                    <w:tl2br w:val="nil"/>
                    <w:tr2bl w:val="nil"/>
                  </w:tcBorders>
                  <w:vAlign w:val="center"/>
                </w:tcPr>
                <w:p w14:paraId="4D9A52B9">
                  <w:pPr>
                    <w:widowControl/>
                    <w:jc w:val="center"/>
                    <w:rPr>
                      <w:color w:val="auto"/>
                      <w:szCs w:val="21"/>
                    </w:rPr>
                  </w:pPr>
                  <w:r>
                    <w:rPr>
                      <w:color w:val="auto"/>
                      <w:kern w:val="0"/>
                      <w:szCs w:val="21"/>
                      <w:lang w:bidi="ar"/>
                    </w:rPr>
                    <w:t>本项目使用电能，不销售、不使用高污染燃料。</w:t>
                  </w:r>
                </w:p>
              </w:tc>
              <w:tc>
                <w:tcPr>
                  <w:tcW w:w="284" w:type="pct"/>
                  <w:tcBorders>
                    <w:tl2br w:val="nil"/>
                    <w:tr2bl w:val="nil"/>
                  </w:tcBorders>
                  <w:vAlign w:val="center"/>
                </w:tcPr>
                <w:p w14:paraId="34645B2D">
                  <w:pPr>
                    <w:jc w:val="center"/>
                    <w:rPr>
                      <w:color w:val="auto"/>
                      <w:szCs w:val="21"/>
                    </w:rPr>
                  </w:pPr>
                  <w:r>
                    <w:rPr>
                      <w:color w:val="auto"/>
                      <w:szCs w:val="21"/>
                    </w:rPr>
                    <w:t>符合</w:t>
                  </w:r>
                </w:p>
              </w:tc>
            </w:tr>
            <w:tr w14:paraId="25B5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60" w:type="pct"/>
                  <w:tcBorders>
                    <w:tl2br w:val="nil"/>
                    <w:tr2bl w:val="nil"/>
                  </w:tcBorders>
                  <w:vAlign w:val="center"/>
                </w:tcPr>
                <w:p w14:paraId="74672007">
                  <w:pPr>
                    <w:widowControl/>
                    <w:jc w:val="center"/>
                    <w:rPr>
                      <w:color w:val="auto"/>
                      <w:szCs w:val="21"/>
                    </w:rPr>
                  </w:pPr>
                  <w:r>
                    <w:rPr>
                      <w:color w:val="auto"/>
                      <w:szCs w:val="21"/>
                    </w:rPr>
                    <w:t>污染物排放管控</w:t>
                  </w:r>
                </w:p>
              </w:tc>
              <w:tc>
                <w:tcPr>
                  <w:tcW w:w="2617" w:type="pct"/>
                  <w:tcBorders>
                    <w:tl2br w:val="nil"/>
                    <w:tr2bl w:val="nil"/>
                  </w:tcBorders>
                  <w:vAlign w:val="center"/>
                </w:tcPr>
                <w:p w14:paraId="334497C4">
                  <w:pPr>
                    <w:widowControl/>
                    <w:jc w:val="center"/>
                    <w:rPr>
                      <w:color w:val="auto"/>
                      <w:szCs w:val="21"/>
                    </w:rPr>
                  </w:pPr>
                  <w:r>
                    <w:rPr>
                      <w:color w:val="auto"/>
                      <w:szCs w:val="21"/>
                    </w:rPr>
                    <w:t>禁燃区内使用生物质成型燃料锅炉和气化供热项目的，污染物排放浓度要达到或优于天燃气锅炉对应的大气污染物排放标准（折算基准氧含量排放浓度时，生物质成型燃料锅炉按9%执行，生物质气化供热项目按3.5%执行）。</w:t>
                  </w:r>
                </w:p>
              </w:tc>
              <w:tc>
                <w:tcPr>
                  <w:tcW w:w="1336" w:type="pct"/>
                  <w:gridSpan w:val="2"/>
                  <w:tcBorders>
                    <w:tl2br w:val="nil"/>
                    <w:tr2bl w:val="nil"/>
                  </w:tcBorders>
                  <w:vAlign w:val="center"/>
                </w:tcPr>
                <w:p w14:paraId="697F1158">
                  <w:pPr>
                    <w:widowControl/>
                    <w:jc w:val="center"/>
                    <w:rPr>
                      <w:color w:val="auto"/>
                      <w:szCs w:val="21"/>
                    </w:rPr>
                  </w:pPr>
                  <w:r>
                    <w:rPr>
                      <w:color w:val="auto"/>
                      <w:kern w:val="0"/>
                      <w:szCs w:val="21"/>
                      <w:lang w:bidi="ar"/>
                    </w:rPr>
                    <w:t>本项目不涉及</w:t>
                  </w:r>
                </w:p>
              </w:tc>
              <w:tc>
                <w:tcPr>
                  <w:tcW w:w="284" w:type="pct"/>
                  <w:tcBorders>
                    <w:tl2br w:val="nil"/>
                    <w:tr2bl w:val="nil"/>
                  </w:tcBorders>
                  <w:vAlign w:val="center"/>
                </w:tcPr>
                <w:p w14:paraId="4AC94053">
                  <w:pPr>
                    <w:jc w:val="center"/>
                    <w:rPr>
                      <w:color w:val="auto"/>
                      <w:szCs w:val="21"/>
                    </w:rPr>
                  </w:pPr>
                  <w:r>
                    <w:rPr>
                      <w:color w:val="auto"/>
                      <w:szCs w:val="21"/>
                    </w:rPr>
                    <w:t>符合</w:t>
                  </w:r>
                </w:p>
              </w:tc>
            </w:tr>
          </w:tbl>
          <w:p w14:paraId="3FA6F084">
            <w:pPr>
              <w:pStyle w:val="35"/>
              <w:numPr>
                <w:ilvl w:val="0"/>
                <w:numId w:val="3"/>
              </w:numPr>
              <w:spacing w:line="360" w:lineRule="auto"/>
              <w:ind w:firstLine="482" w:firstLineChars="200"/>
              <w:rPr>
                <w:b/>
                <w:bCs/>
                <w:color w:val="auto"/>
                <w:sz w:val="24"/>
                <w:szCs w:val="24"/>
              </w:rPr>
            </w:pPr>
            <w:r>
              <w:rPr>
                <w:b/>
                <w:bCs/>
                <w:color w:val="auto"/>
                <w:sz w:val="24"/>
                <w:szCs w:val="24"/>
              </w:rPr>
              <w:t>本项目与相关环保法规的相符性分析</w:t>
            </w:r>
          </w:p>
          <w:p w14:paraId="0265CF66">
            <w:pPr>
              <w:pStyle w:val="35"/>
              <w:spacing w:line="360" w:lineRule="auto"/>
              <w:ind w:firstLineChars="200"/>
              <w:rPr>
                <w:color w:val="auto"/>
                <w:sz w:val="24"/>
                <w:szCs w:val="24"/>
              </w:rPr>
            </w:pPr>
            <w:r>
              <w:rPr>
                <w:color w:val="auto"/>
                <w:sz w:val="24"/>
                <w:szCs w:val="24"/>
              </w:rPr>
              <w:t>本项目与相关环保法规政策的相符性见下表。</w:t>
            </w:r>
          </w:p>
          <w:p w14:paraId="16D22E8F">
            <w:pPr>
              <w:keepNext/>
              <w:widowControl/>
              <w:spacing w:line="360" w:lineRule="auto"/>
              <w:jc w:val="center"/>
              <w:rPr>
                <w:b/>
                <w:bCs/>
                <w:color w:val="auto"/>
                <w:sz w:val="24"/>
                <w:szCs w:val="24"/>
              </w:rPr>
            </w:pPr>
            <w:r>
              <w:rPr>
                <w:b/>
                <w:color w:val="auto"/>
                <w:sz w:val="24"/>
                <w:szCs w:val="24"/>
              </w:rPr>
              <w:t>表</w:t>
            </w:r>
            <w:r>
              <w:rPr>
                <w:b/>
                <w:color w:val="auto"/>
                <w:sz w:val="24"/>
                <w:szCs w:val="24"/>
              </w:rPr>
              <w:fldChar w:fldCharType="begin"/>
            </w:r>
            <w:r>
              <w:rPr>
                <w:b/>
                <w:color w:val="auto"/>
                <w:sz w:val="24"/>
                <w:szCs w:val="24"/>
              </w:rPr>
              <w:instrText xml:space="preserve"> SEQ 表 \* ARABIC </w:instrText>
            </w:r>
            <w:r>
              <w:rPr>
                <w:b/>
                <w:color w:val="auto"/>
                <w:sz w:val="24"/>
                <w:szCs w:val="24"/>
              </w:rPr>
              <w:fldChar w:fldCharType="separate"/>
            </w:r>
            <w:r>
              <w:rPr>
                <w:b/>
                <w:color w:val="auto"/>
                <w:sz w:val="24"/>
                <w:szCs w:val="24"/>
              </w:rPr>
              <w:t>5</w:t>
            </w:r>
            <w:r>
              <w:rPr>
                <w:b/>
                <w:color w:val="auto"/>
                <w:sz w:val="24"/>
                <w:szCs w:val="24"/>
              </w:rPr>
              <w:fldChar w:fldCharType="end"/>
            </w:r>
            <w:r>
              <w:rPr>
                <w:b/>
                <w:color w:val="auto"/>
                <w:sz w:val="24"/>
                <w:szCs w:val="24"/>
              </w:rPr>
              <w:t xml:space="preserve"> 本</w:t>
            </w:r>
            <w:r>
              <w:rPr>
                <w:b/>
                <w:bCs/>
                <w:color w:val="auto"/>
                <w:sz w:val="24"/>
                <w:szCs w:val="24"/>
              </w:rPr>
              <w:t>项目与相关环保法规政策的相符性分析</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031"/>
              <w:gridCol w:w="6385"/>
              <w:gridCol w:w="4204"/>
              <w:gridCol w:w="692"/>
            </w:tblGrid>
            <w:tr w14:paraId="4E01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 w:type="pct"/>
                  <w:vAlign w:val="center"/>
                </w:tcPr>
                <w:p w14:paraId="1850E7C4">
                  <w:pPr>
                    <w:pStyle w:val="33"/>
                    <w:snapToGrid w:val="0"/>
                    <w:spacing w:before="0" w:beforeAutospacing="0" w:after="0" w:afterAutospacing="0"/>
                    <w:jc w:val="center"/>
                    <w:rPr>
                      <w:rFonts w:ascii="Times New Roman" w:hAnsi="Times New Roman" w:eastAsia="宋体" w:cs="Times New Roman"/>
                      <w:b/>
                      <w:bCs/>
                      <w:color w:val="auto"/>
                      <w:sz w:val="21"/>
                      <w:szCs w:val="21"/>
                      <w:lang w:bidi="ar"/>
                    </w:rPr>
                  </w:pPr>
                  <w:r>
                    <w:rPr>
                      <w:rFonts w:ascii="Times New Roman" w:hAnsi="Times New Roman" w:eastAsia="宋体" w:cs="Times New Roman"/>
                      <w:b/>
                      <w:bCs/>
                      <w:color w:val="auto"/>
                      <w:sz w:val="21"/>
                      <w:szCs w:val="21"/>
                      <w:lang w:bidi="ar"/>
                    </w:rPr>
                    <w:t>序号</w:t>
                  </w:r>
                </w:p>
              </w:tc>
              <w:tc>
                <w:tcPr>
                  <w:tcW w:w="398" w:type="pct"/>
                  <w:vAlign w:val="center"/>
                </w:tcPr>
                <w:p w14:paraId="72D7FD14">
                  <w:pPr>
                    <w:pStyle w:val="33"/>
                    <w:snapToGrid w:val="0"/>
                    <w:spacing w:before="0" w:beforeAutospacing="0" w:after="0" w:afterAutospacing="0"/>
                    <w:jc w:val="center"/>
                    <w:rPr>
                      <w:rFonts w:ascii="Times New Roman" w:hAnsi="Times New Roman" w:eastAsia="宋体" w:cs="Times New Roman"/>
                      <w:b/>
                      <w:bCs/>
                      <w:color w:val="auto"/>
                      <w:sz w:val="21"/>
                      <w:szCs w:val="21"/>
                      <w:lang w:bidi="ar"/>
                    </w:rPr>
                  </w:pPr>
                  <w:r>
                    <w:rPr>
                      <w:rFonts w:ascii="Times New Roman" w:hAnsi="Times New Roman" w:eastAsia="宋体" w:cs="Times New Roman"/>
                      <w:b/>
                      <w:bCs/>
                      <w:color w:val="auto"/>
                      <w:sz w:val="21"/>
                      <w:szCs w:val="21"/>
                      <w:lang w:bidi="ar"/>
                    </w:rPr>
                    <w:t>文件</w:t>
                  </w:r>
                </w:p>
              </w:tc>
              <w:tc>
                <w:tcPr>
                  <w:tcW w:w="2464" w:type="pct"/>
                  <w:vAlign w:val="center"/>
                </w:tcPr>
                <w:p w14:paraId="6314CEEA">
                  <w:pPr>
                    <w:pStyle w:val="33"/>
                    <w:snapToGrid w:val="0"/>
                    <w:spacing w:before="0" w:beforeAutospacing="0" w:after="0" w:afterAutospacing="0"/>
                    <w:jc w:val="center"/>
                    <w:rPr>
                      <w:rFonts w:ascii="Times New Roman" w:hAnsi="Times New Roman" w:eastAsia="宋体" w:cs="Times New Roman"/>
                      <w:b/>
                      <w:bCs/>
                      <w:color w:val="auto"/>
                      <w:sz w:val="21"/>
                      <w:szCs w:val="21"/>
                      <w:lang w:bidi="ar"/>
                    </w:rPr>
                  </w:pPr>
                  <w:r>
                    <w:rPr>
                      <w:rFonts w:ascii="Times New Roman" w:hAnsi="Times New Roman" w:eastAsia="宋体" w:cs="Times New Roman"/>
                      <w:b/>
                      <w:bCs/>
                      <w:color w:val="auto"/>
                      <w:sz w:val="21"/>
                      <w:szCs w:val="21"/>
                      <w:lang w:bidi="ar"/>
                    </w:rPr>
                    <w:t>文件要求</w:t>
                  </w:r>
                </w:p>
              </w:tc>
              <w:tc>
                <w:tcPr>
                  <w:tcW w:w="1622" w:type="pct"/>
                  <w:vAlign w:val="center"/>
                </w:tcPr>
                <w:p w14:paraId="3052E184">
                  <w:pPr>
                    <w:pStyle w:val="33"/>
                    <w:snapToGrid w:val="0"/>
                    <w:spacing w:before="0" w:beforeAutospacing="0" w:after="0" w:afterAutospacing="0"/>
                    <w:jc w:val="center"/>
                    <w:rPr>
                      <w:rFonts w:ascii="Times New Roman" w:hAnsi="Times New Roman" w:eastAsia="宋体" w:cs="Times New Roman"/>
                      <w:b/>
                      <w:bCs/>
                      <w:color w:val="auto"/>
                      <w:sz w:val="21"/>
                      <w:szCs w:val="21"/>
                      <w:lang w:bidi="ar"/>
                    </w:rPr>
                  </w:pPr>
                  <w:r>
                    <w:rPr>
                      <w:rFonts w:ascii="Times New Roman" w:hAnsi="Times New Roman" w:eastAsia="宋体" w:cs="Times New Roman"/>
                      <w:b/>
                      <w:bCs/>
                      <w:color w:val="auto"/>
                      <w:sz w:val="21"/>
                      <w:szCs w:val="21"/>
                      <w:lang w:bidi="ar"/>
                    </w:rPr>
                    <w:t>本项目情况</w:t>
                  </w:r>
                </w:p>
              </w:tc>
              <w:tc>
                <w:tcPr>
                  <w:tcW w:w="267" w:type="pct"/>
                  <w:vAlign w:val="center"/>
                </w:tcPr>
                <w:p w14:paraId="76A25E1D">
                  <w:pPr>
                    <w:pStyle w:val="33"/>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b/>
                      <w:bCs/>
                      <w:color w:val="auto"/>
                      <w:sz w:val="21"/>
                      <w:szCs w:val="21"/>
                      <w:lang w:bidi="ar"/>
                    </w:rPr>
                    <w:t>符合判定</w:t>
                  </w:r>
                </w:p>
              </w:tc>
            </w:tr>
            <w:tr w14:paraId="3DDB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Merge w:val="restart"/>
                  <w:vAlign w:val="center"/>
                </w:tcPr>
                <w:p w14:paraId="2B482052">
                  <w:pPr>
                    <w:pStyle w:val="33"/>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1</w:t>
                  </w:r>
                </w:p>
              </w:tc>
              <w:tc>
                <w:tcPr>
                  <w:tcW w:w="398" w:type="pct"/>
                  <w:vMerge w:val="restart"/>
                  <w:vAlign w:val="center"/>
                </w:tcPr>
                <w:p w14:paraId="090CBB9D">
                  <w:pPr>
                    <w:pStyle w:val="46"/>
                    <w:snapToGrid w:val="0"/>
                    <w:jc w:val="left"/>
                    <w:rPr>
                      <w:rFonts w:hint="default" w:ascii="Times New Roman" w:hAnsi="Times New Roman"/>
                      <w:color w:val="auto"/>
                      <w:kern w:val="2"/>
                      <w:sz w:val="21"/>
                      <w:szCs w:val="21"/>
                    </w:rPr>
                  </w:pPr>
                  <w:r>
                    <w:rPr>
                      <w:rFonts w:hint="default" w:ascii="Times New Roman" w:hAnsi="Times New Roman"/>
                      <w:color w:val="auto"/>
                      <w:kern w:val="2"/>
                      <w:sz w:val="21"/>
                      <w:szCs w:val="21"/>
                    </w:rPr>
                    <w:t>《广东省生态环境保护“十四五”规划》（粤环〔2021〕10 号）</w:t>
                  </w:r>
                </w:p>
              </w:tc>
              <w:tc>
                <w:tcPr>
                  <w:tcW w:w="2464" w:type="pct"/>
                  <w:vAlign w:val="center"/>
                </w:tcPr>
                <w:p w14:paraId="488636FF">
                  <w:pPr>
                    <w:pStyle w:val="46"/>
                    <w:snapToGrid w:val="0"/>
                    <w:ind w:firstLine="420" w:firstLineChars="200"/>
                    <w:jc w:val="left"/>
                    <w:rPr>
                      <w:rFonts w:hint="default" w:ascii="Times New Roman" w:hAnsi="Times New Roman"/>
                      <w:color w:val="auto"/>
                      <w:kern w:val="2"/>
                      <w:sz w:val="21"/>
                      <w:szCs w:val="21"/>
                    </w:rPr>
                  </w:pPr>
                  <w:r>
                    <w:rPr>
                      <w:rFonts w:hint="default" w:ascii="Times New Roman" w:hAnsi="Times New Roman"/>
                      <w:color w:val="auto"/>
                      <w:kern w:val="2"/>
                      <w:sz w:val="21"/>
                      <w:szCs w:val="21"/>
                    </w:rPr>
                    <w:t>加强高污染燃料禁燃区管理。在禁燃区内，禁止销售、燃用高污染燃料；禁止新建、扩建燃用高污染燃料的设施，已建成的按要求改用天然气、电力或者其他清洁能源。</w:t>
                  </w:r>
                </w:p>
              </w:tc>
              <w:tc>
                <w:tcPr>
                  <w:tcW w:w="1622" w:type="pct"/>
                  <w:vAlign w:val="center"/>
                </w:tcPr>
                <w:p w14:paraId="5FF8C0FB">
                  <w:pPr>
                    <w:widowControl/>
                    <w:adjustRightInd w:val="0"/>
                    <w:snapToGrid w:val="0"/>
                    <w:ind w:firstLine="420" w:firstLineChars="200"/>
                    <w:jc w:val="left"/>
                    <w:rPr>
                      <w:color w:val="auto"/>
                      <w:szCs w:val="21"/>
                    </w:rPr>
                  </w:pPr>
                  <w:r>
                    <w:rPr>
                      <w:color w:val="auto"/>
                      <w:szCs w:val="21"/>
                    </w:rPr>
                    <w:t>本项目运营过程中所用的资源主要为水、电洁净能源，不使用高污染燃料，不涉及锅炉的使用。</w:t>
                  </w:r>
                </w:p>
              </w:tc>
              <w:tc>
                <w:tcPr>
                  <w:tcW w:w="267" w:type="pct"/>
                  <w:vAlign w:val="center"/>
                </w:tcPr>
                <w:p w14:paraId="6510500C">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r w14:paraId="683B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247" w:type="pct"/>
                  <w:vMerge w:val="continue"/>
                  <w:vAlign w:val="center"/>
                </w:tcPr>
                <w:p w14:paraId="33875611">
                  <w:pPr>
                    <w:pStyle w:val="33"/>
                    <w:snapToGrid w:val="0"/>
                    <w:spacing w:before="0" w:beforeAutospacing="0" w:after="0" w:afterAutospacing="0"/>
                    <w:jc w:val="both"/>
                    <w:rPr>
                      <w:rFonts w:ascii="Times New Roman" w:hAnsi="Times New Roman" w:cs="Times New Roman"/>
                      <w:color w:val="auto"/>
                    </w:rPr>
                  </w:pPr>
                </w:p>
              </w:tc>
              <w:tc>
                <w:tcPr>
                  <w:tcW w:w="398" w:type="pct"/>
                  <w:vMerge w:val="continue"/>
                  <w:vAlign w:val="center"/>
                </w:tcPr>
                <w:p w14:paraId="69FDA270">
                  <w:pPr>
                    <w:pStyle w:val="46"/>
                    <w:snapToGrid w:val="0"/>
                    <w:jc w:val="left"/>
                    <w:rPr>
                      <w:rFonts w:hint="default" w:ascii="Times New Roman" w:hAnsi="Times New Roman"/>
                      <w:color w:val="auto"/>
                      <w:kern w:val="2"/>
                      <w:sz w:val="21"/>
                      <w:szCs w:val="21"/>
                    </w:rPr>
                  </w:pPr>
                </w:p>
              </w:tc>
              <w:tc>
                <w:tcPr>
                  <w:tcW w:w="2464" w:type="pct"/>
                  <w:vAlign w:val="center"/>
                </w:tcPr>
                <w:p w14:paraId="424DA1D7">
                  <w:pPr>
                    <w:pStyle w:val="46"/>
                    <w:snapToGrid w:val="0"/>
                    <w:ind w:firstLine="420" w:firstLineChars="200"/>
                    <w:jc w:val="left"/>
                    <w:rPr>
                      <w:rFonts w:hint="default" w:ascii="Times New Roman" w:hAnsi="Times New Roman"/>
                      <w:color w:val="auto"/>
                      <w:kern w:val="2"/>
                      <w:sz w:val="21"/>
                      <w:szCs w:val="21"/>
                    </w:rPr>
                  </w:pPr>
                  <w:r>
                    <w:rPr>
                      <w:rFonts w:hint="default" w:ascii="Times New Roman" w:hAnsi="Times New Roman"/>
                      <w:color w:val="auto"/>
                      <w:kern w:val="2"/>
                      <w:sz w:val="21"/>
                      <w:szCs w:val="21"/>
                    </w:rPr>
                    <w:t xml:space="preserve">大力推进挥发性有机物（VOCs）源头控制和重点行业深度治理。开展原油、成品油、有机化学品等涉VOCs物质储罐排查，深化重点行业VOCs排放基数调查，系统掌握工业源VOC产生、处理、排放及分布情况，分类建立台账，实施VOCs精细化管理。 </w:t>
                  </w:r>
                </w:p>
                <w:p w14:paraId="37469850">
                  <w:pPr>
                    <w:pStyle w:val="46"/>
                    <w:snapToGrid w:val="0"/>
                    <w:ind w:firstLine="420" w:firstLineChars="200"/>
                    <w:jc w:val="left"/>
                    <w:rPr>
                      <w:rFonts w:hint="default" w:ascii="Times New Roman" w:hAnsi="Times New Roman"/>
                      <w:color w:val="auto"/>
                      <w:kern w:val="2"/>
                      <w:sz w:val="21"/>
                      <w:szCs w:val="21"/>
                    </w:rPr>
                  </w:pPr>
                  <w:r>
                    <w:rPr>
                      <w:rFonts w:hint="default" w:ascii="Times New Roman" w:hAnsi="Times New Roman"/>
                      <w:color w:val="auto"/>
                      <w:kern w:val="2"/>
                      <w:sz w:val="21"/>
                      <w:szCs w:val="21"/>
                    </w:rPr>
                    <w:t>在石化、化工、包装印刷、工业涂装等重点行业建立完善源头、过程和末端的VOCs全过程控制体系。大力推进低VOCs含量原辅材料源头替代，严格落实国家和地方产品VOCs含量限值质量标准，禁止建设生产和使用高VOCs含量的溶剂型涂料、油墨、胶粘剂等项目。严格实施VOCs排放企业分级管控，全面推进涉VOCs排放企业深度治理。开展中小型企业废气收集和治理设施建设、运行情况的评估，强化对企业涉VOCs生产车间/工序废气的收集管理，推动企业开展治理设施升级改造。推进工业园区、企业集群因地制宜统筹规划建设一批集中喷涂中心（共性工厂）、活性炭集中再生中心，实现VOCs集中高效处理。开展无组织排放源排查，加强含VOCs物料全方位、全链条、全环节密闭管理，深入推进泄漏检测与修复（LDAR）工作。</w:t>
                  </w:r>
                </w:p>
              </w:tc>
              <w:tc>
                <w:tcPr>
                  <w:tcW w:w="1622" w:type="pct"/>
                  <w:vAlign w:val="center"/>
                </w:tcPr>
                <w:p w14:paraId="2A4DFB6C">
                  <w:pPr>
                    <w:pStyle w:val="33"/>
                    <w:adjustRightInd w:val="0"/>
                    <w:snapToGrid w:val="0"/>
                    <w:spacing w:before="0" w:beforeAutospacing="0" w:after="0" w:afterAutospacing="0"/>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本项目建成后，建立并完善相关台账管理制度，按要求在相应环节设置台账记录。</w:t>
                  </w:r>
                </w:p>
                <w:p w14:paraId="0CB32738">
                  <w:pPr>
                    <w:pStyle w:val="33"/>
                    <w:adjustRightInd w:val="0"/>
                    <w:snapToGrid w:val="0"/>
                    <w:spacing w:before="0" w:beforeAutospacing="0" w:after="0" w:afterAutospacing="0"/>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本项目主要从事蚊香、电蚊液生产制造，有机废气经收集后统一进入二级活性炭装置（TA001）处理后通过楼顶（22.5m）排气筒（DA001）进行排放。</w:t>
                  </w:r>
                </w:p>
              </w:tc>
              <w:tc>
                <w:tcPr>
                  <w:tcW w:w="267" w:type="pct"/>
                  <w:vAlign w:val="center"/>
                </w:tcPr>
                <w:p w14:paraId="4FF43FAC">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r w14:paraId="78CE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Align w:val="center"/>
                </w:tcPr>
                <w:p w14:paraId="4F12AE59">
                  <w:pPr>
                    <w:pStyle w:val="33"/>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2</w:t>
                  </w:r>
                </w:p>
              </w:tc>
              <w:tc>
                <w:tcPr>
                  <w:tcW w:w="398" w:type="pct"/>
                  <w:vAlign w:val="center"/>
                </w:tcPr>
                <w:p w14:paraId="1AB77130">
                  <w:pPr>
                    <w:pStyle w:val="46"/>
                    <w:snapToGrid w:val="0"/>
                    <w:jc w:val="left"/>
                    <w:rPr>
                      <w:rFonts w:hint="default" w:ascii="Times New Roman" w:hAnsi="Times New Roman"/>
                      <w:color w:val="auto"/>
                      <w:kern w:val="2"/>
                      <w:sz w:val="21"/>
                      <w:szCs w:val="21"/>
                    </w:rPr>
                  </w:pPr>
                  <w:r>
                    <w:rPr>
                      <w:rFonts w:hint="default" w:ascii="Times New Roman" w:hAnsi="Times New Roman"/>
                      <w:color w:val="auto"/>
                      <w:kern w:val="2"/>
                      <w:sz w:val="21"/>
                      <w:szCs w:val="21"/>
                    </w:rPr>
                    <w:t>《韶关市生态环境保护“十四五”规划》（粤环〔2021〕10 号）</w:t>
                  </w:r>
                </w:p>
              </w:tc>
              <w:tc>
                <w:tcPr>
                  <w:tcW w:w="2464" w:type="pct"/>
                  <w:vAlign w:val="center"/>
                </w:tcPr>
                <w:p w14:paraId="0A7E04A6">
                  <w:pPr>
                    <w:pStyle w:val="46"/>
                    <w:snapToGrid w:val="0"/>
                    <w:ind w:firstLine="420" w:firstLineChars="200"/>
                    <w:jc w:val="left"/>
                    <w:rPr>
                      <w:rFonts w:hint="default" w:ascii="Times New Roman" w:hAnsi="Times New Roman"/>
                      <w:color w:val="auto"/>
                      <w:kern w:val="2"/>
                      <w:sz w:val="21"/>
                      <w:szCs w:val="21"/>
                    </w:rPr>
                  </w:pPr>
                  <w:r>
                    <w:rPr>
                      <w:rFonts w:hint="default" w:ascii="Times New Roman" w:hAnsi="Times New Roman"/>
                      <w:color w:val="auto"/>
                      <w:kern w:val="2"/>
                      <w:sz w:val="21"/>
                      <w:szCs w:val="21"/>
                    </w:rPr>
                    <w:t xml:space="preserve">推进挥发性有机物（VOCs）源头控制和重点行业深度治理。开展原油、成品油、有机化学品等涉VOCs物质储罐排查，深化重点行业VOCs排放基数调查，系统掌握工业源VOCs产生、处理、排放及分布情况，分类建立台账，实施 VOCs 精细化管理。严格落实国家产品VOCs含量限值标准，除现阶段确无法实施替代的工序外，禁止新建生产和使用高挥发性有机物原辅材料的项目。 </w:t>
                  </w:r>
                </w:p>
                <w:p w14:paraId="1F850F5A">
                  <w:pPr>
                    <w:pStyle w:val="46"/>
                    <w:snapToGrid w:val="0"/>
                    <w:ind w:firstLine="420" w:firstLineChars="200"/>
                    <w:jc w:val="left"/>
                    <w:rPr>
                      <w:rFonts w:hint="default" w:ascii="Times New Roman" w:hAnsi="Times New Roman"/>
                      <w:color w:val="auto"/>
                      <w:kern w:val="2"/>
                      <w:sz w:val="21"/>
                      <w:szCs w:val="21"/>
                    </w:rPr>
                  </w:pPr>
                  <w:r>
                    <w:rPr>
                      <w:rFonts w:hint="default" w:ascii="Times New Roman" w:hAnsi="Times New Roman"/>
                      <w:color w:val="auto"/>
                      <w:kern w:val="2"/>
                      <w:sz w:val="21"/>
                      <w:szCs w:val="21"/>
                    </w:rPr>
                    <w:t>严格实施VOCs排放企业分级管控，全面推进涉VOCs排放企业深度治理。督促VOCs重点企业编制VOCs深度治理手册，组织和指导VOCs重点企业“照单施治”。抓好化工园区和化工企业VOCs排放管理。推动化工园区增加环境VOCs自动监测站点，强化重点企业VOCs排放监管。开展无组织排放源排查，深入推进泄漏检测与修复（LDAR）工作。</w:t>
                  </w:r>
                </w:p>
              </w:tc>
              <w:tc>
                <w:tcPr>
                  <w:tcW w:w="1622" w:type="pct"/>
                  <w:vAlign w:val="center"/>
                </w:tcPr>
                <w:p w14:paraId="4EAAA844">
                  <w:pPr>
                    <w:pStyle w:val="33"/>
                    <w:adjustRightInd w:val="0"/>
                    <w:snapToGrid w:val="0"/>
                    <w:spacing w:before="0" w:beforeAutospacing="0" w:after="0" w:afterAutospacing="0"/>
                    <w:ind w:firstLine="420" w:firstLineChars="200"/>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rPr>
                    <w:t>本项目不涉及储罐，本项目建成后，建立并完善相关台账管理制度，按要求在相应环节设置台账记录。本项目位于乐昌产业转移工业园，生产车间有机废气经收集后统一进入二级活性炭装置（TA001）处理后通过楼顶（22.5m）排气筒（DA001）进行排放。</w:t>
                  </w:r>
                </w:p>
              </w:tc>
              <w:tc>
                <w:tcPr>
                  <w:tcW w:w="267" w:type="pct"/>
                  <w:vAlign w:val="center"/>
                </w:tcPr>
                <w:p w14:paraId="040617DE">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r w14:paraId="6801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 w:type="pct"/>
                  <w:vAlign w:val="center"/>
                </w:tcPr>
                <w:p w14:paraId="1C861940">
                  <w:pPr>
                    <w:pStyle w:val="33"/>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3</w:t>
                  </w:r>
                </w:p>
              </w:tc>
              <w:tc>
                <w:tcPr>
                  <w:tcW w:w="398" w:type="pct"/>
                  <w:vAlign w:val="center"/>
                </w:tcPr>
                <w:p w14:paraId="5F836EB6">
                  <w:pPr>
                    <w:pStyle w:val="18"/>
                    <w:jc w:val="both"/>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《广东省大气污染防治条例》（2019年3月1日起实施及2022年修改）</w:t>
                  </w:r>
                </w:p>
              </w:tc>
              <w:tc>
                <w:tcPr>
                  <w:tcW w:w="2464" w:type="pct"/>
                  <w:vAlign w:val="center"/>
                </w:tcPr>
                <w:p w14:paraId="503B1A60">
                  <w:pPr>
                    <w:pStyle w:val="33"/>
                    <w:adjustRightInd w:val="0"/>
                    <w:snapToGrid w:val="0"/>
                    <w:spacing w:before="0" w:beforeAutospacing="0" w:after="0" w:afterAutospacing="0"/>
                    <w:ind w:firstLine="420" w:firstLineChars="200"/>
                    <w:jc w:val="both"/>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sz w:val="21"/>
                      <w:szCs w:val="21"/>
                      <w:lang w:bidi="ar"/>
                    </w:rPr>
                    <w:t>新建、改建、扩建排放挥发性有机物的建设项目，应当使用污染防治先进可行技术。下列产生含挥发性有机物废气的生产和服务活动，应当优先使用低挥发性有机物含量的原材料和低排放环保工艺，在确保安全条件下，按照规定在密闭空间或者设备中进行，安装、使用满足防爆、防静电要求的治理效率高的污染防治设施；无法密闭或者不适宜密闭的，应当采取有效措施减少废气排放：（一）石油、化工、煤炭加工与转化等含挥发性有机物原料的生产；（二）燃油、溶剂的储存、运输和销售；（三）涂料、油墨、胶粘剂、农药等以挥发性有机物为原料的生产；（四）涂装、印刷、粘合、工业清洗等使用含挥发性有机物产品的生产活动；（五）其他产生挥发性有机物的生产和服务活动。</w:t>
                  </w:r>
                </w:p>
              </w:tc>
              <w:tc>
                <w:tcPr>
                  <w:tcW w:w="1622" w:type="pct"/>
                  <w:vAlign w:val="center"/>
                </w:tcPr>
                <w:p w14:paraId="066FC20D">
                  <w:pPr>
                    <w:ind w:firstLine="420" w:firstLineChars="200"/>
                    <w:jc w:val="left"/>
                    <w:rPr>
                      <w:color w:val="auto"/>
                      <w:szCs w:val="21"/>
                      <w:lang w:bidi="ar"/>
                    </w:rPr>
                  </w:pPr>
                  <w:r>
                    <w:rPr>
                      <w:color w:val="auto"/>
                      <w:szCs w:val="21"/>
                    </w:rPr>
                    <w:t>本项目使用的大气污染防治技术为可行技术。生产过程产生的有机废气经密闭集气罩收集后采用“二级活性炭吸附”废气处理装置处理后经一根排气筒排放，符合要求。</w:t>
                  </w:r>
                </w:p>
              </w:tc>
              <w:tc>
                <w:tcPr>
                  <w:tcW w:w="267" w:type="pct"/>
                  <w:vAlign w:val="center"/>
                </w:tcPr>
                <w:p w14:paraId="087412CA">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r w14:paraId="12B1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 w:type="pct"/>
                  <w:vAlign w:val="center"/>
                </w:tcPr>
                <w:p w14:paraId="1E98717E">
                  <w:pPr>
                    <w:pStyle w:val="33"/>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4</w:t>
                  </w:r>
                </w:p>
              </w:tc>
              <w:tc>
                <w:tcPr>
                  <w:tcW w:w="398" w:type="pct"/>
                  <w:vAlign w:val="center"/>
                </w:tcPr>
                <w:p w14:paraId="5946A04D">
                  <w:pPr>
                    <w:pStyle w:val="33"/>
                    <w:adjustRightInd w:val="0"/>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《广东省水污染防治条例》（2021 年修正）相符性分析</w:t>
                  </w:r>
                </w:p>
                <w:p w14:paraId="0580864A">
                  <w:pPr>
                    <w:pStyle w:val="33"/>
                    <w:adjustRightInd w:val="0"/>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p>
              </w:tc>
              <w:tc>
                <w:tcPr>
                  <w:tcW w:w="2464" w:type="pct"/>
                  <w:vAlign w:val="center"/>
                </w:tcPr>
                <w:p w14:paraId="2EAC6FF8">
                  <w:pPr>
                    <w:pStyle w:val="33"/>
                    <w:adjustRightInd w:val="0"/>
                    <w:snapToGrid w:val="0"/>
                    <w:spacing w:before="0" w:beforeAutospacing="0" w:after="0" w:afterAutospacing="0"/>
                    <w:ind w:firstLine="420" w:firstLineChars="20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排放水污染物的企业事业单位和其他生产经营者应当承担水污染防治主体责任，防止、减少水环境污染和生态破坏，对所造成的损害依法承担责任。</w:t>
                  </w:r>
                </w:p>
                <w:p w14:paraId="28504194">
                  <w:pPr>
                    <w:pStyle w:val="33"/>
                    <w:adjustRightInd w:val="0"/>
                    <w:snapToGrid w:val="0"/>
                    <w:spacing w:before="0" w:beforeAutospacing="0" w:after="0" w:afterAutospacing="0"/>
                    <w:ind w:firstLine="420" w:firstLineChars="200"/>
                    <w:jc w:val="both"/>
                    <w:rPr>
                      <w:rFonts w:ascii="Times New Roman" w:hAnsi="Times New Roman" w:eastAsia="宋体" w:cs="Times New Roman"/>
                      <w:color w:val="auto"/>
                      <w:sz w:val="21"/>
                      <w:szCs w:val="21"/>
                    </w:rPr>
                  </w:pPr>
                </w:p>
              </w:tc>
              <w:tc>
                <w:tcPr>
                  <w:tcW w:w="1622" w:type="pct"/>
                  <w:vAlign w:val="center"/>
                </w:tcPr>
                <w:p w14:paraId="29F0A55B">
                  <w:pPr>
                    <w:pStyle w:val="33"/>
                    <w:adjustRightInd w:val="0"/>
                    <w:snapToGrid w:val="0"/>
                    <w:spacing w:before="0" w:beforeAutospacing="0" w:after="0" w:afterAutospacing="0"/>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本项目生活污水经三级化粪池预处理达到标准后排入园区污水处理厂进一步处理。</w:t>
                  </w:r>
                </w:p>
              </w:tc>
              <w:tc>
                <w:tcPr>
                  <w:tcW w:w="267" w:type="pct"/>
                  <w:vAlign w:val="center"/>
                </w:tcPr>
                <w:p w14:paraId="10045EB1">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bl>
          <w:p w14:paraId="5B2D77EE">
            <w:pPr>
              <w:pStyle w:val="35"/>
              <w:numPr>
                <w:ilvl w:val="0"/>
                <w:numId w:val="3"/>
              </w:numPr>
              <w:spacing w:line="360" w:lineRule="auto"/>
              <w:ind w:firstLine="482" w:firstLineChars="200"/>
              <w:rPr>
                <w:b/>
                <w:bCs/>
                <w:color w:val="auto"/>
                <w:sz w:val="24"/>
                <w:szCs w:val="24"/>
              </w:rPr>
            </w:pPr>
            <w:r>
              <w:rPr>
                <w:b/>
                <w:bCs/>
                <w:color w:val="auto"/>
                <w:sz w:val="24"/>
                <w:szCs w:val="24"/>
              </w:rPr>
              <w:t>本项目与挥发性有机物（VOCs）排放规定的相符性分析</w:t>
            </w:r>
          </w:p>
          <w:p w14:paraId="7A5EC990">
            <w:pPr>
              <w:pStyle w:val="35"/>
              <w:spacing w:line="360" w:lineRule="auto"/>
              <w:ind w:firstLineChars="200"/>
              <w:rPr>
                <w:color w:val="auto"/>
                <w:sz w:val="24"/>
                <w:szCs w:val="24"/>
              </w:rPr>
            </w:pPr>
            <w:r>
              <w:rPr>
                <w:color w:val="auto"/>
                <w:sz w:val="24"/>
                <w:szCs w:val="24"/>
              </w:rPr>
              <w:t>本项目与挥发性有机物（VOCs）排放规定的相符性见下表。</w:t>
            </w:r>
          </w:p>
          <w:p w14:paraId="21678CEE">
            <w:pPr>
              <w:keepNext/>
              <w:widowControl/>
              <w:spacing w:line="360" w:lineRule="auto"/>
              <w:jc w:val="center"/>
              <w:rPr>
                <w:color w:val="auto"/>
                <w:sz w:val="24"/>
                <w:szCs w:val="24"/>
              </w:rPr>
            </w:pPr>
            <w:r>
              <w:rPr>
                <w:b/>
                <w:color w:val="auto"/>
                <w:sz w:val="24"/>
                <w:szCs w:val="24"/>
              </w:rPr>
              <w:t>表</w:t>
            </w:r>
            <w:r>
              <w:rPr>
                <w:b/>
                <w:color w:val="auto"/>
                <w:sz w:val="24"/>
                <w:szCs w:val="24"/>
              </w:rPr>
              <w:fldChar w:fldCharType="begin"/>
            </w:r>
            <w:r>
              <w:rPr>
                <w:b/>
                <w:color w:val="auto"/>
                <w:sz w:val="24"/>
                <w:szCs w:val="24"/>
              </w:rPr>
              <w:instrText xml:space="preserve"> SEQ 表 \* ARABIC </w:instrText>
            </w:r>
            <w:r>
              <w:rPr>
                <w:b/>
                <w:color w:val="auto"/>
                <w:sz w:val="24"/>
                <w:szCs w:val="24"/>
              </w:rPr>
              <w:fldChar w:fldCharType="separate"/>
            </w:r>
            <w:r>
              <w:rPr>
                <w:b/>
                <w:color w:val="auto"/>
                <w:sz w:val="24"/>
                <w:szCs w:val="24"/>
              </w:rPr>
              <w:t>6</w:t>
            </w:r>
            <w:r>
              <w:rPr>
                <w:b/>
                <w:color w:val="auto"/>
                <w:sz w:val="24"/>
                <w:szCs w:val="24"/>
              </w:rPr>
              <w:fldChar w:fldCharType="end"/>
            </w:r>
            <w:r>
              <w:rPr>
                <w:b/>
                <w:color w:val="auto"/>
                <w:sz w:val="24"/>
                <w:szCs w:val="24"/>
              </w:rPr>
              <w:t xml:space="preserve"> 本</w:t>
            </w:r>
            <w:r>
              <w:rPr>
                <w:b/>
                <w:bCs/>
                <w:color w:val="auto"/>
                <w:sz w:val="24"/>
                <w:szCs w:val="24"/>
              </w:rPr>
              <w:t>项目与挥发性有机物（VOCs）排放规定的相符性分析</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
              <w:gridCol w:w="1213"/>
              <w:gridCol w:w="1047"/>
              <w:gridCol w:w="5336"/>
              <w:gridCol w:w="4204"/>
              <w:gridCol w:w="692"/>
            </w:tblGrid>
            <w:tr w14:paraId="1008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Align w:val="center"/>
                </w:tcPr>
                <w:p w14:paraId="1C96446E">
                  <w:pPr>
                    <w:pStyle w:val="33"/>
                    <w:snapToGrid w:val="0"/>
                    <w:spacing w:before="0" w:beforeAutospacing="0" w:after="0" w:afterAutospacing="0"/>
                    <w:jc w:val="center"/>
                    <w:rPr>
                      <w:rFonts w:ascii="Times New Roman" w:hAnsi="Times New Roman" w:eastAsia="宋体" w:cs="Times New Roman"/>
                      <w:b/>
                      <w:bCs/>
                      <w:color w:val="auto"/>
                      <w:sz w:val="21"/>
                      <w:szCs w:val="21"/>
                      <w:lang w:bidi="ar"/>
                    </w:rPr>
                  </w:pPr>
                  <w:r>
                    <w:rPr>
                      <w:rFonts w:ascii="Times New Roman" w:hAnsi="Times New Roman" w:eastAsia="宋体" w:cs="Times New Roman"/>
                      <w:b/>
                      <w:bCs/>
                      <w:color w:val="auto"/>
                      <w:sz w:val="21"/>
                      <w:szCs w:val="21"/>
                      <w:lang w:bidi="ar"/>
                    </w:rPr>
                    <w:t>序号</w:t>
                  </w:r>
                </w:p>
              </w:tc>
              <w:tc>
                <w:tcPr>
                  <w:tcW w:w="468" w:type="pct"/>
                  <w:vAlign w:val="center"/>
                </w:tcPr>
                <w:p w14:paraId="4BCBEBC1">
                  <w:pPr>
                    <w:pStyle w:val="33"/>
                    <w:snapToGrid w:val="0"/>
                    <w:spacing w:before="0" w:beforeAutospacing="0" w:after="0" w:afterAutospacing="0"/>
                    <w:jc w:val="center"/>
                    <w:rPr>
                      <w:rFonts w:ascii="Times New Roman" w:hAnsi="Times New Roman" w:eastAsia="宋体" w:cs="Times New Roman"/>
                      <w:b/>
                      <w:bCs/>
                      <w:color w:val="auto"/>
                      <w:sz w:val="21"/>
                      <w:szCs w:val="21"/>
                      <w:lang w:bidi="ar"/>
                    </w:rPr>
                  </w:pPr>
                  <w:r>
                    <w:rPr>
                      <w:rFonts w:ascii="Times New Roman" w:hAnsi="Times New Roman" w:eastAsia="宋体" w:cs="Times New Roman"/>
                      <w:b/>
                      <w:bCs/>
                      <w:color w:val="auto"/>
                      <w:sz w:val="21"/>
                      <w:szCs w:val="21"/>
                      <w:lang w:bidi="ar"/>
                    </w:rPr>
                    <w:t>文件</w:t>
                  </w:r>
                </w:p>
              </w:tc>
              <w:tc>
                <w:tcPr>
                  <w:tcW w:w="2464" w:type="pct"/>
                  <w:gridSpan w:val="2"/>
                  <w:vAlign w:val="center"/>
                </w:tcPr>
                <w:p w14:paraId="69202301">
                  <w:pPr>
                    <w:pStyle w:val="33"/>
                    <w:snapToGrid w:val="0"/>
                    <w:spacing w:before="0" w:beforeAutospacing="0" w:after="0" w:afterAutospacing="0"/>
                    <w:jc w:val="center"/>
                    <w:rPr>
                      <w:rFonts w:ascii="Times New Roman" w:hAnsi="Times New Roman" w:eastAsia="宋体" w:cs="Times New Roman"/>
                      <w:b/>
                      <w:bCs/>
                      <w:color w:val="auto"/>
                      <w:sz w:val="21"/>
                      <w:szCs w:val="21"/>
                      <w:lang w:bidi="ar"/>
                    </w:rPr>
                  </w:pPr>
                  <w:r>
                    <w:rPr>
                      <w:rFonts w:ascii="Times New Roman" w:hAnsi="Times New Roman" w:eastAsia="宋体" w:cs="Times New Roman"/>
                      <w:b/>
                      <w:bCs/>
                      <w:color w:val="auto"/>
                      <w:sz w:val="21"/>
                      <w:szCs w:val="21"/>
                      <w:lang w:bidi="ar"/>
                    </w:rPr>
                    <w:t>文件要求</w:t>
                  </w:r>
                </w:p>
              </w:tc>
              <w:tc>
                <w:tcPr>
                  <w:tcW w:w="1622" w:type="pct"/>
                  <w:vAlign w:val="center"/>
                </w:tcPr>
                <w:p w14:paraId="10EBB9AE">
                  <w:pPr>
                    <w:pStyle w:val="33"/>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b/>
                      <w:bCs/>
                      <w:color w:val="auto"/>
                      <w:sz w:val="21"/>
                      <w:szCs w:val="21"/>
                      <w:lang w:bidi="ar"/>
                    </w:rPr>
                    <w:t>本项目情况</w:t>
                  </w:r>
                </w:p>
              </w:tc>
              <w:tc>
                <w:tcPr>
                  <w:tcW w:w="267" w:type="pct"/>
                  <w:vAlign w:val="center"/>
                </w:tcPr>
                <w:p w14:paraId="3E3EF34C">
                  <w:pPr>
                    <w:pStyle w:val="33"/>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b/>
                      <w:bCs/>
                      <w:color w:val="auto"/>
                      <w:sz w:val="21"/>
                      <w:szCs w:val="21"/>
                      <w:lang w:bidi="ar"/>
                    </w:rPr>
                    <w:t>符合判定</w:t>
                  </w:r>
                </w:p>
              </w:tc>
            </w:tr>
            <w:tr w14:paraId="0D9A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Merge w:val="restart"/>
                  <w:vAlign w:val="center"/>
                </w:tcPr>
                <w:p w14:paraId="2E9AC64F">
                  <w:pPr>
                    <w:pStyle w:val="33"/>
                    <w:adjustRightInd w:val="0"/>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1</w:t>
                  </w:r>
                </w:p>
              </w:tc>
              <w:tc>
                <w:tcPr>
                  <w:tcW w:w="468" w:type="pct"/>
                  <w:vMerge w:val="restart"/>
                  <w:vAlign w:val="center"/>
                </w:tcPr>
                <w:p w14:paraId="02B68F55">
                  <w:pPr>
                    <w:pStyle w:val="33"/>
                    <w:adjustRightInd w:val="0"/>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《生态环境部关于印发〈重点行业挥发性有机物综合治理方案〉的通知（环大气[2019]53号）</w:t>
                  </w:r>
                </w:p>
              </w:tc>
              <w:tc>
                <w:tcPr>
                  <w:tcW w:w="2464" w:type="pct"/>
                  <w:gridSpan w:val="2"/>
                  <w:vAlign w:val="center"/>
                </w:tcPr>
                <w:p w14:paraId="30A5600F">
                  <w:pPr>
                    <w:pStyle w:val="33"/>
                    <w:numPr>
                      <w:ilvl w:val="0"/>
                      <w:numId w:val="4"/>
                    </w:numPr>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大力推进源头替代。通过使用水性、粉末、高固体分、无溶剂、辐射固化等低VOCs含量的涂料，……化工行业要推广使用低（无）VOCs含量、低反应活性的原辅材料，加快对芳香烃、含卤素有机化合物的绿色替代。……鼓励加快低VOCs含量涂料、油墨、胶粘剂等研发和生产。</w:t>
                  </w:r>
                </w:p>
                <w:p w14:paraId="5362F16C">
                  <w:pPr>
                    <w:pStyle w:val="33"/>
                    <w:numPr>
                      <w:ilvl w:val="0"/>
                      <w:numId w:val="4"/>
                    </w:numPr>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全面加强无组织排放控制。重点对含VOCs物料（包括含 VOCs 原辅材料、含VOCs产品、含VOCs 废料以及有机聚合物材料等）储存、转移和输送、设备与管线组件泄漏、敞开液面逸散以及工艺过程等五类排放源实施管控，通过采取设备与场所密闭、工艺改进、废气有效收集等措施，削减VOCs无组织排放。……</w:t>
                  </w:r>
                </w:p>
                <w:p w14:paraId="15D4A224">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三）推进建设适宜高效的治污设施。……采用一次性活性炭吸附技术的，应定期更换活性炭，废旧活性炭应再生或处理处置。……规范工程设计。采用吸附处理工艺的，应满足《吸附法工业有机废气治理工程技术规范》要求。……</w:t>
                  </w:r>
                </w:p>
              </w:tc>
              <w:tc>
                <w:tcPr>
                  <w:tcW w:w="1622" w:type="pct"/>
                  <w:vAlign w:val="center"/>
                </w:tcPr>
                <w:p w14:paraId="195CF3C1">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1、本项目原辅料混合无化学反应，原辅料挥发性不强，本项目主要从事蚊香、电蚊液生产制造。</w:t>
                  </w:r>
                </w:p>
                <w:p w14:paraId="1E000131">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2、本项目VOCs物料均储存在密闭容器内，主要为密闭包装桶，存放过程中密闭、防水、防晒，原辅料存放过程中无VOCs产生，中转运输时也采用密闭中转桶，符合VOCs物料储存无组织排放控制要求。</w:t>
                  </w:r>
                </w:p>
                <w:p w14:paraId="013A729F">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3、本项目生产车间有机废气统一收集后采用二级活性炭吸附进行处理，</w:t>
                  </w:r>
                  <w:r>
                    <w:rPr>
                      <w:rFonts w:ascii="Times New Roman" w:hAnsi="Times New Roman" w:eastAsia="宋体" w:cs="Times New Roman"/>
                      <w:color w:val="auto"/>
                      <w:sz w:val="21"/>
                      <w:szCs w:val="21"/>
                    </w:rPr>
                    <w:t>后经一根排气筒（DA001）排放</w:t>
                  </w:r>
                  <w:r>
                    <w:rPr>
                      <w:rFonts w:ascii="Times New Roman" w:hAnsi="Times New Roman" w:eastAsia="宋体" w:cs="Times New Roman"/>
                      <w:color w:val="auto"/>
                      <w:sz w:val="21"/>
                      <w:szCs w:val="21"/>
                      <w:lang w:bidi="ar"/>
                    </w:rPr>
                    <w:t>，符合要求。</w:t>
                  </w:r>
                </w:p>
              </w:tc>
              <w:tc>
                <w:tcPr>
                  <w:tcW w:w="267" w:type="pct"/>
                  <w:vAlign w:val="center"/>
                </w:tcPr>
                <w:p w14:paraId="3A4BEB9E">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r w14:paraId="0520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Merge w:val="continue"/>
                  <w:vAlign w:val="center"/>
                </w:tcPr>
                <w:p w14:paraId="0B710470">
                  <w:pPr>
                    <w:pStyle w:val="33"/>
                    <w:adjustRightInd w:val="0"/>
                    <w:snapToGrid w:val="0"/>
                    <w:spacing w:before="0" w:beforeAutospacing="0" w:after="0" w:afterAutospacing="0"/>
                    <w:jc w:val="center"/>
                    <w:rPr>
                      <w:rFonts w:ascii="Times New Roman" w:hAnsi="Times New Roman" w:eastAsia="宋体" w:cs="Times New Roman"/>
                      <w:color w:val="auto"/>
                      <w:sz w:val="21"/>
                      <w:szCs w:val="21"/>
                      <w:lang w:bidi="ar"/>
                    </w:rPr>
                  </w:pPr>
                </w:p>
              </w:tc>
              <w:tc>
                <w:tcPr>
                  <w:tcW w:w="468" w:type="pct"/>
                  <w:vMerge w:val="continue"/>
                  <w:vAlign w:val="center"/>
                </w:tcPr>
                <w:p w14:paraId="09C3E6CD">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sz w:val="21"/>
                      <w:szCs w:val="21"/>
                      <w:lang w:bidi="ar"/>
                    </w:rPr>
                  </w:pPr>
                </w:p>
              </w:tc>
              <w:tc>
                <w:tcPr>
                  <w:tcW w:w="2464" w:type="pct"/>
                  <w:gridSpan w:val="2"/>
                  <w:vAlign w:val="center"/>
                </w:tcPr>
                <w:p w14:paraId="3B79FD19">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重点行业治理任务：</w:t>
                  </w:r>
                </w:p>
                <w:p w14:paraId="51EF6B84">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化工行业VOCs综合治理。加强制药、农药、涂料、油墨、胶粘剂、橡胶和塑料制品等行业VOCs治理力度。重点提高涉VOCs排放主要工序密闭化水平，加强无组织排放收集，加大含VOCs物料储存和装卸治理力度。……</w:t>
                  </w:r>
                </w:p>
                <w:p w14:paraId="68FC9313">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积极推广使用低VOCs含量或低反应活性的原辅材料，加快工艺改进和产品升级。……</w:t>
                  </w:r>
                </w:p>
                <w:p w14:paraId="3CA31DDD">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加快生产设备密闭化改造。对进出料、物料输送、搅拌、固液分离、干燥、灌装等过程，采取密闭化措施，提升工艺装备水平。加快淘汰敞口式、明流式设施。重点区域含VOCs物料输送原则上采用重力流或泵送方式，逐步淘汰真空方式；有机液体进料鼓励采用底部、浸入管给料方式，淘汰喷溅式给料；固体物料投加逐步推进采用密闭式投料装置。</w:t>
                  </w:r>
                </w:p>
                <w:p w14:paraId="58BD7895">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严格控制储存和装卸过程VOCs排放。……</w:t>
                  </w:r>
                </w:p>
                <w:p w14:paraId="77C7C909">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实施废气分类收集处理。优先选用冷凝、吸附再生等回收技术；难以回收的，宜选用燃烧、吸附浓缩+燃烧等高效治理技术。……</w:t>
                  </w:r>
                </w:p>
                <w:p w14:paraId="46786777">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加强非正常工况废气排放控制。……</w:t>
                  </w:r>
                </w:p>
              </w:tc>
              <w:tc>
                <w:tcPr>
                  <w:tcW w:w="1622" w:type="pct"/>
                  <w:vAlign w:val="center"/>
                </w:tcPr>
                <w:p w14:paraId="14260A30">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本项目属于化工行业，本项目主要从事蚊香、电蚊液生产制造，项目加强对生产时有机废气的收集，采用密闭集气罩进行收集。</w:t>
                  </w:r>
                </w:p>
                <w:p w14:paraId="126191A2">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lang w:bidi="ar"/>
                    </w:rPr>
                    <w:t>本项目原辅料混合无化学反应，原辅料挥发性不强。</w:t>
                  </w:r>
                </w:p>
                <w:p w14:paraId="441C9E30">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本项目采用密闭集气罩对生产过程中产生的有机废气进行收集，密闭集气罩对工序四周进行包围，仅保留物料进出口。</w:t>
                  </w:r>
                </w:p>
                <w:p w14:paraId="18ED62F8">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本项目VOCs物料均储存在密闭容器内，主要为密闭包装桶，存放过程中密闭、防水、防晒，原辅料存放过程中无VOCs产生，中转运输时也采用密闭中转桶，符合VOCs物料储存无组织排放控制要求。</w:t>
                  </w:r>
                </w:p>
                <w:p w14:paraId="65FA7B2A">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lang w:bidi="ar"/>
                    </w:rPr>
                    <w:t>本项目生产车间有机废气经收集后采用“二级活性炭”废气处理装置处理后通过排气筒有组织排放，符合要求。活性炭定期更换处置。</w:t>
                  </w:r>
                </w:p>
                <w:p w14:paraId="5553E781">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非正常工况下项目进行停车处理，待维修恢复后再进行生产。</w:t>
                  </w:r>
                </w:p>
              </w:tc>
              <w:tc>
                <w:tcPr>
                  <w:tcW w:w="267" w:type="pct"/>
                  <w:vAlign w:val="center"/>
                </w:tcPr>
                <w:p w14:paraId="0EE51343">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r w14:paraId="30DD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Merge w:val="restart"/>
                  <w:vAlign w:val="center"/>
                </w:tcPr>
                <w:p w14:paraId="51540C9B">
                  <w:pPr>
                    <w:pStyle w:val="33"/>
                    <w:adjustRightInd w:val="0"/>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2</w:t>
                  </w:r>
                </w:p>
              </w:tc>
              <w:tc>
                <w:tcPr>
                  <w:tcW w:w="468" w:type="pct"/>
                  <w:vMerge w:val="restart"/>
                  <w:vAlign w:val="center"/>
                </w:tcPr>
                <w:p w14:paraId="20746AAE">
                  <w:pPr>
                    <w:pStyle w:val="33"/>
                    <w:adjustRightInd w:val="0"/>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《固定污染源挥发性有机物综合排放标准》（DB44/2367-2022）</w:t>
                  </w:r>
                </w:p>
              </w:tc>
              <w:tc>
                <w:tcPr>
                  <w:tcW w:w="2464" w:type="pct"/>
                  <w:gridSpan w:val="2"/>
                  <w:vAlign w:val="center"/>
                </w:tcPr>
                <w:p w14:paraId="2D2D5CEB">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pacing w:val="-2"/>
                      <w:sz w:val="21"/>
                      <w:szCs w:val="21"/>
                    </w:rPr>
                    <w:t>VOCs物料储存：</w:t>
                  </w:r>
                </w:p>
                <w:p w14:paraId="405276B1">
                  <w:pPr>
                    <w:pStyle w:val="33"/>
                    <w:numPr>
                      <w:ilvl w:val="0"/>
                      <w:numId w:val="5"/>
                    </w:numPr>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VOCs物料应储存于密闭的容器、包装袋、储罐、储库、料仓中；</w:t>
                  </w:r>
                </w:p>
                <w:p w14:paraId="36A03D8B">
                  <w:pPr>
                    <w:pStyle w:val="33"/>
                    <w:numPr>
                      <w:ilvl w:val="0"/>
                      <w:numId w:val="5"/>
                    </w:numPr>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盛装VOCs物料的容器或包装袋应存放于室内，或存放于设置有雨棚、遮阳和防渗设施的专用场地，盛装VOCs物料的容器或包装袋在非取用状态时应加盖、封口、保持密闭；</w:t>
                  </w:r>
                </w:p>
                <w:p w14:paraId="3C65BDC9">
                  <w:pPr>
                    <w:pStyle w:val="33"/>
                    <w:numPr>
                      <w:ilvl w:val="0"/>
                      <w:numId w:val="5"/>
                    </w:numPr>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VOCs物料储罐应密封良好，其中挥发性有机液体储罐应符合挥发性有机液体储罐的相关规定；</w:t>
                  </w:r>
                </w:p>
                <w:p w14:paraId="262E9C04">
                  <w:pPr>
                    <w:pStyle w:val="33"/>
                    <w:numPr>
                      <w:ilvl w:val="0"/>
                      <w:numId w:val="5"/>
                    </w:numPr>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VOCs物料储库、料仓应满足对密闭空间的要求。</w:t>
                  </w:r>
                </w:p>
              </w:tc>
              <w:tc>
                <w:tcPr>
                  <w:tcW w:w="1622" w:type="pct"/>
                  <w:vAlign w:val="center"/>
                </w:tcPr>
                <w:p w14:paraId="652410AE">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1、本项目VOCs物料均储存在密闭容器内，为密闭包装桶，存放过程中密闭、防水、防晒。</w:t>
                  </w:r>
                </w:p>
                <w:p w14:paraId="33A0CB23">
                  <w:pPr>
                    <w:pStyle w:val="33"/>
                    <w:numPr>
                      <w:ilvl w:val="0"/>
                      <w:numId w:val="6"/>
                    </w:numPr>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本项目盛装VOCs物料的包装桶分别储存在各仓库中，非取用状态时均加盖、封口、保持密闭。</w:t>
                  </w:r>
                </w:p>
                <w:p w14:paraId="3A9DD515">
                  <w:pPr>
                    <w:pStyle w:val="33"/>
                    <w:numPr>
                      <w:ilvl w:val="0"/>
                      <w:numId w:val="6"/>
                    </w:numPr>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本项目不涉及储罐。</w:t>
                  </w:r>
                </w:p>
                <w:p w14:paraId="54045886">
                  <w:pPr>
                    <w:pStyle w:val="33"/>
                    <w:numPr>
                      <w:ilvl w:val="0"/>
                      <w:numId w:val="6"/>
                    </w:numPr>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本项目VOCs物料储库、料仓应满足对密闭空间的要求</w:t>
                  </w:r>
                </w:p>
              </w:tc>
              <w:tc>
                <w:tcPr>
                  <w:tcW w:w="267" w:type="pct"/>
                  <w:vAlign w:val="center"/>
                </w:tcPr>
                <w:p w14:paraId="45C4FAF9">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r w14:paraId="0D07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Merge w:val="continue"/>
                  <w:vAlign w:val="center"/>
                </w:tcPr>
                <w:p w14:paraId="2AEFA874">
                  <w:pPr>
                    <w:pStyle w:val="33"/>
                    <w:adjustRightInd w:val="0"/>
                    <w:snapToGrid w:val="0"/>
                    <w:spacing w:before="0" w:beforeAutospacing="0" w:after="0" w:afterAutospacing="0"/>
                    <w:jc w:val="center"/>
                    <w:rPr>
                      <w:rFonts w:ascii="Times New Roman" w:hAnsi="Times New Roman" w:eastAsia="宋体" w:cs="Times New Roman"/>
                      <w:color w:val="auto"/>
                      <w:sz w:val="21"/>
                      <w:szCs w:val="21"/>
                      <w:lang w:bidi="ar"/>
                    </w:rPr>
                  </w:pPr>
                </w:p>
              </w:tc>
              <w:tc>
                <w:tcPr>
                  <w:tcW w:w="468" w:type="pct"/>
                  <w:vMerge w:val="continue"/>
                  <w:vAlign w:val="center"/>
                </w:tcPr>
                <w:p w14:paraId="471E2B8E">
                  <w:pPr>
                    <w:pStyle w:val="33"/>
                    <w:adjustRightInd w:val="0"/>
                    <w:snapToGrid w:val="0"/>
                    <w:spacing w:before="0" w:beforeAutospacing="0" w:after="0" w:afterAutospacing="0"/>
                    <w:jc w:val="center"/>
                    <w:rPr>
                      <w:rFonts w:ascii="Times New Roman" w:hAnsi="Times New Roman" w:eastAsia="宋体" w:cs="Times New Roman"/>
                      <w:color w:val="auto"/>
                      <w:sz w:val="21"/>
                      <w:szCs w:val="21"/>
                      <w:lang w:bidi="ar"/>
                    </w:rPr>
                  </w:pPr>
                </w:p>
              </w:tc>
              <w:tc>
                <w:tcPr>
                  <w:tcW w:w="2464" w:type="pct"/>
                  <w:gridSpan w:val="2"/>
                  <w:vAlign w:val="center"/>
                </w:tcPr>
                <w:p w14:paraId="6B79B003">
                  <w:pPr>
                    <w:numPr>
                      <w:ilvl w:val="255"/>
                      <w:numId w:val="0"/>
                    </w:numPr>
                    <w:rPr>
                      <w:color w:val="auto"/>
                      <w:szCs w:val="21"/>
                      <w:lang w:bidi="ar"/>
                    </w:rPr>
                  </w:pPr>
                  <w:r>
                    <w:rPr>
                      <w:color w:val="auto"/>
                      <w:szCs w:val="21"/>
                      <w:lang w:bidi="ar"/>
                    </w:rPr>
                    <w:t>VOCs物料转移和输送无组织排放控制要求：</w:t>
                  </w:r>
                </w:p>
                <w:p w14:paraId="36626398">
                  <w:pPr>
                    <w:numPr>
                      <w:ilvl w:val="0"/>
                      <w:numId w:val="7"/>
                    </w:numPr>
                    <w:rPr>
                      <w:color w:val="auto"/>
                      <w:szCs w:val="21"/>
                      <w:lang w:bidi="ar"/>
                    </w:rPr>
                  </w:pPr>
                  <w:r>
                    <w:rPr>
                      <w:color w:val="auto"/>
                      <w:szCs w:val="21"/>
                      <w:lang w:bidi="ar"/>
                    </w:rPr>
                    <w:t>液态VOCs物料应采用密闭管道输送。采用非管道输送方式转移液体VOCs物料时，应采用密闭容器、罐车。</w:t>
                  </w:r>
                </w:p>
                <w:p w14:paraId="77938579">
                  <w:pPr>
                    <w:numPr>
                      <w:ilvl w:val="0"/>
                      <w:numId w:val="7"/>
                    </w:numPr>
                    <w:rPr>
                      <w:color w:val="auto"/>
                      <w:szCs w:val="21"/>
                    </w:rPr>
                  </w:pPr>
                  <w:r>
                    <w:rPr>
                      <w:color w:val="auto"/>
                      <w:szCs w:val="21"/>
                      <w:lang w:val="zh-CN" w:bidi="ar"/>
                    </w:rPr>
                    <w:t>粉状、粒状VOCs物料应采用气力输送设备、管状带式输送机、螺旋输送机等密闭输送方式，或者采用密闭的包装袋、容器或罐车进行物料转移。</w:t>
                  </w:r>
                </w:p>
                <w:p w14:paraId="71746931">
                  <w:pPr>
                    <w:numPr>
                      <w:ilvl w:val="0"/>
                      <w:numId w:val="7"/>
                    </w:numPr>
                    <w:rPr>
                      <w:color w:val="auto"/>
                      <w:szCs w:val="21"/>
                      <w:lang w:bidi="ar"/>
                    </w:rPr>
                  </w:pPr>
                  <w:r>
                    <w:rPr>
                      <w:color w:val="auto"/>
                      <w:szCs w:val="21"/>
                      <w:lang w:bidi="ar"/>
                    </w:rPr>
                    <w:t>对挥发性有机液体进行装载时，应符合挥发性有机液体装载规定。</w:t>
                  </w:r>
                </w:p>
              </w:tc>
              <w:tc>
                <w:tcPr>
                  <w:tcW w:w="1622" w:type="pct"/>
                  <w:vAlign w:val="center"/>
                </w:tcPr>
                <w:p w14:paraId="19F46EEB">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1、本项目液态VOCs物料采用密闭管道输送或密闭容器，中转时采用密闭中转桶。</w:t>
                  </w:r>
                </w:p>
                <w:p w14:paraId="514FF96C">
                  <w:pPr>
                    <w:pStyle w:val="33"/>
                    <w:numPr>
                      <w:ilvl w:val="0"/>
                      <w:numId w:val="8"/>
                    </w:numPr>
                    <w:snapToGrid w:val="0"/>
                    <w:spacing w:before="0" w:beforeAutospacing="0" w:after="0" w:afterAutospacing="0"/>
                    <w:ind w:firstLine="420" w:firstLineChars="200"/>
                    <w:jc w:val="both"/>
                    <w:rPr>
                      <w:rFonts w:ascii="Times New Roman" w:hAnsi="Times New Roman" w:eastAsia="宋体" w:cs="Times New Roman"/>
                      <w:color w:val="auto"/>
                      <w:sz w:val="21"/>
                      <w:szCs w:val="21"/>
                      <w:lang w:val="zh-CN" w:bidi="ar"/>
                    </w:rPr>
                  </w:pPr>
                  <w:r>
                    <w:rPr>
                      <w:rFonts w:ascii="Times New Roman" w:hAnsi="Times New Roman" w:eastAsia="宋体" w:cs="Times New Roman"/>
                      <w:color w:val="auto"/>
                      <w:sz w:val="21"/>
                      <w:szCs w:val="21"/>
                      <w:lang w:bidi="ar"/>
                    </w:rPr>
                    <w:t>本项目不涉及</w:t>
                  </w:r>
                  <w:r>
                    <w:rPr>
                      <w:rFonts w:ascii="Times New Roman" w:hAnsi="Times New Roman" w:eastAsia="宋体" w:cs="Times New Roman"/>
                      <w:color w:val="auto"/>
                      <w:sz w:val="21"/>
                      <w:szCs w:val="21"/>
                      <w:lang w:val="zh-CN" w:bidi="ar"/>
                    </w:rPr>
                    <w:t>粉状、粒状VOCs物料。</w:t>
                  </w:r>
                </w:p>
                <w:p w14:paraId="04208C17">
                  <w:pPr>
                    <w:pStyle w:val="33"/>
                    <w:numPr>
                      <w:ilvl w:val="0"/>
                      <w:numId w:val="8"/>
                    </w:numPr>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本项目挥发性有机液体进行装载时，符合挥发性有机液体装载规定</w:t>
                  </w:r>
                </w:p>
              </w:tc>
              <w:tc>
                <w:tcPr>
                  <w:tcW w:w="267" w:type="pct"/>
                  <w:vAlign w:val="center"/>
                </w:tcPr>
                <w:p w14:paraId="6FAAF863">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r w14:paraId="59BD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Merge w:val="continue"/>
                  <w:vAlign w:val="center"/>
                </w:tcPr>
                <w:p w14:paraId="03B61FE4">
                  <w:pPr>
                    <w:pStyle w:val="33"/>
                    <w:adjustRightInd w:val="0"/>
                    <w:snapToGrid w:val="0"/>
                    <w:spacing w:before="0" w:beforeAutospacing="0" w:after="0" w:afterAutospacing="0"/>
                    <w:jc w:val="center"/>
                    <w:rPr>
                      <w:rFonts w:ascii="Times New Roman" w:hAnsi="Times New Roman" w:eastAsia="宋体" w:cs="Times New Roman"/>
                      <w:color w:val="auto"/>
                      <w:sz w:val="21"/>
                      <w:szCs w:val="21"/>
                      <w:lang w:bidi="ar"/>
                    </w:rPr>
                  </w:pPr>
                </w:p>
              </w:tc>
              <w:tc>
                <w:tcPr>
                  <w:tcW w:w="468" w:type="pct"/>
                  <w:vMerge w:val="continue"/>
                  <w:vAlign w:val="center"/>
                </w:tcPr>
                <w:p w14:paraId="7CF23335">
                  <w:pPr>
                    <w:pStyle w:val="33"/>
                    <w:adjustRightInd w:val="0"/>
                    <w:snapToGrid w:val="0"/>
                    <w:spacing w:before="0" w:beforeAutospacing="0" w:after="0" w:afterAutospacing="0"/>
                    <w:jc w:val="center"/>
                    <w:rPr>
                      <w:rFonts w:ascii="Times New Roman" w:hAnsi="Times New Roman" w:eastAsia="宋体" w:cs="Times New Roman"/>
                      <w:color w:val="auto"/>
                      <w:sz w:val="21"/>
                      <w:szCs w:val="21"/>
                      <w:lang w:bidi="ar"/>
                    </w:rPr>
                  </w:pPr>
                </w:p>
              </w:tc>
              <w:tc>
                <w:tcPr>
                  <w:tcW w:w="2464" w:type="pct"/>
                  <w:gridSpan w:val="2"/>
                  <w:vAlign w:val="center"/>
                </w:tcPr>
                <w:p w14:paraId="72A38019">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工艺过程VOCs无组织排放控制过程：</w:t>
                  </w:r>
                </w:p>
                <w:p w14:paraId="05762510">
                  <w:pPr>
                    <w:pStyle w:val="33"/>
                    <w:numPr>
                      <w:ilvl w:val="0"/>
                      <w:numId w:val="9"/>
                    </w:numPr>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VOCs质量占比大于等于10%的含VOCs产品，其使用过程应采用密闭设备或在密闭空间内操作，废气应排至VOCs废气收集处理系统：无法密闭的，应采取局部气体收集措施，废气应排至VOCs废气收集处理系统。</w:t>
                  </w:r>
                </w:p>
                <w:p w14:paraId="20789288">
                  <w:pPr>
                    <w:pStyle w:val="33"/>
                    <w:numPr>
                      <w:ilvl w:val="0"/>
                      <w:numId w:val="9"/>
                    </w:numPr>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pacing w:val="-2"/>
                      <w:sz w:val="21"/>
                      <w:szCs w:val="21"/>
                    </w:rPr>
                    <w:t>有机聚合物产品用于制品生产的过程，在（混合/混炼、塑炼/塑化/熔化、加工成型（挤出、注射、压制、压延、发泡、纺丝等）等作业中应采用密闭设备或在密闭空间内操作，或采取局部气体收集措施；废气应排至VOCs废气收集处理系统。</w:t>
                  </w:r>
                </w:p>
              </w:tc>
              <w:tc>
                <w:tcPr>
                  <w:tcW w:w="1622" w:type="pct"/>
                  <w:vAlign w:val="center"/>
                </w:tcPr>
                <w:p w14:paraId="4C9A3C54">
                  <w:pPr>
                    <w:numPr>
                      <w:ilvl w:val="0"/>
                      <w:numId w:val="10"/>
                    </w:numPr>
                    <w:ind w:firstLine="420" w:firstLineChars="200"/>
                    <w:rPr>
                      <w:color w:val="auto"/>
                      <w:szCs w:val="21"/>
                      <w:lang w:bidi="ar"/>
                    </w:rPr>
                  </w:pPr>
                  <w:r>
                    <w:rPr>
                      <w:color w:val="auto"/>
                      <w:szCs w:val="21"/>
                      <w:lang w:bidi="ar"/>
                    </w:rPr>
                    <w:t>本项目物料搅拌时采用密闭的搅拌锅，进行喷药、灌装等工序时采用密闭集气罩进行收集，对工序四周进行密闭，仅保留物料进出口</w:t>
                  </w:r>
                </w:p>
                <w:p w14:paraId="540942F3">
                  <w:pPr>
                    <w:ind w:firstLine="420" w:firstLineChars="200"/>
                    <w:rPr>
                      <w:color w:val="auto"/>
                      <w:szCs w:val="21"/>
                      <w:lang w:bidi="ar"/>
                    </w:rPr>
                  </w:pPr>
                  <w:r>
                    <w:rPr>
                      <w:color w:val="auto"/>
                      <w:szCs w:val="21"/>
                      <w:lang w:bidi="ar"/>
                    </w:rPr>
                    <w:t>2、生产过程</w:t>
                  </w:r>
                  <w:r>
                    <w:rPr>
                      <w:color w:val="auto"/>
                      <w:kern w:val="0"/>
                      <w:szCs w:val="21"/>
                      <w:lang w:bidi="ar"/>
                    </w:rPr>
                    <w:t>产生的有机废气经密闭罩收集后，经过“</w:t>
                  </w:r>
                  <w:r>
                    <w:rPr>
                      <w:color w:val="auto"/>
                      <w:kern w:val="0"/>
                      <w:szCs w:val="21"/>
                    </w:rPr>
                    <w:t>二级活性炭吸附</w:t>
                  </w:r>
                  <w:r>
                    <w:rPr>
                      <w:color w:val="auto"/>
                      <w:kern w:val="0"/>
                      <w:szCs w:val="21"/>
                      <w:lang w:bidi="ar"/>
                    </w:rPr>
                    <w:t>”废气处理装置处理后由一根排气筒排放（DAD001），符合要求</w:t>
                  </w:r>
                  <w:r>
                    <w:rPr>
                      <w:color w:val="auto"/>
                      <w:szCs w:val="21"/>
                      <w:lang w:bidi="ar"/>
                    </w:rPr>
                    <w:t>。</w:t>
                  </w:r>
                </w:p>
              </w:tc>
              <w:tc>
                <w:tcPr>
                  <w:tcW w:w="267" w:type="pct"/>
                  <w:vAlign w:val="center"/>
                </w:tcPr>
                <w:p w14:paraId="025A355B">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r w14:paraId="7A0D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Merge w:val="continue"/>
                  <w:vAlign w:val="center"/>
                </w:tcPr>
                <w:p w14:paraId="56BF1339">
                  <w:pPr>
                    <w:pStyle w:val="33"/>
                    <w:adjustRightInd w:val="0"/>
                    <w:snapToGrid w:val="0"/>
                    <w:spacing w:before="0" w:beforeAutospacing="0" w:after="0" w:afterAutospacing="0"/>
                    <w:jc w:val="center"/>
                    <w:rPr>
                      <w:rFonts w:ascii="Times New Roman" w:hAnsi="Times New Roman" w:eastAsia="宋体" w:cs="Times New Roman"/>
                      <w:color w:val="auto"/>
                      <w:sz w:val="21"/>
                      <w:szCs w:val="21"/>
                      <w:lang w:bidi="ar"/>
                    </w:rPr>
                  </w:pPr>
                </w:p>
              </w:tc>
              <w:tc>
                <w:tcPr>
                  <w:tcW w:w="468" w:type="pct"/>
                  <w:vMerge w:val="continue"/>
                  <w:vAlign w:val="center"/>
                </w:tcPr>
                <w:p w14:paraId="7B515176">
                  <w:pPr>
                    <w:pStyle w:val="33"/>
                    <w:adjustRightInd w:val="0"/>
                    <w:snapToGrid w:val="0"/>
                    <w:spacing w:before="0" w:beforeAutospacing="0" w:after="0" w:afterAutospacing="0"/>
                    <w:jc w:val="center"/>
                    <w:rPr>
                      <w:rFonts w:ascii="Times New Roman" w:hAnsi="Times New Roman" w:eastAsia="宋体" w:cs="Times New Roman"/>
                      <w:color w:val="auto"/>
                      <w:sz w:val="21"/>
                      <w:szCs w:val="21"/>
                      <w:lang w:bidi="ar"/>
                    </w:rPr>
                  </w:pPr>
                </w:p>
              </w:tc>
              <w:tc>
                <w:tcPr>
                  <w:tcW w:w="2464" w:type="pct"/>
                  <w:gridSpan w:val="2"/>
                  <w:vAlign w:val="center"/>
                </w:tcPr>
                <w:p w14:paraId="79AF2150">
                  <w:pPr>
                    <w:pStyle w:val="46"/>
                    <w:numPr>
                      <w:ilvl w:val="255"/>
                      <w:numId w:val="0"/>
                    </w:numPr>
                    <w:rPr>
                      <w:rFonts w:hint="default" w:ascii="Times New Roman" w:hAnsi="Times New Roman"/>
                      <w:color w:val="auto"/>
                      <w:sz w:val="21"/>
                      <w:szCs w:val="21"/>
                      <w:lang w:bidi="ar"/>
                    </w:rPr>
                  </w:pPr>
                  <w:r>
                    <w:rPr>
                      <w:rFonts w:hint="default" w:ascii="Times New Roman" w:hAnsi="Times New Roman"/>
                      <w:color w:val="auto"/>
                      <w:sz w:val="21"/>
                      <w:szCs w:val="21"/>
                      <w:lang w:bidi="ar"/>
                    </w:rPr>
                    <w:t>有组织排放控制要求：</w:t>
                  </w:r>
                </w:p>
                <w:p w14:paraId="4E9DE73C">
                  <w:pPr>
                    <w:pStyle w:val="46"/>
                    <w:numPr>
                      <w:ilvl w:val="0"/>
                      <w:numId w:val="11"/>
                    </w:numPr>
                    <w:rPr>
                      <w:rFonts w:hint="default" w:ascii="Times New Roman" w:hAnsi="Times New Roman"/>
                      <w:color w:val="auto"/>
                      <w:sz w:val="21"/>
                      <w:szCs w:val="21"/>
                      <w:lang w:bidi="ar"/>
                    </w:rPr>
                  </w:pPr>
                  <w:r>
                    <w:rPr>
                      <w:rFonts w:hint="default" w:ascii="Times New Roman" w:hAnsi="Times New Roman"/>
                      <w:color w:val="auto"/>
                      <w:spacing w:val="-2"/>
                      <w:sz w:val="21"/>
                      <w:szCs w:val="21"/>
                    </w:rPr>
                    <w:t>收集的废气中NMHC初始排放速率≥3kg/h时，应配置VOCs处理设施，处理效率不应低于80%；对于重点地区，收集的废气中NMHC初始排放速率≥2kg/h时，应配置VOCs处理设施，处理效率不应低于80%；采用的原辅材料符合国家有关低VOCs含量产品规定的除外。</w:t>
                  </w:r>
                </w:p>
                <w:p w14:paraId="1ABCB54D">
                  <w:pPr>
                    <w:pStyle w:val="46"/>
                    <w:numPr>
                      <w:ilvl w:val="0"/>
                      <w:numId w:val="11"/>
                    </w:numPr>
                    <w:snapToGrid w:val="0"/>
                    <w:rPr>
                      <w:rFonts w:hint="default" w:ascii="Times New Roman" w:hAnsi="Times New Roman"/>
                      <w:color w:val="auto"/>
                    </w:rPr>
                  </w:pPr>
                  <w:r>
                    <w:rPr>
                      <w:rFonts w:hint="default" w:ascii="Times New Roman" w:hAnsi="Times New Roman"/>
                      <w:color w:val="auto"/>
                      <w:sz w:val="21"/>
                      <w:szCs w:val="21"/>
                      <w:lang w:bidi="ar"/>
                    </w:rPr>
                    <w:t>VOCs废气收集处理系统应与生产工艺设备同步运行，较生产工艺设备做到“先启后停”。VOCs废气收集处理系统发生故障或检修时，对应的生产工艺设备应停止运行，待检修完毕后同步投入使用；生产工艺设备不能停止运行或不能及时停止运行的，应设置废气应急处理设施或采取其他替代措施。</w:t>
                  </w:r>
                </w:p>
                <w:p w14:paraId="54840FE8">
                  <w:pPr>
                    <w:pStyle w:val="46"/>
                    <w:numPr>
                      <w:ilvl w:val="0"/>
                      <w:numId w:val="11"/>
                    </w:numPr>
                    <w:rPr>
                      <w:rFonts w:hint="default" w:ascii="Times New Roman" w:hAnsi="Times New Roman"/>
                      <w:color w:val="auto"/>
                      <w:sz w:val="21"/>
                      <w:szCs w:val="21"/>
                      <w:lang w:bidi="ar"/>
                    </w:rPr>
                  </w:pPr>
                  <w:r>
                    <w:rPr>
                      <w:rFonts w:hint="default" w:ascii="Times New Roman" w:hAnsi="Times New Roman"/>
                      <w:color w:val="auto"/>
                      <w:spacing w:val="-2"/>
                      <w:sz w:val="21"/>
                      <w:szCs w:val="21"/>
                    </w:rPr>
                    <w:t>排气筒高度不低于15m（因安全考虑或有特殊工艺要求的除外），具体高度以及与</w:t>
                  </w:r>
                  <w:r>
                    <w:rPr>
                      <w:rFonts w:hint="default" w:ascii="Times New Roman" w:hAnsi="Times New Roman"/>
                      <w:color w:val="auto"/>
                      <w:sz w:val="21"/>
                      <w:szCs w:val="21"/>
                    </w:rPr>
                    <w:t>周围</w:t>
                  </w:r>
                  <w:r>
                    <w:rPr>
                      <w:rFonts w:hint="default" w:ascii="Times New Roman" w:hAnsi="Times New Roman"/>
                      <w:color w:val="auto"/>
                      <w:spacing w:val="-2"/>
                      <w:sz w:val="21"/>
                      <w:szCs w:val="21"/>
                    </w:rPr>
                    <w:t>建筑物的相对高度关系应根据环境影响评价文件确定。</w:t>
                  </w:r>
                </w:p>
                <w:p w14:paraId="69631550">
                  <w:pPr>
                    <w:pStyle w:val="46"/>
                    <w:numPr>
                      <w:ilvl w:val="0"/>
                      <w:numId w:val="11"/>
                    </w:numPr>
                    <w:rPr>
                      <w:rFonts w:hint="default" w:ascii="Times New Roman" w:hAnsi="Times New Roman"/>
                      <w:color w:val="auto"/>
                      <w:sz w:val="21"/>
                      <w:szCs w:val="21"/>
                      <w:lang w:bidi="ar"/>
                    </w:rPr>
                  </w:pPr>
                  <w:r>
                    <w:rPr>
                      <w:rFonts w:hint="default" w:ascii="Times New Roman" w:hAnsi="Times New Roman"/>
                      <w:color w:val="auto"/>
                      <w:spacing w:val="-2"/>
                      <w:sz w:val="21"/>
                      <w:szCs w:val="21"/>
                    </w:rPr>
                    <w:t>当执行不同排放控制要求的废气合并排气筒排放时，应在废气混合前进行监测，并执行相应的排放控制要求；若可选择的监控位置只能对混合后的废气进行检测，则应按各排放控制要求中最严格的规定执行。</w:t>
                  </w:r>
                </w:p>
              </w:tc>
              <w:tc>
                <w:tcPr>
                  <w:tcW w:w="1622" w:type="pct"/>
                  <w:vAlign w:val="center"/>
                </w:tcPr>
                <w:p w14:paraId="19359CB2">
                  <w:pPr>
                    <w:pStyle w:val="33"/>
                    <w:numPr>
                      <w:ilvl w:val="0"/>
                      <w:numId w:val="12"/>
                    </w:numPr>
                    <w:snapToGrid w:val="0"/>
                    <w:spacing w:before="0" w:beforeAutospacing="0" w:after="0" w:afterAutospacing="0"/>
                    <w:ind w:firstLine="420" w:firstLineChars="200"/>
                    <w:jc w:val="both"/>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本项目产生的有机废气采用“二级活性炭吸附”废气处理装置。本项目不属于重点地区，产生的NMHC初始排放速率＜3kg/h。</w:t>
                  </w:r>
                </w:p>
                <w:p w14:paraId="38C90B17">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2、本项目VOCs废气收集处理系统应与生产工艺设备同步运行。VOCs废气收集处理系统发生故障或检修时，对应的生产工艺设备应停止运行，待检修完毕后同步投入使用。</w:t>
                  </w:r>
                </w:p>
                <w:p w14:paraId="13BB5490">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3、本项目涉有机废气排气筒为楼顶排气筒排放（22.5m）。</w:t>
                  </w:r>
                </w:p>
                <w:p w14:paraId="14A7DEAC">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4、本项目废气经处理后能满足相关排放控制要求。</w:t>
                  </w:r>
                </w:p>
              </w:tc>
              <w:tc>
                <w:tcPr>
                  <w:tcW w:w="267" w:type="pct"/>
                  <w:vAlign w:val="center"/>
                </w:tcPr>
                <w:p w14:paraId="07163578">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r w14:paraId="7977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7" w:type="pct"/>
                  <w:vMerge w:val="restart"/>
                  <w:vAlign w:val="center"/>
                </w:tcPr>
                <w:p w14:paraId="0346F9A6">
                  <w:pPr>
                    <w:pStyle w:val="33"/>
                    <w:adjustRightInd w:val="0"/>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3</w:t>
                  </w:r>
                </w:p>
              </w:tc>
              <w:tc>
                <w:tcPr>
                  <w:tcW w:w="468" w:type="pct"/>
                  <w:vMerge w:val="restart"/>
                  <w:vAlign w:val="center"/>
                </w:tcPr>
                <w:p w14:paraId="54E3F599">
                  <w:pPr>
                    <w:widowControl/>
                    <w:adjustRightInd w:val="0"/>
                    <w:snapToGrid w:val="0"/>
                    <w:jc w:val="center"/>
                    <w:rPr>
                      <w:color w:val="auto"/>
                      <w:szCs w:val="21"/>
                      <w:lang w:bidi="ar"/>
                    </w:rPr>
                  </w:pPr>
                  <w:r>
                    <w:rPr>
                      <w:color w:val="auto"/>
                      <w:kern w:val="0"/>
                      <w:szCs w:val="21"/>
                      <w:lang w:bidi="ar"/>
                    </w:rPr>
                    <w:t>《广东省涉挥发性有机物（VOCs）重点行业治理指引》中“二、 化学原料和化学制品制造业 VOCs 治理指引”</w:t>
                  </w:r>
                </w:p>
              </w:tc>
              <w:tc>
                <w:tcPr>
                  <w:tcW w:w="4087" w:type="pct"/>
                  <w:gridSpan w:val="3"/>
                  <w:vAlign w:val="center"/>
                </w:tcPr>
                <w:p w14:paraId="4851D370">
                  <w:pPr>
                    <w:pStyle w:val="33"/>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color w:val="auto"/>
                      <w:kern w:val="0"/>
                      <w:sz w:val="21"/>
                      <w:szCs w:val="21"/>
                      <w:lang w:bidi="ar"/>
                    </w:rPr>
                    <w:t>源头削减</w:t>
                  </w:r>
                </w:p>
              </w:tc>
              <w:tc>
                <w:tcPr>
                  <w:tcW w:w="267" w:type="pct"/>
                  <w:vMerge w:val="restart"/>
                  <w:vAlign w:val="center"/>
                </w:tcPr>
                <w:p w14:paraId="06294CE7">
                  <w:pPr>
                    <w:pStyle w:val="33"/>
                    <w:snapToGrid w:val="0"/>
                    <w:spacing w:before="0" w:beforeAutospacing="0" w:after="0" w:afterAutospacing="0"/>
                    <w:jc w:val="center"/>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r w14:paraId="661B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7" w:type="pct"/>
                  <w:vMerge w:val="continue"/>
                  <w:vAlign w:val="center"/>
                </w:tcPr>
                <w:p w14:paraId="08A18FF4">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sz w:val="21"/>
                      <w:szCs w:val="21"/>
                    </w:rPr>
                  </w:pPr>
                </w:p>
              </w:tc>
              <w:tc>
                <w:tcPr>
                  <w:tcW w:w="468" w:type="pct"/>
                  <w:vMerge w:val="continue"/>
                  <w:vAlign w:val="center"/>
                </w:tcPr>
                <w:p w14:paraId="391C3C83">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sz w:val="21"/>
                      <w:szCs w:val="21"/>
                    </w:rPr>
                  </w:pPr>
                </w:p>
              </w:tc>
              <w:tc>
                <w:tcPr>
                  <w:tcW w:w="404" w:type="pct"/>
                  <w:vAlign w:val="center"/>
                </w:tcPr>
                <w:p w14:paraId="0B4A4243">
                  <w:pPr>
                    <w:pStyle w:val="33"/>
                    <w:snapToGrid w:val="0"/>
                    <w:spacing w:before="0" w:beforeAutospacing="0" w:after="0" w:afterAutospacing="0"/>
                    <w:jc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低（无）泄漏设备</w:t>
                  </w:r>
                </w:p>
              </w:tc>
              <w:tc>
                <w:tcPr>
                  <w:tcW w:w="2059" w:type="pct"/>
                  <w:vAlign w:val="center"/>
                </w:tcPr>
                <w:p w14:paraId="3ADCC18F">
                  <w:pPr>
                    <w:pStyle w:val="33"/>
                    <w:snapToGrid w:val="0"/>
                    <w:spacing w:before="0" w:beforeAutospacing="0" w:after="0" w:afterAutospacing="0"/>
                    <w:jc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使用无泄漏、低泄漏的泵、压缩机、过滤机、离心机、干燥设备等</w:t>
                  </w:r>
                </w:p>
              </w:tc>
              <w:tc>
                <w:tcPr>
                  <w:tcW w:w="1622" w:type="pct"/>
                  <w:vAlign w:val="center"/>
                </w:tcPr>
                <w:p w14:paraId="41FA4DC9">
                  <w:pPr>
                    <w:widowControl/>
                    <w:adjustRightInd w:val="0"/>
                    <w:snapToGrid w:val="0"/>
                    <w:rPr>
                      <w:color w:val="auto"/>
                      <w:szCs w:val="21"/>
                    </w:rPr>
                  </w:pPr>
                  <w:r>
                    <w:rPr>
                      <w:color w:val="auto"/>
                      <w:szCs w:val="21"/>
                    </w:rPr>
                    <w:t>本项目使用无泄漏的搅拌锅等设备，符合要求</w:t>
                  </w:r>
                </w:p>
              </w:tc>
              <w:tc>
                <w:tcPr>
                  <w:tcW w:w="267" w:type="pct"/>
                  <w:vMerge w:val="continue"/>
                  <w:vAlign w:val="center"/>
                </w:tcPr>
                <w:p w14:paraId="3A86F2C2">
                  <w:pPr>
                    <w:pStyle w:val="33"/>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r>
            <w:tr w14:paraId="43C8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7" w:type="pct"/>
                  <w:vMerge w:val="continue"/>
                  <w:vAlign w:val="center"/>
                </w:tcPr>
                <w:p w14:paraId="54C8D54C">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68" w:type="pct"/>
                  <w:vMerge w:val="continue"/>
                  <w:vAlign w:val="center"/>
                </w:tcPr>
                <w:p w14:paraId="37AB9755">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087" w:type="pct"/>
                  <w:gridSpan w:val="3"/>
                  <w:vAlign w:val="center"/>
                </w:tcPr>
                <w:p w14:paraId="4CD95FBC">
                  <w:pPr>
                    <w:pStyle w:val="33"/>
                    <w:snapToGrid w:val="0"/>
                    <w:spacing w:before="0" w:beforeAutospacing="0" w:after="0" w:afterAutospacing="0"/>
                    <w:jc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控制过程</w:t>
                  </w:r>
                </w:p>
              </w:tc>
              <w:tc>
                <w:tcPr>
                  <w:tcW w:w="267" w:type="pct"/>
                  <w:vMerge w:val="restart"/>
                  <w:vAlign w:val="center"/>
                </w:tcPr>
                <w:p w14:paraId="4A3A908E">
                  <w:pPr>
                    <w:pStyle w:val="33"/>
                    <w:snapToGrid w:val="0"/>
                    <w:spacing w:before="0" w:beforeAutospacing="0" w:after="0" w:afterAutospacing="0"/>
                    <w:jc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sz w:val="21"/>
                      <w:szCs w:val="21"/>
                      <w:lang w:bidi="ar"/>
                    </w:rPr>
                    <w:t>符合</w:t>
                  </w:r>
                </w:p>
              </w:tc>
            </w:tr>
            <w:tr w14:paraId="3CF0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7" w:type="pct"/>
                  <w:vMerge w:val="continue"/>
                  <w:vAlign w:val="center"/>
                </w:tcPr>
                <w:p w14:paraId="7A610387">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68" w:type="pct"/>
                  <w:vMerge w:val="continue"/>
                  <w:vAlign w:val="center"/>
                </w:tcPr>
                <w:p w14:paraId="76D1455B">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04" w:type="pct"/>
                  <w:vAlign w:val="center"/>
                </w:tcPr>
                <w:p w14:paraId="555EA2E0">
                  <w:pPr>
                    <w:pStyle w:val="33"/>
                    <w:snapToGrid w:val="0"/>
                    <w:spacing w:before="0" w:beforeAutospacing="0" w:after="0" w:afterAutospacing="0"/>
                    <w:jc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物料输送</w:t>
                  </w:r>
                </w:p>
                <w:p w14:paraId="2A9B5E18">
                  <w:pPr>
                    <w:pStyle w:val="33"/>
                    <w:snapToGrid w:val="0"/>
                    <w:spacing w:before="0" w:beforeAutospacing="0" w:after="0" w:afterAutospacing="0"/>
                    <w:jc w:val="center"/>
                    <w:rPr>
                      <w:rFonts w:ascii="Times New Roman" w:hAnsi="Times New Roman" w:eastAsia="宋体" w:cs="Times New Roman"/>
                      <w:color w:val="auto"/>
                      <w:kern w:val="0"/>
                      <w:sz w:val="21"/>
                      <w:szCs w:val="21"/>
                      <w:lang w:bidi="ar"/>
                    </w:rPr>
                  </w:pPr>
                </w:p>
              </w:tc>
              <w:tc>
                <w:tcPr>
                  <w:tcW w:w="2059" w:type="pct"/>
                  <w:vAlign w:val="center"/>
                </w:tcPr>
                <w:p w14:paraId="257575B8">
                  <w:pPr>
                    <w:pStyle w:val="33"/>
                    <w:snapToGrid w:val="0"/>
                    <w:spacing w:before="0" w:beforeAutospacing="0" w:after="0" w:afterAutospacing="0"/>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液态物料应采用密闭管道，采用非管道输送方式转移液态 VOCs 物料时，应采用密闭容器、罐车。粉状、粒状 VOCs 物料应采用气力输送设备、管状带式输送机、螺旋输送机等密闭输送方式，或者采用密闭的包装袋、容器或罐车进行物料转移。</w:t>
                  </w:r>
                </w:p>
              </w:tc>
              <w:tc>
                <w:tcPr>
                  <w:tcW w:w="1622" w:type="pct"/>
                  <w:vAlign w:val="center"/>
                </w:tcPr>
                <w:p w14:paraId="2631D3C2">
                  <w:pPr>
                    <w:pStyle w:val="33"/>
                    <w:snapToGrid w:val="0"/>
                    <w:spacing w:before="0" w:beforeAutospacing="0" w:after="0" w:afterAutospacing="0"/>
                    <w:rPr>
                      <w:rFonts w:ascii="Times New Roman" w:hAnsi="Times New Roman" w:eastAsia="宋体" w:cs="Times New Roman"/>
                      <w:color w:val="auto"/>
                      <w:kern w:val="0"/>
                      <w:sz w:val="21"/>
                      <w:szCs w:val="21"/>
                      <w:lang w:val="zh-CN" w:bidi="ar"/>
                    </w:rPr>
                  </w:pPr>
                  <w:r>
                    <w:rPr>
                      <w:rFonts w:ascii="Times New Roman" w:hAnsi="Times New Roman" w:eastAsia="宋体" w:cs="Times New Roman"/>
                      <w:color w:val="auto"/>
                      <w:sz w:val="21"/>
                      <w:szCs w:val="21"/>
                      <w:lang w:bidi="ar"/>
                    </w:rPr>
                    <w:t>本项目液态VOCs物料采用密闭管道输送或密闭容器，中转时采用密闭中转桶。</w:t>
                  </w:r>
                  <w:r>
                    <w:rPr>
                      <w:rFonts w:ascii="Times New Roman" w:hAnsi="Times New Roman" w:eastAsia="宋体" w:cs="Times New Roman"/>
                      <w:color w:val="auto"/>
                      <w:kern w:val="0"/>
                      <w:sz w:val="21"/>
                      <w:szCs w:val="21"/>
                      <w:lang w:bidi="ar"/>
                    </w:rPr>
                    <w:t>本项目不涉及</w:t>
                  </w:r>
                  <w:r>
                    <w:rPr>
                      <w:rFonts w:ascii="Times New Roman" w:hAnsi="Times New Roman" w:eastAsia="宋体" w:cs="Times New Roman"/>
                      <w:color w:val="auto"/>
                      <w:kern w:val="0"/>
                      <w:sz w:val="21"/>
                      <w:szCs w:val="21"/>
                      <w:lang w:val="zh-CN" w:bidi="ar"/>
                    </w:rPr>
                    <w:t>粉状、粒状VOCs物料。</w:t>
                  </w:r>
                </w:p>
                <w:p w14:paraId="609590FE">
                  <w:pPr>
                    <w:pStyle w:val="33"/>
                    <w:snapToGrid w:val="0"/>
                    <w:spacing w:before="0" w:beforeAutospacing="0" w:after="0" w:afterAutospacing="0"/>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本项目挥发性有机液体进行装载时，符合挥发性有机液体装载规定</w:t>
                  </w:r>
                </w:p>
              </w:tc>
              <w:tc>
                <w:tcPr>
                  <w:tcW w:w="267" w:type="pct"/>
                  <w:vMerge w:val="continue"/>
                  <w:vAlign w:val="center"/>
                </w:tcPr>
                <w:p w14:paraId="64E8401B">
                  <w:pPr>
                    <w:pStyle w:val="33"/>
                    <w:snapToGrid w:val="0"/>
                    <w:spacing w:before="0" w:beforeAutospacing="0" w:after="0" w:afterAutospacing="0"/>
                    <w:ind w:firstLine="420" w:firstLineChars="200"/>
                    <w:jc w:val="both"/>
                    <w:rPr>
                      <w:rFonts w:ascii="Times New Roman" w:hAnsi="Times New Roman" w:eastAsia="宋体" w:cs="Times New Roman"/>
                      <w:color w:val="auto"/>
                      <w:kern w:val="0"/>
                      <w:sz w:val="21"/>
                      <w:szCs w:val="21"/>
                      <w:lang w:bidi="ar"/>
                    </w:rPr>
                  </w:pPr>
                </w:p>
              </w:tc>
            </w:tr>
            <w:tr w14:paraId="293C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7" w:type="pct"/>
                  <w:vMerge w:val="continue"/>
                  <w:vAlign w:val="center"/>
                </w:tcPr>
                <w:p w14:paraId="65B5ADE5">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68" w:type="pct"/>
                  <w:vMerge w:val="continue"/>
                  <w:vAlign w:val="center"/>
                </w:tcPr>
                <w:p w14:paraId="05DD1664">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04" w:type="pct"/>
                  <w:vAlign w:val="center"/>
                </w:tcPr>
                <w:p w14:paraId="0DB0B8E6">
                  <w:pPr>
                    <w:widowControl/>
                    <w:adjustRightInd w:val="0"/>
                    <w:snapToGrid w:val="0"/>
                    <w:jc w:val="center"/>
                    <w:rPr>
                      <w:color w:val="auto"/>
                      <w:szCs w:val="21"/>
                    </w:rPr>
                  </w:pPr>
                  <w:r>
                    <w:rPr>
                      <w:color w:val="auto"/>
                      <w:szCs w:val="21"/>
                    </w:rPr>
                    <w:t>投料和卸料</w:t>
                  </w:r>
                </w:p>
              </w:tc>
              <w:tc>
                <w:tcPr>
                  <w:tcW w:w="2059" w:type="pct"/>
                  <w:vAlign w:val="center"/>
                </w:tcPr>
                <w:p w14:paraId="4FB1F65E">
                  <w:pPr>
                    <w:widowControl/>
                    <w:adjustRightInd w:val="0"/>
                    <w:snapToGrid w:val="0"/>
                    <w:rPr>
                      <w:color w:val="auto"/>
                      <w:szCs w:val="21"/>
                    </w:rPr>
                  </w:pPr>
                  <w:r>
                    <w:rPr>
                      <w:color w:val="auto"/>
                      <w:szCs w:val="21"/>
                    </w:rPr>
                    <w:t>液态 VOCs 物料采用密闭管道输送方式或采用高位槽（罐）、桶泵等给料方式密闭投加；无法密闭投加的，在密闭空间内操作，或进行局部气体收集，废气排至 VOCs 废气收集处理系统。</w:t>
                  </w:r>
                </w:p>
              </w:tc>
              <w:tc>
                <w:tcPr>
                  <w:tcW w:w="1622" w:type="pct"/>
                  <w:vAlign w:val="center"/>
                </w:tcPr>
                <w:p w14:paraId="7945516E">
                  <w:pPr>
                    <w:widowControl/>
                    <w:adjustRightInd w:val="0"/>
                    <w:snapToGrid w:val="0"/>
                    <w:rPr>
                      <w:color w:val="auto"/>
                      <w:kern w:val="0"/>
                      <w:szCs w:val="21"/>
                      <w:lang w:bidi="ar"/>
                    </w:rPr>
                  </w:pPr>
                  <w:r>
                    <w:rPr>
                      <w:color w:val="auto"/>
                      <w:szCs w:val="21"/>
                      <w:lang w:bidi="ar"/>
                    </w:rPr>
                    <w:t>本项目液态VOCs物料采用密闭管道输送或密闭容器，中转时采用密闭中转桶。</w:t>
                  </w:r>
                  <w:r>
                    <w:rPr>
                      <w:color w:val="auto"/>
                      <w:szCs w:val="21"/>
                    </w:rPr>
                    <w:t>采用桶泵等给料方式密闭投加，符合要求</w:t>
                  </w:r>
                  <w:r>
                    <w:rPr>
                      <w:color w:val="auto"/>
                    </w:rPr>
                    <w:t>。</w:t>
                  </w:r>
                </w:p>
              </w:tc>
              <w:tc>
                <w:tcPr>
                  <w:tcW w:w="267" w:type="pct"/>
                  <w:vMerge w:val="continue"/>
                  <w:vAlign w:val="center"/>
                </w:tcPr>
                <w:p w14:paraId="7351EEA1">
                  <w:pPr>
                    <w:pStyle w:val="33"/>
                    <w:snapToGrid w:val="0"/>
                    <w:spacing w:before="0" w:beforeAutospacing="0" w:after="0" w:afterAutospacing="0"/>
                    <w:ind w:firstLine="420" w:firstLineChars="200"/>
                    <w:jc w:val="both"/>
                    <w:rPr>
                      <w:rFonts w:ascii="Times New Roman" w:hAnsi="Times New Roman" w:eastAsia="宋体" w:cs="Times New Roman"/>
                      <w:color w:val="auto"/>
                      <w:kern w:val="0"/>
                      <w:sz w:val="21"/>
                      <w:szCs w:val="21"/>
                      <w:lang w:bidi="ar"/>
                    </w:rPr>
                  </w:pPr>
                </w:p>
              </w:tc>
            </w:tr>
            <w:tr w14:paraId="2476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7" w:type="pct"/>
                  <w:vMerge w:val="continue"/>
                  <w:vAlign w:val="center"/>
                </w:tcPr>
                <w:p w14:paraId="14B2D2F2">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68" w:type="pct"/>
                  <w:vMerge w:val="continue"/>
                  <w:vAlign w:val="center"/>
                </w:tcPr>
                <w:p w14:paraId="2B535818">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04" w:type="pct"/>
                  <w:vAlign w:val="center"/>
                </w:tcPr>
                <w:p w14:paraId="376763D1">
                  <w:pPr>
                    <w:widowControl/>
                    <w:adjustRightInd w:val="0"/>
                    <w:snapToGrid w:val="0"/>
                    <w:jc w:val="center"/>
                    <w:rPr>
                      <w:color w:val="auto"/>
                      <w:szCs w:val="21"/>
                    </w:rPr>
                  </w:pPr>
                  <w:r>
                    <w:rPr>
                      <w:color w:val="auto"/>
                      <w:szCs w:val="21"/>
                    </w:rPr>
                    <w:t>配料加工及包装</w:t>
                  </w:r>
                </w:p>
              </w:tc>
              <w:tc>
                <w:tcPr>
                  <w:tcW w:w="2059" w:type="pct"/>
                  <w:vAlign w:val="center"/>
                </w:tcPr>
                <w:p w14:paraId="146D0D43">
                  <w:pPr>
                    <w:widowControl/>
                    <w:adjustRightInd w:val="0"/>
                    <w:snapToGrid w:val="0"/>
                    <w:rPr>
                      <w:color w:val="auto"/>
                      <w:szCs w:val="21"/>
                    </w:rPr>
                  </w:pPr>
                  <w:r>
                    <w:rPr>
                      <w:color w:val="auto"/>
                      <w:szCs w:val="21"/>
                    </w:rPr>
                    <w:t>VOCs 物料的配料、混合、研磨、造粒、切片、压块、分散、调色、兑稀、过滤、干燥以及灌装或包装等过程，采用密闭设备或在密闭空间内操作，废气排至废气收集处理系统；无法密闭的，采取局部气体收集措施，废气排至废气收集处理系统。</w:t>
                  </w:r>
                </w:p>
              </w:tc>
              <w:tc>
                <w:tcPr>
                  <w:tcW w:w="1622" w:type="pct"/>
                  <w:vAlign w:val="center"/>
                </w:tcPr>
                <w:p w14:paraId="36A28FFE">
                  <w:pPr>
                    <w:rPr>
                      <w:color w:val="auto"/>
                      <w:kern w:val="0"/>
                      <w:szCs w:val="21"/>
                      <w:lang w:bidi="ar"/>
                    </w:rPr>
                  </w:pPr>
                  <w:r>
                    <w:rPr>
                      <w:color w:val="auto"/>
                      <w:szCs w:val="21"/>
                      <w:lang w:bidi="ar"/>
                    </w:rPr>
                    <w:t>生产过程</w:t>
                  </w:r>
                  <w:r>
                    <w:rPr>
                      <w:color w:val="auto"/>
                      <w:kern w:val="0"/>
                      <w:szCs w:val="21"/>
                      <w:lang w:bidi="ar"/>
                    </w:rPr>
                    <w:t>产生的VOC</w:t>
                  </w:r>
                  <w:r>
                    <w:rPr>
                      <w:color w:val="auto"/>
                      <w:kern w:val="0"/>
                      <w:sz w:val="13"/>
                      <w:szCs w:val="13"/>
                      <w:lang w:bidi="ar"/>
                    </w:rPr>
                    <w:t>S</w:t>
                  </w:r>
                  <w:r>
                    <w:rPr>
                      <w:color w:val="auto"/>
                      <w:kern w:val="0"/>
                      <w:szCs w:val="21"/>
                      <w:lang w:bidi="ar"/>
                    </w:rPr>
                    <w:t>经密闭集气罩收集后，通过“</w:t>
                  </w:r>
                  <w:r>
                    <w:rPr>
                      <w:color w:val="auto"/>
                      <w:kern w:val="0"/>
                      <w:szCs w:val="21"/>
                    </w:rPr>
                    <w:t>二级活性炭吸附</w:t>
                  </w:r>
                  <w:r>
                    <w:rPr>
                      <w:color w:val="auto"/>
                      <w:kern w:val="0"/>
                      <w:szCs w:val="21"/>
                      <w:lang w:bidi="ar"/>
                    </w:rPr>
                    <w:t>”废气处理装置处理后经一根排气筒（DA001）排放，符合要求</w:t>
                  </w:r>
                </w:p>
              </w:tc>
              <w:tc>
                <w:tcPr>
                  <w:tcW w:w="267" w:type="pct"/>
                  <w:vMerge w:val="continue"/>
                  <w:vAlign w:val="center"/>
                </w:tcPr>
                <w:p w14:paraId="157AD626">
                  <w:pPr>
                    <w:pStyle w:val="33"/>
                    <w:snapToGrid w:val="0"/>
                    <w:spacing w:before="0" w:beforeAutospacing="0" w:after="0" w:afterAutospacing="0"/>
                    <w:ind w:firstLine="420" w:firstLineChars="200"/>
                    <w:jc w:val="both"/>
                    <w:rPr>
                      <w:rFonts w:ascii="Times New Roman" w:hAnsi="Times New Roman" w:eastAsia="宋体" w:cs="Times New Roman"/>
                      <w:color w:val="auto"/>
                      <w:kern w:val="0"/>
                      <w:sz w:val="21"/>
                      <w:szCs w:val="21"/>
                      <w:lang w:bidi="ar"/>
                    </w:rPr>
                  </w:pPr>
                </w:p>
              </w:tc>
            </w:tr>
            <w:tr w14:paraId="5E01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7" w:type="pct"/>
                  <w:vMerge w:val="continue"/>
                  <w:vAlign w:val="center"/>
                </w:tcPr>
                <w:p w14:paraId="629919CF">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68" w:type="pct"/>
                  <w:vMerge w:val="continue"/>
                  <w:vAlign w:val="center"/>
                </w:tcPr>
                <w:p w14:paraId="26801250">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087" w:type="pct"/>
                  <w:gridSpan w:val="3"/>
                  <w:vAlign w:val="center"/>
                </w:tcPr>
                <w:p w14:paraId="1A4B410F">
                  <w:pPr>
                    <w:pStyle w:val="33"/>
                    <w:snapToGrid w:val="0"/>
                    <w:spacing w:before="0" w:beforeAutospacing="0" w:after="0" w:afterAutospacing="0"/>
                    <w:jc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末端治理</w:t>
                  </w:r>
                </w:p>
              </w:tc>
              <w:tc>
                <w:tcPr>
                  <w:tcW w:w="267" w:type="pct"/>
                  <w:vMerge w:val="restart"/>
                  <w:vAlign w:val="center"/>
                </w:tcPr>
                <w:p w14:paraId="540BA68D">
                  <w:pPr>
                    <w:pStyle w:val="33"/>
                    <w:snapToGrid w:val="0"/>
                    <w:spacing w:before="0" w:beforeAutospacing="0" w:after="0" w:afterAutospacing="0"/>
                    <w:jc w:val="both"/>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sz w:val="21"/>
                      <w:szCs w:val="21"/>
                      <w:lang w:bidi="ar"/>
                    </w:rPr>
                    <w:t>符合</w:t>
                  </w:r>
                </w:p>
              </w:tc>
            </w:tr>
            <w:tr w14:paraId="11FE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7" w:type="pct"/>
                  <w:vMerge w:val="continue"/>
                  <w:vAlign w:val="center"/>
                </w:tcPr>
                <w:p w14:paraId="760E71EF">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68" w:type="pct"/>
                  <w:vMerge w:val="continue"/>
                  <w:vAlign w:val="center"/>
                </w:tcPr>
                <w:p w14:paraId="2335D077">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04" w:type="pct"/>
                  <w:vMerge w:val="restart"/>
                  <w:vAlign w:val="center"/>
                </w:tcPr>
                <w:p w14:paraId="628B3BC5">
                  <w:pPr>
                    <w:pStyle w:val="33"/>
                    <w:snapToGrid w:val="0"/>
                    <w:spacing w:before="0" w:beforeAutospacing="0" w:after="0" w:afterAutospacing="0"/>
                    <w:jc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废气收集</w:t>
                  </w:r>
                </w:p>
              </w:tc>
              <w:tc>
                <w:tcPr>
                  <w:tcW w:w="2059" w:type="pct"/>
                  <w:vAlign w:val="center"/>
                </w:tcPr>
                <w:p w14:paraId="1280ECE8">
                  <w:pPr>
                    <w:widowControl/>
                    <w:adjustRightInd w:val="0"/>
                    <w:snapToGrid w:val="0"/>
                    <w:rPr>
                      <w:color w:val="auto"/>
                      <w:szCs w:val="21"/>
                    </w:rPr>
                  </w:pPr>
                  <w:r>
                    <w:rPr>
                      <w:color w:val="auto"/>
                      <w:szCs w:val="21"/>
                    </w:rPr>
                    <w:t>采用外部集气罩的，距集气罩开口面最远处的VOCs无组织排放位置，控制风速不低于0.3m/s</w:t>
                  </w:r>
                </w:p>
              </w:tc>
              <w:tc>
                <w:tcPr>
                  <w:tcW w:w="1622" w:type="pct"/>
                  <w:vAlign w:val="center"/>
                </w:tcPr>
                <w:p w14:paraId="770D28D0">
                  <w:pPr>
                    <w:widowControl/>
                    <w:adjustRightInd w:val="0"/>
                    <w:snapToGrid w:val="0"/>
                    <w:rPr>
                      <w:color w:val="auto"/>
                      <w:kern w:val="0"/>
                      <w:szCs w:val="21"/>
                      <w:lang w:bidi="ar"/>
                    </w:rPr>
                  </w:pPr>
                  <w:r>
                    <w:rPr>
                      <w:color w:val="auto"/>
                      <w:szCs w:val="21"/>
                    </w:rPr>
                    <w:t>项目密闭罩控制风速</w:t>
                  </w:r>
                  <w:r>
                    <w:rPr>
                      <w:rFonts w:hint="eastAsia"/>
                      <w:color w:val="auto"/>
                      <w:szCs w:val="21"/>
                      <w:lang w:val="en-US" w:eastAsia="zh-CN"/>
                    </w:rPr>
                    <w:t>为</w:t>
                  </w:r>
                  <w:r>
                    <w:rPr>
                      <w:color w:val="auto"/>
                      <w:szCs w:val="21"/>
                    </w:rPr>
                    <w:t>0.3m/s，符合要求</w:t>
                  </w:r>
                </w:p>
              </w:tc>
              <w:tc>
                <w:tcPr>
                  <w:tcW w:w="267" w:type="pct"/>
                  <w:vMerge w:val="continue"/>
                  <w:vAlign w:val="center"/>
                </w:tcPr>
                <w:p w14:paraId="4EE3BE08">
                  <w:pPr>
                    <w:pStyle w:val="33"/>
                    <w:snapToGrid w:val="0"/>
                    <w:spacing w:before="0" w:beforeAutospacing="0" w:after="0" w:afterAutospacing="0"/>
                    <w:ind w:firstLine="420" w:firstLineChars="200"/>
                    <w:jc w:val="both"/>
                    <w:rPr>
                      <w:rFonts w:ascii="Times New Roman" w:hAnsi="Times New Roman" w:eastAsia="宋体" w:cs="Times New Roman"/>
                      <w:color w:val="auto"/>
                      <w:kern w:val="0"/>
                      <w:sz w:val="21"/>
                      <w:szCs w:val="21"/>
                      <w:lang w:bidi="ar"/>
                    </w:rPr>
                  </w:pPr>
                </w:p>
              </w:tc>
            </w:tr>
            <w:tr w14:paraId="4A62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7" w:type="pct"/>
                  <w:vMerge w:val="continue"/>
                  <w:vAlign w:val="center"/>
                </w:tcPr>
                <w:p w14:paraId="593F10C9">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68" w:type="pct"/>
                  <w:vMerge w:val="continue"/>
                  <w:vAlign w:val="center"/>
                </w:tcPr>
                <w:p w14:paraId="6373CA35">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04" w:type="pct"/>
                  <w:vMerge w:val="continue"/>
                  <w:vAlign w:val="center"/>
                </w:tcPr>
                <w:p w14:paraId="6C212F43">
                  <w:pPr>
                    <w:pStyle w:val="33"/>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2059" w:type="pct"/>
                  <w:vAlign w:val="center"/>
                </w:tcPr>
                <w:p w14:paraId="501F1FA4">
                  <w:pPr>
                    <w:widowControl/>
                    <w:adjustRightInd w:val="0"/>
                    <w:snapToGrid w:val="0"/>
                    <w:rPr>
                      <w:color w:val="auto"/>
                      <w:szCs w:val="21"/>
                    </w:rPr>
                  </w:pPr>
                  <w:r>
                    <w:rPr>
                      <w:color w:val="auto"/>
                      <w:szCs w:val="21"/>
                    </w:rPr>
                    <w:t>废气收集系统的输送管道应密闭。废气收集系统应在负压下运行，若处于正压状态，应对管道组件的密封点进行泄漏检测，泄漏检测值不应超过 500μmol/mol，亦不应有感官可察觉泄漏。</w:t>
                  </w:r>
                </w:p>
              </w:tc>
              <w:tc>
                <w:tcPr>
                  <w:tcW w:w="1622" w:type="pct"/>
                  <w:vAlign w:val="center"/>
                </w:tcPr>
                <w:p w14:paraId="550DAB9F">
                  <w:pPr>
                    <w:widowControl/>
                    <w:adjustRightInd w:val="0"/>
                    <w:snapToGrid w:val="0"/>
                    <w:rPr>
                      <w:color w:val="auto"/>
                      <w:szCs w:val="21"/>
                    </w:rPr>
                  </w:pPr>
                </w:p>
                <w:p w14:paraId="087DD2D3">
                  <w:pPr>
                    <w:widowControl/>
                    <w:adjustRightInd w:val="0"/>
                    <w:snapToGrid w:val="0"/>
                    <w:rPr>
                      <w:color w:val="auto"/>
                      <w:kern w:val="0"/>
                      <w:szCs w:val="21"/>
                      <w:lang w:bidi="ar"/>
                    </w:rPr>
                  </w:pPr>
                  <w:r>
                    <w:rPr>
                      <w:color w:val="auto"/>
                      <w:szCs w:val="21"/>
                    </w:rPr>
                    <w:t>本项目废气收集系统的输送管道进行密闭，符合要求</w:t>
                  </w:r>
                </w:p>
              </w:tc>
              <w:tc>
                <w:tcPr>
                  <w:tcW w:w="267" w:type="pct"/>
                  <w:vMerge w:val="continue"/>
                  <w:vAlign w:val="center"/>
                </w:tcPr>
                <w:p w14:paraId="5E0D96E2">
                  <w:pPr>
                    <w:pStyle w:val="33"/>
                    <w:snapToGrid w:val="0"/>
                    <w:spacing w:before="0" w:beforeAutospacing="0" w:after="0" w:afterAutospacing="0"/>
                    <w:ind w:firstLine="420" w:firstLineChars="200"/>
                    <w:jc w:val="both"/>
                    <w:rPr>
                      <w:rFonts w:ascii="Times New Roman" w:hAnsi="Times New Roman" w:eastAsia="宋体" w:cs="Times New Roman"/>
                      <w:color w:val="auto"/>
                      <w:kern w:val="0"/>
                      <w:sz w:val="21"/>
                      <w:szCs w:val="21"/>
                      <w:lang w:bidi="ar"/>
                    </w:rPr>
                  </w:pPr>
                </w:p>
              </w:tc>
            </w:tr>
            <w:tr w14:paraId="0888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7" w:type="pct"/>
                  <w:vMerge w:val="continue"/>
                  <w:vAlign w:val="center"/>
                </w:tcPr>
                <w:p w14:paraId="35268B70">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68" w:type="pct"/>
                  <w:vMerge w:val="continue"/>
                  <w:vAlign w:val="center"/>
                </w:tcPr>
                <w:p w14:paraId="22C0220E">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04" w:type="pct"/>
                  <w:vAlign w:val="center"/>
                </w:tcPr>
                <w:p w14:paraId="3FE728CF">
                  <w:pPr>
                    <w:widowControl/>
                    <w:adjustRightInd w:val="0"/>
                    <w:snapToGrid w:val="0"/>
                    <w:jc w:val="center"/>
                    <w:rPr>
                      <w:color w:val="auto"/>
                      <w:szCs w:val="21"/>
                    </w:rPr>
                  </w:pPr>
                  <w:r>
                    <w:rPr>
                      <w:color w:val="auto"/>
                      <w:szCs w:val="21"/>
                    </w:rPr>
                    <w:t>末端治理与排放水平</w:t>
                  </w:r>
                </w:p>
              </w:tc>
              <w:tc>
                <w:tcPr>
                  <w:tcW w:w="2059" w:type="pct"/>
                  <w:vAlign w:val="center"/>
                </w:tcPr>
                <w:p w14:paraId="2215701B">
                  <w:pPr>
                    <w:widowControl/>
                    <w:adjustRightInd w:val="0"/>
                    <w:snapToGrid w:val="0"/>
                    <w:rPr>
                      <w:color w:val="auto"/>
                      <w:szCs w:val="21"/>
                    </w:rPr>
                  </w:pPr>
                  <w:r>
                    <w:rPr>
                      <w:color w:val="auto"/>
                      <w:szCs w:val="21"/>
                    </w:rPr>
                    <w:t>1、涂料、油墨及胶粘剂工业企业有机废气排气筒排放浓度不高于《涂料、油墨及胶粘剂工业大气污染物排放标准》（GB 37824-2019）排放限值要求，其他无行业标准的企业有机废气排气筒排放浓度不高于广东省《大气污染物排放限值》（DB4427-2001）第</w:t>
                  </w:r>
                  <w:r>
                    <w:rPr>
                      <w:rFonts w:hint="eastAsia" w:ascii="宋体" w:hAnsi="宋体" w:cs="宋体"/>
                      <w:color w:val="auto"/>
                      <w:szCs w:val="21"/>
                    </w:rPr>
                    <w:t>Ⅱ</w:t>
                  </w:r>
                  <w:r>
                    <w:rPr>
                      <w:color w:val="auto"/>
                      <w:szCs w:val="21"/>
                    </w:rPr>
                    <w:t>时段排放限值，若国家和我省出台并实施适用于该行业的大气污染物排放标准，则有机废气排气筒排放浓度不高于相应的排放限值；若收集的废气中 NMHC 初始排放速率≥3kg/h，处理效率≥80%；</w:t>
                  </w:r>
                </w:p>
                <w:p w14:paraId="2B7A8CA8">
                  <w:pPr>
                    <w:widowControl/>
                    <w:adjustRightInd w:val="0"/>
                    <w:snapToGrid w:val="0"/>
                    <w:rPr>
                      <w:color w:val="auto"/>
                      <w:szCs w:val="21"/>
                    </w:rPr>
                  </w:pPr>
                  <w:r>
                    <w:rPr>
                      <w:color w:val="auto"/>
                      <w:szCs w:val="21"/>
                    </w:rPr>
                    <w:t>2、厂区内无组织排放监控点 NMHC 的小时平均浓度值不超过6 mg/m</w:t>
                  </w:r>
                  <w:r>
                    <w:rPr>
                      <w:color w:val="auto"/>
                      <w:szCs w:val="21"/>
                      <w:vertAlign w:val="superscript"/>
                    </w:rPr>
                    <w:t>3</w:t>
                  </w:r>
                  <w:r>
                    <w:rPr>
                      <w:color w:val="auto"/>
                      <w:szCs w:val="21"/>
                    </w:rPr>
                    <w:t>，任意一次浓度值不超过20 mg/m</w:t>
                  </w:r>
                  <w:r>
                    <w:rPr>
                      <w:color w:val="auto"/>
                      <w:szCs w:val="21"/>
                      <w:vertAlign w:val="superscript"/>
                    </w:rPr>
                    <w:t>3</w:t>
                  </w:r>
                  <w:r>
                    <w:rPr>
                      <w:color w:val="auto"/>
                      <w:szCs w:val="21"/>
                    </w:rPr>
                    <w:t>。</w:t>
                  </w:r>
                </w:p>
              </w:tc>
              <w:tc>
                <w:tcPr>
                  <w:tcW w:w="1622" w:type="pct"/>
                  <w:vAlign w:val="center"/>
                </w:tcPr>
                <w:p w14:paraId="1772E280">
                  <w:pPr>
                    <w:pStyle w:val="33"/>
                    <w:snapToGrid w:val="0"/>
                    <w:spacing w:before="0" w:beforeAutospacing="0" w:after="0" w:afterAutospacing="0"/>
                    <w:ind w:firstLine="420" w:firstLineChars="200"/>
                    <w:jc w:val="both"/>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sz w:val="21"/>
                      <w:szCs w:val="21"/>
                    </w:rPr>
                    <w:t>本项目产生的</w:t>
                  </w:r>
                  <w:r>
                    <w:rPr>
                      <w:rFonts w:ascii="Times New Roman" w:hAnsi="Times New Roman" w:eastAsia="宋体" w:cs="Times New Roman"/>
                      <w:color w:val="auto"/>
                      <w:kern w:val="0"/>
                      <w:sz w:val="21"/>
                      <w:szCs w:val="21"/>
                      <w:lang w:bidi="ar"/>
                    </w:rPr>
                    <w:t>有机废气经密闭罩收集后，通过“二级</w:t>
                  </w:r>
                  <w:r>
                    <w:rPr>
                      <w:rFonts w:ascii="Times New Roman" w:hAnsi="Times New Roman" w:eastAsia="宋体" w:cs="Times New Roman"/>
                      <w:color w:val="auto"/>
                      <w:kern w:val="0"/>
                      <w:sz w:val="21"/>
                      <w:szCs w:val="21"/>
                    </w:rPr>
                    <w:t>活性炭吸附装置</w:t>
                  </w:r>
                  <w:r>
                    <w:rPr>
                      <w:rFonts w:ascii="Times New Roman" w:hAnsi="Times New Roman" w:eastAsia="宋体" w:cs="Times New Roman"/>
                      <w:color w:val="auto"/>
                      <w:kern w:val="0"/>
                      <w:sz w:val="21"/>
                      <w:szCs w:val="21"/>
                      <w:lang w:bidi="ar"/>
                    </w:rPr>
                    <w:t>”废气处理装置处理后由一根排气筒（DA001）排放，废气有组织、无组织排放均满足相关要求。</w:t>
                  </w:r>
                </w:p>
              </w:tc>
              <w:tc>
                <w:tcPr>
                  <w:tcW w:w="267" w:type="pct"/>
                  <w:vMerge w:val="continue"/>
                  <w:vAlign w:val="center"/>
                </w:tcPr>
                <w:p w14:paraId="2D67F755">
                  <w:pPr>
                    <w:pStyle w:val="33"/>
                    <w:snapToGrid w:val="0"/>
                    <w:spacing w:before="0" w:beforeAutospacing="0" w:after="0" w:afterAutospacing="0"/>
                    <w:jc w:val="both"/>
                    <w:rPr>
                      <w:rFonts w:ascii="Times New Roman" w:hAnsi="Times New Roman" w:eastAsia="宋体" w:cs="Times New Roman"/>
                      <w:color w:val="auto"/>
                      <w:kern w:val="0"/>
                      <w:sz w:val="21"/>
                      <w:szCs w:val="21"/>
                      <w:lang w:bidi="ar"/>
                    </w:rPr>
                  </w:pPr>
                </w:p>
              </w:tc>
            </w:tr>
            <w:tr w14:paraId="461E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7" w:type="pct"/>
                  <w:vMerge w:val="continue"/>
                  <w:vAlign w:val="center"/>
                </w:tcPr>
                <w:p w14:paraId="6DF950F0">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68" w:type="pct"/>
                  <w:vMerge w:val="continue"/>
                  <w:vAlign w:val="center"/>
                </w:tcPr>
                <w:p w14:paraId="10A30AEA">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087" w:type="pct"/>
                  <w:gridSpan w:val="3"/>
                  <w:vAlign w:val="center"/>
                </w:tcPr>
                <w:p w14:paraId="59E67312">
                  <w:pPr>
                    <w:pStyle w:val="33"/>
                    <w:snapToGrid w:val="0"/>
                    <w:spacing w:before="0" w:beforeAutospacing="0" w:after="0" w:afterAutospacing="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环境管理</w:t>
                  </w:r>
                </w:p>
              </w:tc>
              <w:tc>
                <w:tcPr>
                  <w:tcW w:w="267" w:type="pct"/>
                  <w:vMerge w:val="restart"/>
                  <w:vAlign w:val="center"/>
                </w:tcPr>
                <w:p w14:paraId="78D95EFD">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r w14:paraId="4BD0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7" w:type="pct"/>
                  <w:vMerge w:val="continue"/>
                  <w:vAlign w:val="center"/>
                </w:tcPr>
                <w:p w14:paraId="0A06BE2A">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68" w:type="pct"/>
                  <w:vMerge w:val="continue"/>
                  <w:vAlign w:val="center"/>
                </w:tcPr>
                <w:p w14:paraId="3FBA13CB">
                  <w:pPr>
                    <w:pStyle w:val="33"/>
                    <w:adjustRightInd w:val="0"/>
                    <w:snapToGrid w:val="0"/>
                    <w:spacing w:before="0" w:beforeAutospacing="0" w:after="0" w:afterAutospacing="0"/>
                    <w:ind w:firstLine="420" w:firstLineChars="200"/>
                    <w:jc w:val="center"/>
                    <w:rPr>
                      <w:rFonts w:ascii="Times New Roman" w:hAnsi="Times New Roman" w:eastAsia="宋体" w:cs="Times New Roman"/>
                      <w:color w:val="auto"/>
                      <w:kern w:val="0"/>
                      <w:sz w:val="21"/>
                      <w:szCs w:val="21"/>
                      <w:lang w:bidi="ar"/>
                    </w:rPr>
                  </w:pPr>
                </w:p>
              </w:tc>
              <w:tc>
                <w:tcPr>
                  <w:tcW w:w="404" w:type="pct"/>
                  <w:vAlign w:val="center"/>
                </w:tcPr>
                <w:p w14:paraId="609637F9">
                  <w:pPr>
                    <w:widowControl/>
                    <w:adjustRightInd w:val="0"/>
                    <w:snapToGrid w:val="0"/>
                    <w:jc w:val="center"/>
                    <w:rPr>
                      <w:color w:val="auto"/>
                      <w:szCs w:val="21"/>
                    </w:rPr>
                  </w:pPr>
                  <w:r>
                    <w:rPr>
                      <w:color w:val="auto"/>
                      <w:szCs w:val="21"/>
                    </w:rPr>
                    <w:t>管理台账</w:t>
                  </w:r>
                </w:p>
                <w:p w14:paraId="7DEE3481">
                  <w:pPr>
                    <w:widowControl/>
                    <w:adjustRightInd w:val="0"/>
                    <w:snapToGrid w:val="0"/>
                    <w:jc w:val="center"/>
                    <w:rPr>
                      <w:color w:val="auto"/>
                      <w:szCs w:val="21"/>
                    </w:rPr>
                  </w:pPr>
                </w:p>
              </w:tc>
              <w:tc>
                <w:tcPr>
                  <w:tcW w:w="2059" w:type="pct"/>
                  <w:vAlign w:val="center"/>
                </w:tcPr>
                <w:p w14:paraId="36612C07">
                  <w:pPr>
                    <w:widowControl/>
                    <w:adjustRightInd w:val="0"/>
                    <w:snapToGrid w:val="0"/>
                    <w:rPr>
                      <w:color w:val="auto"/>
                      <w:szCs w:val="21"/>
                    </w:rPr>
                  </w:pPr>
                  <w:r>
                    <w:rPr>
                      <w:color w:val="auto"/>
                      <w:szCs w:val="21"/>
                    </w:rPr>
                    <w:t>建立含VOCs原辅材料台账，记录含VOCs原辅材料的名称及其VOCs含量、采购量、使用量、库存量、含VOCs原辅材料回收方式及回收量。建立密封点台账，记录密封点检测时间、泄漏检测浓度、修复时间、采取的修复措施、修复后的泄漏检测浓度等信息。建立有机液体储存台账，记录有机液体物料名称、储罐类型及密封方式、储存温度、周转量、油气回收量等信息。建立有机液体装载台账，记录有机液体物料名称、装载方式、装载量、油气回收量等信息。建立废水集输、储存处理处置台账，记录废水量、废水集输方式（密闭管道、沟渠）等信息。</w:t>
                  </w:r>
                </w:p>
                <w:p w14:paraId="48E2E96D">
                  <w:pPr>
                    <w:widowControl/>
                    <w:adjustRightInd w:val="0"/>
                    <w:snapToGrid w:val="0"/>
                    <w:rPr>
                      <w:color w:val="auto"/>
                      <w:szCs w:val="21"/>
                    </w:rPr>
                  </w:pPr>
                  <w:r>
                    <w:rPr>
                      <w:color w:val="auto"/>
                      <w:szCs w:val="21"/>
                    </w:rPr>
                    <w:t>建立非正常工况排放台账，记录开停工、检维修时间，退料、吹扫、清洗等过程含VOCs物料回收情况，VOCs 废气收集处理情况，开车阶段产生的易挥发性不合格品的产量和收集情况。建立事故排放台账，记录事故类别、时间、处置情况等。建立废气治理装置运行状况、设施维护台账，主要记录内容包括：治理设施的启动、停止时间；吸收剂、吸附剂等的治理分析数据、采购量、使用量及更换时间等；治理装置运行工艺控制参数；主要设备维修情况；运行事故及处理、整改情况；定期检验、评价及评估情况等。</w:t>
                  </w:r>
                </w:p>
                <w:p w14:paraId="4421CF1E">
                  <w:pPr>
                    <w:widowControl/>
                    <w:adjustRightInd w:val="0"/>
                    <w:snapToGrid w:val="0"/>
                    <w:rPr>
                      <w:color w:val="auto"/>
                      <w:szCs w:val="21"/>
                    </w:rPr>
                  </w:pPr>
                  <w:r>
                    <w:rPr>
                      <w:color w:val="auto"/>
                      <w:szCs w:val="21"/>
                    </w:rPr>
                    <w:t>建立危废台账，整理危废处置合同、转移联单及危废处理方资质佐证材料。台账保存期限不少于3年。</w:t>
                  </w:r>
                </w:p>
              </w:tc>
              <w:tc>
                <w:tcPr>
                  <w:tcW w:w="1622" w:type="pct"/>
                  <w:vAlign w:val="center"/>
                </w:tcPr>
                <w:p w14:paraId="6013878A">
                  <w:pPr>
                    <w:pStyle w:val="33"/>
                    <w:adjustRightInd w:val="0"/>
                    <w:snapToGrid w:val="0"/>
                    <w:spacing w:before="0" w:beforeAutospacing="0" w:after="0" w:afterAutospacing="0"/>
                    <w:ind w:firstLine="420" w:firstLineChars="20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本项目建成后，建立并完善相关台账管理制度，按要求在相应环节设置台账记录，安排专人负责进行台账记录并保存。</w:t>
                  </w:r>
                </w:p>
                <w:p w14:paraId="6843AA92">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rPr>
                  </w:pPr>
                </w:p>
              </w:tc>
              <w:tc>
                <w:tcPr>
                  <w:tcW w:w="267" w:type="pct"/>
                  <w:vMerge w:val="continue"/>
                  <w:vAlign w:val="center"/>
                </w:tcPr>
                <w:p w14:paraId="06F3A365">
                  <w:pPr>
                    <w:pStyle w:val="33"/>
                    <w:snapToGrid w:val="0"/>
                    <w:spacing w:before="0" w:beforeAutospacing="0" w:after="0" w:afterAutospacing="0"/>
                    <w:jc w:val="both"/>
                    <w:rPr>
                      <w:rFonts w:ascii="Times New Roman" w:hAnsi="Times New Roman" w:eastAsia="宋体" w:cs="Times New Roman"/>
                      <w:color w:val="auto"/>
                      <w:sz w:val="21"/>
                      <w:szCs w:val="21"/>
                      <w:lang w:bidi="ar"/>
                    </w:rPr>
                  </w:pPr>
                </w:p>
              </w:tc>
            </w:tr>
            <w:tr w14:paraId="794E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7" w:type="pct"/>
                  <w:vAlign w:val="center"/>
                </w:tcPr>
                <w:p w14:paraId="08735257">
                  <w:pPr>
                    <w:pStyle w:val="33"/>
                    <w:adjustRightInd w:val="0"/>
                    <w:snapToGrid w:val="0"/>
                    <w:spacing w:before="0" w:beforeAutospacing="0" w:after="0" w:afterAutospacing="0"/>
                    <w:jc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4</w:t>
                  </w:r>
                </w:p>
              </w:tc>
              <w:tc>
                <w:tcPr>
                  <w:tcW w:w="468" w:type="pct"/>
                  <w:vAlign w:val="center"/>
                </w:tcPr>
                <w:p w14:paraId="4B2A7C37">
                  <w:pPr>
                    <w:widowControl/>
                    <w:adjustRightInd w:val="0"/>
                    <w:snapToGrid w:val="0"/>
                    <w:jc w:val="center"/>
                    <w:rPr>
                      <w:color w:val="auto"/>
                      <w:szCs w:val="21"/>
                    </w:rPr>
                  </w:pPr>
                  <w:r>
                    <w:rPr>
                      <w:color w:val="auto"/>
                      <w:szCs w:val="21"/>
                    </w:rPr>
                    <w:t>《关于印发&lt;广东省臭氧污染防治（氮氧化物和挥发性有机物协同减排）实施方案&gt;（2023-2025 年）的通知》（粤环函〔2023〕45号）</w:t>
                  </w:r>
                </w:p>
                <w:p w14:paraId="37EC350E">
                  <w:pPr>
                    <w:widowControl/>
                    <w:adjustRightInd w:val="0"/>
                    <w:snapToGrid w:val="0"/>
                    <w:jc w:val="center"/>
                    <w:rPr>
                      <w:color w:val="auto"/>
                      <w:szCs w:val="21"/>
                    </w:rPr>
                  </w:pPr>
                </w:p>
              </w:tc>
              <w:tc>
                <w:tcPr>
                  <w:tcW w:w="2464" w:type="pct"/>
                  <w:gridSpan w:val="2"/>
                  <w:vAlign w:val="center"/>
                </w:tcPr>
                <w:p w14:paraId="7BBC2336">
                  <w:pPr>
                    <w:widowControl/>
                    <w:adjustRightInd w:val="0"/>
                    <w:snapToGrid w:val="0"/>
                    <w:ind w:firstLine="420" w:firstLineChars="200"/>
                    <w:rPr>
                      <w:color w:val="auto"/>
                      <w:szCs w:val="21"/>
                    </w:rPr>
                  </w:pPr>
                  <w:r>
                    <w:rPr>
                      <w:color w:val="auto"/>
                      <w:szCs w:val="21"/>
                    </w:rPr>
                    <w:t>行业低VOCs含量原辅材料替代，引导生产和使用企业供应和使用符合国家质量标准的产品；企业无组织排放控制措施及相关限值应符合《挥发性有机物无组织排放控制标准（GB 37822）》 《固定污染源挥发性有机物排放综合标准（DB 44/2367）》和《广东省生态环境厅关于实施厂区内挥发性有机物无组织排放监控要求的通告》（粤环发〔2021〕4 号）要求，无法实现低VOCs原辅材料替代的工序，宜在密闭设备、密闭空间作业或安装二次密闭设施；新、改、扩建项目限制使用光催化、光氧化、水喷淋（吸收可溶性 VOCs 除外）、低温等离子等低效VOCs治理设施（恶臭处理除外），组织排查光催化、光氧化、水喷淋、低温等离子及上述组合技术的低效 VOCs 治理设施，对无法稳定达标的实施更换或升级改造。</w:t>
                  </w:r>
                </w:p>
                <w:p w14:paraId="7B9FD99B">
                  <w:pPr>
                    <w:widowControl/>
                    <w:adjustRightInd w:val="0"/>
                    <w:snapToGrid w:val="0"/>
                    <w:ind w:firstLine="420" w:firstLineChars="200"/>
                    <w:rPr>
                      <w:color w:val="auto"/>
                      <w:szCs w:val="21"/>
                    </w:rPr>
                  </w:pPr>
                </w:p>
                <w:p w14:paraId="3E6C0D6A">
                  <w:pPr>
                    <w:widowControl/>
                    <w:adjustRightInd w:val="0"/>
                    <w:snapToGrid w:val="0"/>
                    <w:ind w:firstLine="420" w:firstLineChars="200"/>
                    <w:rPr>
                      <w:color w:val="auto"/>
                      <w:szCs w:val="21"/>
                    </w:rPr>
                  </w:pPr>
                </w:p>
              </w:tc>
              <w:tc>
                <w:tcPr>
                  <w:tcW w:w="1622" w:type="pct"/>
                  <w:vAlign w:val="center"/>
                </w:tcPr>
                <w:p w14:paraId="524B69F5">
                  <w:pPr>
                    <w:pStyle w:val="33"/>
                    <w:snapToGrid w:val="0"/>
                    <w:spacing w:before="0" w:beforeAutospacing="0" w:after="0" w:afterAutospacing="0"/>
                    <w:ind w:firstLine="420" w:firstLineChars="20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lang w:bidi="ar"/>
                    </w:rPr>
                    <w:t>本项目VOCs物料均储存在密闭容器内，主要为密闭包装桶。本项目液态VOCs物料采用密闭管道输送或密闭容器，中转时采用密闭中转桶。生产时产生的</w:t>
                  </w:r>
                  <w:r>
                    <w:rPr>
                      <w:rFonts w:ascii="Times New Roman" w:hAnsi="Times New Roman" w:eastAsia="宋体" w:cs="Times New Roman"/>
                      <w:color w:val="auto"/>
                      <w:sz w:val="21"/>
                      <w:szCs w:val="21"/>
                    </w:rPr>
                    <w:t>有机废气经密闭集气罩收集后经过“二级活性炭吸附”废气处理装置处理后通过一根排气筒（DA001）排放，物料储存符合相关要求，项目</w:t>
                  </w:r>
                  <w:r>
                    <w:rPr>
                      <w:rFonts w:ascii="Times New Roman" w:hAnsi="Times New Roman" w:eastAsia="宋体" w:cs="Times New Roman"/>
                      <w:color w:val="auto"/>
                      <w:sz w:val="21"/>
                      <w:szCs w:val="21"/>
                      <w:lang w:bidi="ar"/>
                    </w:rPr>
                    <w:t>VOCs无组织排放控制符合相关限值要求，VOCs收集、处理符合相应要求，活性炭定期更换处置。</w:t>
                  </w:r>
                </w:p>
              </w:tc>
              <w:tc>
                <w:tcPr>
                  <w:tcW w:w="267" w:type="pct"/>
                  <w:vAlign w:val="center"/>
                </w:tcPr>
                <w:p w14:paraId="322CBCAA">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r w14:paraId="2553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7" w:type="pct"/>
                  <w:vAlign w:val="center"/>
                </w:tcPr>
                <w:p w14:paraId="06FE46BB">
                  <w:pPr>
                    <w:pStyle w:val="33"/>
                    <w:adjustRightInd w:val="0"/>
                    <w:snapToGrid w:val="0"/>
                    <w:spacing w:before="0" w:beforeAutospacing="0" w:after="0" w:afterAutospacing="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5</w:t>
                  </w:r>
                </w:p>
              </w:tc>
              <w:tc>
                <w:tcPr>
                  <w:tcW w:w="468" w:type="pct"/>
                  <w:vAlign w:val="center"/>
                </w:tcPr>
                <w:p w14:paraId="0EF1A688">
                  <w:pPr>
                    <w:widowControl/>
                    <w:adjustRightInd w:val="0"/>
                    <w:snapToGrid w:val="0"/>
                    <w:jc w:val="center"/>
                    <w:rPr>
                      <w:color w:val="auto"/>
                      <w:szCs w:val="21"/>
                    </w:rPr>
                  </w:pPr>
                  <w:r>
                    <w:rPr>
                      <w:rFonts w:hint="eastAsia"/>
                      <w:color w:val="auto"/>
                    </w:rPr>
                    <w:t>《关于加强重点行业涉新污染物建设项目环境影响评价工作的意见》（环环评(2025)28号）</w:t>
                  </w:r>
                </w:p>
              </w:tc>
              <w:tc>
                <w:tcPr>
                  <w:tcW w:w="2464" w:type="pct"/>
                  <w:gridSpan w:val="2"/>
                  <w:vAlign w:val="center"/>
                </w:tcPr>
                <w:p w14:paraId="330AAED2">
                  <w:pPr>
                    <w:widowControl/>
                    <w:adjustRightInd w:val="0"/>
                    <w:snapToGrid w:val="0"/>
                    <w:ind w:firstLine="420" w:firstLineChars="20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一、突出管理重点</w:t>
                  </w:r>
                </w:p>
                <w:p w14:paraId="13DC3B45">
                  <w:pPr>
                    <w:widowControl/>
                    <w:adjustRightInd w:val="0"/>
                    <w:snapToGrid w:val="0"/>
                    <w:ind w:firstLine="420" w:firstLineChars="20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重点关注重点管控新污染物清单、有毒有害污染物名录、优先控制化学品名录以及《关于持久性有机污染物的斯德哥尔摩公约》</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rPr>
                    <w:t>简称《斯德哥尔摩公约》</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rPr>
                    <w:t>附件中已发布环境质量标准、污染物排放标准、环境监测方法标准或其他具有污染治理技术的污染物。重点关注石化、涂料、纺织印染、橡胶、农药、医药等重点行业建设项目，在建设项目环评工作中做好上述新污染物识别，涉及上述新污染物的执行本意见要求</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rPr>
                    <w:t>不涉及新污染物的，无需开展相关工作。</w:t>
                  </w:r>
                </w:p>
                <w:p w14:paraId="3CF65BF4">
                  <w:pPr>
                    <w:widowControl/>
                    <w:adjustRightInd w:val="0"/>
                    <w:snapToGrid w:val="0"/>
                    <w:ind w:firstLine="420" w:firstLineChars="20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二、</w:t>
                  </w:r>
                  <w:r>
                    <w:rPr>
                      <w:rFonts w:hint="eastAsia" w:ascii="Times New Roman" w:hAnsi="Times New Roman" w:eastAsia="宋体" w:cs="Times New Roman"/>
                      <w:color w:val="auto"/>
                      <w:szCs w:val="21"/>
                    </w:rPr>
                    <w:t>禁止审批不符合新污染物管控要求的建设项目</w:t>
                  </w:r>
                </w:p>
                <w:p w14:paraId="65E7154B">
                  <w:pPr>
                    <w:widowControl/>
                    <w:adjustRightInd w:val="0"/>
                    <w:snapToGrid w:val="0"/>
                    <w:ind w:firstLine="420" w:firstLineChars="200"/>
                    <w:rPr>
                      <w:rFonts w:hint="eastAsia"/>
                      <w:color w:val="auto"/>
                      <w:szCs w:val="21"/>
                    </w:rPr>
                  </w:pPr>
                  <w:r>
                    <w:rPr>
                      <w:rFonts w:hint="eastAsia" w:ascii="Times New Roman" w:hAnsi="Times New Roman" w:eastAsia="宋体" w:cs="Times New Roman"/>
                      <w:color w:val="auto"/>
                      <w:szCs w:val="21"/>
                    </w:rPr>
                    <w:t>各级环评审批部门在受理和审批建设项目环评文件时，应落实重点管控新污染物清单、产业结构调整指导目录、《斯德哥尔摩公约》生态环境分区管控方案和项目所在园区规划环评等有关管控要求。对照不予审批环评的项目类别</w:t>
                  </w:r>
                  <w:r>
                    <w:rPr>
                      <w:rFonts w:hint="eastAsia" w:ascii="Times New Roman" w:hAnsi="Times New Roman" w:eastAsia="宋体" w:cs="Times New Roman"/>
                      <w:color w:val="auto"/>
                      <w:szCs w:val="21"/>
                      <w:lang w:val="en-US" w:eastAsia="zh-CN"/>
                    </w:rPr>
                    <w:t>（</w:t>
                  </w:r>
                  <w:r>
                    <w:rPr>
                      <w:rFonts w:hint="eastAsia" w:ascii="Times New Roman" w:hAnsi="Times New Roman" w:eastAsia="宋体" w:cs="Times New Roman"/>
                      <w:color w:val="auto"/>
                      <w:szCs w:val="21"/>
                    </w:rPr>
                    <w:t>见附表</w:t>
                  </w:r>
                  <w:r>
                    <w:rPr>
                      <w:rFonts w:hint="eastAsia" w:ascii="Times New Roman" w:hAnsi="Times New Roman" w:eastAsia="宋体" w:cs="Times New Roman"/>
                      <w:color w:val="auto"/>
                      <w:szCs w:val="21"/>
                      <w:lang w:val="en-US" w:eastAsia="zh-CN"/>
                    </w:rPr>
                    <w:t>）</w:t>
                  </w:r>
                  <w:r>
                    <w:rPr>
                      <w:rFonts w:hint="eastAsia" w:ascii="Times New Roman" w:hAnsi="Times New Roman" w:eastAsia="宋体" w:cs="Times New Roman"/>
                      <w:color w:val="auto"/>
                      <w:szCs w:val="21"/>
                    </w:rPr>
                    <w:t>，严格审核建设项目原辅材料和产品，对于以禁止生产、加工使用的新污染物作为原辅料或产品的建设项目，依法不予审批。</w:t>
                  </w:r>
                </w:p>
              </w:tc>
              <w:tc>
                <w:tcPr>
                  <w:tcW w:w="1622" w:type="pct"/>
                  <w:vAlign w:val="center"/>
                </w:tcPr>
                <w:p w14:paraId="143DE870">
                  <w:pPr>
                    <w:pStyle w:val="33"/>
                    <w:snapToGrid w:val="0"/>
                    <w:spacing w:before="0" w:beforeAutospacing="0" w:after="0" w:afterAutospacing="0"/>
                    <w:ind w:firstLine="420" w:firstLineChars="200"/>
                    <w:jc w:val="both"/>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1、本项目属于农药行业，不涉及</w:t>
                  </w:r>
                  <w:r>
                    <w:rPr>
                      <w:rFonts w:hint="eastAsia" w:ascii="Times New Roman" w:hAnsi="Times New Roman" w:eastAsia="宋体" w:cs="Times New Roman"/>
                      <w:color w:val="auto"/>
                      <w:sz w:val="21"/>
                      <w:szCs w:val="21"/>
                    </w:rPr>
                    <w:t>重点管控新污染物清单、有毒有害污染物名录、优先控制化学品名录以及《关于持久性有机污染物的斯德哥尔摩公约》</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简称《斯德哥尔摩公约》</w:t>
                  </w:r>
                  <w:r>
                    <w:rPr>
                      <w:rFonts w:hint="eastAsia" w:ascii="Times New Roman" w:hAnsi="Times New Roman" w:eastAsia="宋体" w:cs="Times New Roman"/>
                      <w:color w:val="auto"/>
                      <w:sz w:val="21"/>
                      <w:szCs w:val="21"/>
                      <w:lang w:eastAsia="zh-CN"/>
                    </w:rPr>
                    <w:t>）</w:t>
                  </w:r>
                </w:p>
                <w:p w14:paraId="2CFDDC17">
                  <w:pPr>
                    <w:pStyle w:val="33"/>
                    <w:snapToGrid w:val="0"/>
                    <w:spacing w:before="0" w:beforeAutospacing="0" w:after="0" w:afterAutospacing="0"/>
                    <w:ind w:firstLine="420" w:firstLineChars="200"/>
                    <w:jc w:val="both"/>
                    <w:rPr>
                      <w:rFonts w:hint="default" w:ascii="Times New Roman" w:hAnsi="Times New Roman" w:cs="Times New Roman" w:eastAsiaTheme="minorEastAsia"/>
                      <w:color w:val="auto"/>
                      <w:sz w:val="21"/>
                      <w:szCs w:val="21"/>
                      <w:lang w:val="en-US" w:eastAsia="zh-CN" w:bidi="ar"/>
                    </w:rPr>
                  </w:pPr>
                  <w:r>
                    <w:rPr>
                      <w:rFonts w:hint="eastAsia" w:ascii="Times New Roman" w:hAnsi="Times New Roman" w:eastAsia="宋体" w:cs="Times New Roman"/>
                      <w:color w:val="auto"/>
                      <w:sz w:val="21"/>
                      <w:szCs w:val="21"/>
                      <w:lang w:val="en-US" w:eastAsia="zh-CN"/>
                    </w:rPr>
                    <w:t>2、本项目不涉及重点管控新污染物清单，不涉及</w:t>
                  </w:r>
                  <w:r>
                    <w:rPr>
                      <w:rFonts w:ascii="Times New Roman" w:hAnsi="Times New Roman" w:eastAsia="宋体" w:cs="Times New Roman"/>
                      <w:color w:val="auto"/>
                      <w:sz w:val="21"/>
                      <w:szCs w:val="21"/>
                    </w:rPr>
                    <w:t>《产业结构调整指导目录（2024年本）》</w:t>
                  </w:r>
                  <w:r>
                    <w:rPr>
                      <w:rFonts w:hint="eastAsia" w:ascii="Times New Roman" w:hAnsi="Times New Roman" w:eastAsia="宋体" w:cs="Times New Roman"/>
                      <w:color w:val="auto"/>
                      <w:sz w:val="21"/>
                      <w:szCs w:val="21"/>
                      <w:lang w:val="en-US" w:eastAsia="zh-CN"/>
                    </w:rPr>
                    <w:t>中的限制类及淘汰类，不涉及不予审批环评的项目类别，符合生态环境管控要求、园区规划环评要求等。</w:t>
                  </w:r>
                </w:p>
              </w:tc>
              <w:tc>
                <w:tcPr>
                  <w:tcW w:w="267" w:type="pct"/>
                  <w:vAlign w:val="center"/>
                </w:tcPr>
                <w:p w14:paraId="2C447EF9">
                  <w:pPr>
                    <w:pStyle w:val="33"/>
                    <w:snapToGrid w:val="0"/>
                    <w:spacing w:before="0" w:beforeAutospacing="0" w:after="0" w:afterAutospacing="0"/>
                    <w:jc w:val="both"/>
                    <w:rPr>
                      <w:rFonts w:ascii="Times New Roman" w:hAnsi="Times New Roman" w:eastAsia="宋体" w:cs="Times New Roman"/>
                      <w:color w:val="auto"/>
                      <w:sz w:val="21"/>
                      <w:szCs w:val="21"/>
                      <w:lang w:bidi="ar"/>
                    </w:rPr>
                  </w:pPr>
                  <w:r>
                    <w:rPr>
                      <w:rFonts w:ascii="Times New Roman" w:hAnsi="Times New Roman" w:eastAsia="宋体" w:cs="Times New Roman"/>
                      <w:color w:val="auto"/>
                      <w:sz w:val="21"/>
                      <w:szCs w:val="21"/>
                      <w:lang w:bidi="ar"/>
                    </w:rPr>
                    <w:t>符合</w:t>
                  </w:r>
                </w:p>
              </w:tc>
            </w:tr>
          </w:tbl>
          <w:p w14:paraId="31345812">
            <w:pPr>
              <w:autoSpaceDE w:val="0"/>
              <w:autoSpaceDN w:val="0"/>
              <w:adjustRightInd w:val="0"/>
              <w:snapToGrid w:val="0"/>
              <w:spacing w:line="360" w:lineRule="auto"/>
              <w:rPr>
                <w:color w:val="auto"/>
              </w:rPr>
            </w:pPr>
          </w:p>
          <w:p w14:paraId="6C460B45">
            <w:pPr>
              <w:autoSpaceDE w:val="0"/>
              <w:autoSpaceDN w:val="0"/>
              <w:adjustRightInd w:val="0"/>
              <w:snapToGrid w:val="0"/>
              <w:spacing w:line="360" w:lineRule="auto"/>
              <w:rPr>
                <w:color w:val="auto"/>
              </w:rPr>
            </w:pPr>
          </w:p>
        </w:tc>
      </w:tr>
    </w:tbl>
    <w:p w14:paraId="5374B69C">
      <w:pPr>
        <w:pStyle w:val="33"/>
        <w:adjustRightInd w:val="0"/>
        <w:snapToGrid w:val="0"/>
        <w:spacing w:before="0" w:beforeAutospacing="0" w:after="0" w:afterAutospacing="0"/>
        <w:jc w:val="center"/>
        <w:rPr>
          <w:rFonts w:ascii="Times New Roman" w:hAnsi="Times New Roman" w:eastAsia="黑体" w:cs="Times New Roman"/>
          <w:snapToGrid w:val="0"/>
          <w:color w:val="auto"/>
          <w:sz w:val="30"/>
          <w:szCs w:val="30"/>
        </w:rPr>
        <w:sectPr>
          <w:pgSz w:w="16838" w:h="11906" w:orient="landscape"/>
          <w:pgMar w:top="1531" w:right="1701" w:bottom="1531" w:left="1701" w:header="851" w:footer="1077" w:gutter="0"/>
          <w:cols w:space="720" w:num="1"/>
          <w:docGrid w:linePitch="312" w:charSpace="0"/>
        </w:sectPr>
      </w:pPr>
    </w:p>
    <w:p w14:paraId="3F8E5823">
      <w:pPr>
        <w:pStyle w:val="46"/>
        <w:spacing w:line="0" w:lineRule="atLeast"/>
        <w:jc w:val="center"/>
        <w:outlineLvl w:val="0"/>
        <w:rPr>
          <w:rFonts w:hint="default" w:ascii="Times New Roman" w:hAnsi="Times New Roman" w:eastAsia="黑体"/>
          <w:snapToGrid w:val="0"/>
          <w:color w:val="auto"/>
          <w:sz w:val="30"/>
          <w:szCs w:val="30"/>
        </w:rPr>
      </w:pPr>
      <w:bookmarkStart w:id="12" w:name="_Toc11879"/>
      <w:r>
        <w:rPr>
          <w:rFonts w:hint="default" w:ascii="Times New Roman" w:hAnsi="Times New Roman" w:eastAsia="黑体"/>
          <w:snapToGrid w:val="0"/>
          <w:color w:val="auto"/>
          <w:sz w:val="30"/>
          <w:szCs w:val="30"/>
        </w:rPr>
        <w:t>二、建设项目工程分析</w:t>
      </w:r>
      <w:bookmarkEnd w:id="7"/>
      <w:bookmarkEnd w:id="8"/>
      <w:bookmarkEnd w:id="12"/>
    </w:p>
    <w:tbl>
      <w:tblPr>
        <w:tblStyle w:val="37"/>
        <w:tblW w:w="98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9396"/>
      </w:tblGrid>
      <w:tr w14:paraId="2E0AC6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69" w:hRule="atLeast"/>
          <w:jc w:val="center"/>
        </w:trPr>
        <w:tc>
          <w:tcPr>
            <w:tcW w:w="426" w:type="dxa"/>
            <w:vAlign w:val="center"/>
          </w:tcPr>
          <w:p w14:paraId="52D80BE8">
            <w:pPr>
              <w:pStyle w:val="33"/>
              <w:adjustRightInd w:val="0"/>
              <w:snapToGrid w:val="0"/>
              <w:spacing w:before="0" w:beforeAutospacing="0" w:after="0" w:afterAutospacing="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建设内容</w:t>
            </w:r>
          </w:p>
        </w:tc>
        <w:tc>
          <w:tcPr>
            <w:tcW w:w="9396" w:type="dxa"/>
          </w:tcPr>
          <w:p w14:paraId="454DB147">
            <w:pPr>
              <w:pStyle w:val="89"/>
              <w:adjustRightInd w:val="0"/>
              <w:snapToGrid w:val="0"/>
              <w:spacing w:before="0" w:beforeLines="0"/>
              <w:ind w:firstLine="0" w:firstLineChars="0"/>
              <w:rPr>
                <w:rFonts w:cs="Times New Roman"/>
                <w:b/>
                <w:bCs/>
                <w:color w:val="auto"/>
                <w:sz w:val="24"/>
                <w:szCs w:val="24"/>
              </w:rPr>
            </w:pPr>
            <w:r>
              <w:rPr>
                <w:rFonts w:cs="Times New Roman"/>
                <w:b/>
                <w:bCs/>
                <w:color w:val="auto"/>
                <w:sz w:val="24"/>
                <w:szCs w:val="24"/>
              </w:rPr>
              <w:t>项目概况：</w:t>
            </w:r>
          </w:p>
          <w:p w14:paraId="5096BD25">
            <w:pPr>
              <w:pStyle w:val="89"/>
              <w:adjustRightInd w:val="0"/>
              <w:snapToGrid w:val="0"/>
              <w:spacing w:before="120"/>
              <w:ind w:firstLine="420"/>
              <w:rPr>
                <w:rFonts w:hint="eastAsia" w:cs="Times New Roman" w:eastAsiaTheme="minorEastAsia"/>
                <w:color w:val="auto"/>
                <w:sz w:val="24"/>
                <w:szCs w:val="24"/>
                <w:lang w:eastAsia="zh-CN"/>
              </w:rPr>
            </w:pPr>
            <w:r>
              <w:rPr>
                <w:rFonts w:cs="Times New Roman"/>
                <w:color w:val="auto"/>
                <w:sz w:val="24"/>
                <w:szCs w:val="24"/>
              </w:rPr>
              <w:t>广东省中立日化有限公司成立于2025年，</w:t>
            </w:r>
            <w:r>
              <w:rPr>
                <w:rFonts w:cs="Times New Roman"/>
                <w:color w:val="auto"/>
                <w:sz w:val="24"/>
                <w:szCs w:val="24"/>
                <w:lang w:bidi="ar"/>
              </w:rPr>
              <w:t>主要从事蚊香、电蚊液、杀虫剂等生产制造</w:t>
            </w:r>
            <w:r>
              <w:rPr>
                <w:rFonts w:cs="Times New Roman"/>
                <w:color w:val="auto"/>
                <w:sz w:val="24"/>
                <w:szCs w:val="24"/>
              </w:rPr>
              <w:t>。广东省中立日化有限公司计划在</w:t>
            </w:r>
            <w:r>
              <w:rPr>
                <w:rFonts w:cs="Times New Roman"/>
                <w:color w:val="auto"/>
                <w:sz w:val="24"/>
                <w:szCs w:val="24"/>
                <w:lang w:bidi="ar"/>
              </w:rPr>
              <w:t>韶关市乐昌市廊田镇乐昌产业转移工业园乐园大道23号6号厂房栋4层(广东乐昌经济开发区)</w:t>
            </w:r>
            <w:r>
              <w:rPr>
                <w:rFonts w:cs="Times New Roman"/>
                <w:color w:val="auto"/>
                <w:sz w:val="24"/>
                <w:szCs w:val="24"/>
              </w:rPr>
              <w:t>建设</w:t>
            </w:r>
            <w:r>
              <w:rPr>
                <w:rFonts w:cs="Times New Roman"/>
                <w:color w:val="auto"/>
                <w:sz w:val="24"/>
                <w:szCs w:val="24"/>
                <w:lang w:bidi="ar"/>
              </w:rPr>
              <w:t>广东省中立日化有限公司新建项目</w:t>
            </w:r>
            <w:r>
              <w:rPr>
                <w:rFonts w:cs="Times New Roman"/>
                <w:color w:val="auto"/>
                <w:sz w:val="24"/>
                <w:szCs w:val="24"/>
              </w:rPr>
              <w:t>。</w:t>
            </w:r>
            <w:r>
              <w:rPr>
                <w:rStyle w:val="44"/>
                <w:rFonts w:hint="eastAsia" w:cs="Times New Roman" w:eastAsiaTheme="minorEastAsia"/>
                <w:color w:val="auto"/>
                <w:sz w:val="24"/>
                <w:szCs w:val="24"/>
                <w:lang w:eastAsia="zh-CN"/>
              </w:rPr>
              <w:t>（</w:t>
            </w:r>
            <w:r>
              <w:rPr>
                <w:rFonts w:hint="eastAsia"/>
                <w:color w:val="auto"/>
                <w:sz w:val="24"/>
                <w:szCs w:val="24"/>
              </w:rPr>
              <w:t>以下</w:t>
            </w:r>
            <w:r>
              <w:rPr>
                <w:color w:val="auto"/>
                <w:sz w:val="24"/>
                <w:szCs w:val="24"/>
              </w:rPr>
              <w:t>简称“</w:t>
            </w:r>
            <w:r>
              <w:rPr>
                <w:rFonts w:hint="eastAsia"/>
                <w:color w:val="auto"/>
                <w:sz w:val="24"/>
                <w:szCs w:val="24"/>
              </w:rPr>
              <w:t>本项目</w:t>
            </w:r>
            <w:r>
              <w:rPr>
                <w:color w:val="auto"/>
                <w:sz w:val="24"/>
                <w:szCs w:val="24"/>
              </w:rPr>
              <w:t>”</w:t>
            </w:r>
            <w:r>
              <w:rPr>
                <w:rStyle w:val="44"/>
                <w:rFonts w:hint="eastAsia" w:cs="Times New Roman" w:eastAsiaTheme="minorEastAsia"/>
                <w:color w:val="auto"/>
                <w:sz w:val="24"/>
                <w:szCs w:val="24"/>
                <w:lang w:eastAsia="zh-CN"/>
              </w:rPr>
              <w:t>）</w:t>
            </w:r>
          </w:p>
          <w:p w14:paraId="41E311CD">
            <w:pPr>
              <w:pStyle w:val="89"/>
              <w:adjustRightInd w:val="0"/>
              <w:snapToGrid w:val="0"/>
              <w:spacing w:before="120"/>
              <w:ind w:firstLine="420"/>
              <w:rPr>
                <w:rFonts w:cs="Times New Roman"/>
                <w:color w:val="auto"/>
                <w:sz w:val="24"/>
                <w:szCs w:val="24"/>
              </w:rPr>
            </w:pPr>
            <w:r>
              <w:rPr>
                <w:rFonts w:cs="Times New Roman"/>
                <w:color w:val="auto"/>
                <w:sz w:val="24"/>
                <w:szCs w:val="24"/>
              </w:rPr>
              <w:t>本项目企业租用工业园区内已建厂房进行生产建设，租用面积为</w:t>
            </w:r>
            <w:r>
              <w:rPr>
                <w:rFonts w:eastAsia="华文楷体" w:cs="Times New Roman"/>
                <w:color w:val="auto"/>
                <w:spacing w:val="-6"/>
                <w:sz w:val="24"/>
                <w:szCs w:val="24"/>
              </w:rPr>
              <w:t>1294.74m</w:t>
            </w:r>
            <w:r>
              <w:rPr>
                <w:rFonts w:eastAsia="华文楷体" w:cs="Times New Roman"/>
                <w:color w:val="auto"/>
                <w:spacing w:val="-6"/>
                <w:sz w:val="24"/>
                <w:szCs w:val="24"/>
                <w:vertAlign w:val="superscript"/>
              </w:rPr>
              <w:t>2</w:t>
            </w:r>
            <w:r>
              <w:rPr>
                <w:rFonts w:eastAsia="华文楷体" w:cs="Times New Roman"/>
                <w:color w:val="auto"/>
                <w:spacing w:val="-6"/>
                <w:sz w:val="24"/>
                <w:szCs w:val="24"/>
              </w:rPr>
              <w:t>，</w:t>
            </w:r>
            <w:r>
              <w:rPr>
                <w:rFonts w:cs="Times New Roman"/>
                <w:color w:val="auto"/>
                <w:sz w:val="24"/>
                <w:szCs w:val="24"/>
              </w:rPr>
              <w:t>位于</w:t>
            </w:r>
            <w:r>
              <w:rPr>
                <w:rFonts w:cs="Times New Roman"/>
                <w:color w:val="auto"/>
                <w:sz w:val="24"/>
                <w:szCs w:val="24"/>
                <w:lang w:bidi="ar"/>
              </w:rPr>
              <w:t>乐园大道23号6号厂房的第四层</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6号厂房共四层，</w:t>
            </w:r>
            <w:r>
              <w:rPr>
                <w:rFonts w:ascii="Times New Roman" w:hAnsi="Times New Roman" w:eastAsia="宋体" w:cs="Times New Roman"/>
                <w:color w:val="auto"/>
                <w:sz w:val="24"/>
                <w:szCs w:val="24"/>
              </w:rPr>
              <w:t>厂房</w:t>
            </w:r>
            <w:r>
              <w:rPr>
                <w:rFonts w:hint="eastAsia" w:ascii="Times New Roman" w:hAnsi="Times New Roman" w:eastAsia="宋体" w:cs="Times New Roman"/>
                <w:color w:val="auto"/>
                <w:sz w:val="24"/>
                <w:szCs w:val="24"/>
                <w:lang w:val="en-US" w:eastAsia="zh-CN"/>
              </w:rPr>
              <w:t>一</w:t>
            </w:r>
            <w:r>
              <w:rPr>
                <w:rFonts w:ascii="Times New Roman" w:hAnsi="Times New Roman" w:eastAsia="宋体" w:cs="Times New Roman"/>
                <w:color w:val="auto"/>
                <w:sz w:val="24"/>
                <w:szCs w:val="24"/>
              </w:rPr>
              <w:t>层</w:t>
            </w:r>
            <w:r>
              <w:rPr>
                <w:rFonts w:hint="eastAsia" w:ascii="Times New Roman" w:hAnsi="Times New Roman" w:eastAsia="宋体" w:cs="Times New Roman"/>
                <w:color w:val="auto"/>
                <w:sz w:val="24"/>
                <w:szCs w:val="24"/>
                <w:lang w:val="en-US" w:eastAsia="zh-CN"/>
              </w:rPr>
              <w:t>高约</w:t>
            </w:r>
            <w:r>
              <w:rPr>
                <w:rFonts w:ascii="Times New Roman" w:hAnsi="Times New Roman" w:eastAsia="宋体" w:cs="Times New Roman"/>
                <w:color w:val="auto"/>
                <w:sz w:val="24"/>
                <w:szCs w:val="24"/>
              </w:rPr>
              <w:t>7.5m</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二、三、四</w:t>
            </w:r>
            <w:r>
              <w:rPr>
                <w:rFonts w:ascii="Times New Roman" w:hAnsi="Times New Roman" w:eastAsia="宋体" w:cs="Times New Roman"/>
                <w:color w:val="auto"/>
                <w:sz w:val="24"/>
                <w:szCs w:val="24"/>
              </w:rPr>
              <w:t>层均</w:t>
            </w:r>
            <w:r>
              <w:rPr>
                <w:rFonts w:hint="eastAsia" w:ascii="Times New Roman" w:hAnsi="Times New Roman" w:eastAsia="宋体" w:cs="Times New Roman"/>
                <w:color w:val="auto"/>
                <w:sz w:val="24"/>
                <w:szCs w:val="24"/>
                <w:lang w:val="en-US" w:eastAsia="zh-CN"/>
              </w:rPr>
              <w:t>高约</w:t>
            </w:r>
            <w:r>
              <w:rPr>
                <w:rFonts w:ascii="Times New Roman" w:hAnsi="Times New Roman" w:eastAsia="宋体" w:cs="Times New Roman"/>
                <w:color w:val="auto"/>
                <w:sz w:val="24"/>
                <w:szCs w:val="24"/>
              </w:rPr>
              <w:t>5m，</w:t>
            </w:r>
            <w:r>
              <w:rPr>
                <w:rFonts w:hint="eastAsia" w:ascii="Times New Roman" w:hAnsi="Times New Roman" w:eastAsia="宋体" w:cs="Times New Roman"/>
                <w:color w:val="auto"/>
                <w:sz w:val="24"/>
                <w:szCs w:val="24"/>
                <w:lang w:val="en-US" w:eastAsia="zh-CN"/>
              </w:rPr>
              <w:t>6号厂房总高约22.5m</w:t>
            </w:r>
            <w:r>
              <w:rPr>
                <w:rFonts w:hint="eastAsia" w:ascii="Times New Roman" w:hAnsi="Times New Roman" w:eastAsia="宋体" w:cs="Times New Roman"/>
                <w:color w:val="auto"/>
                <w:sz w:val="24"/>
                <w:szCs w:val="24"/>
                <w:lang w:eastAsia="zh-CN"/>
              </w:rPr>
              <w:t>）</w:t>
            </w:r>
            <w:r>
              <w:rPr>
                <w:rFonts w:hint="eastAsia" w:eastAsia="宋体" w:cs="Times New Roman"/>
                <w:color w:val="auto"/>
                <w:sz w:val="24"/>
                <w:szCs w:val="24"/>
                <w:lang w:eastAsia="zh-CN" w:bidi="ar"/>
              </w:rPr>
              <w:t>。</w:t>
            </w:r>
            <w:r>
              <w:rPr>
                <w:rFonts w:cs="Times New Roman"/>
                <w:color w:val="auto"/>
                <w:sz w:val="24"/>
                <w:szCs w:val="24"/>
                <w:lang w:bidi="ar"/>
              </w:rPr>
              <w:t>本项目主要生产蚊香、电蚊液产品，建成后生产规模可达：</w:t>
            </w:r>
            <w:r>
              <w:rPr>
                <w:rFonts w:cs="Times New Roman"/>
                <w:color w:val="auto"/>
                <w:sz w:val="24"/>
                <w:szCs w:val="24"/>
              </w:rPr>
              <w:t>年产2000吨盘式蚊香、10万瓶电蚊香液。</w:t>
            </w:r>
          </w:p>
          <w:p w14:paraId="3F2ECBC0">
            <w:pPr>
              <w:numPr>
                <w:ilvl w:val="0"/>
                <w:numId w:val="13"/>
              </w:numPr>
              <w:adjustRightInd w:val="0"/>
              <w:snapToGrid w:val="0"/>
              <w:spacing w:line="360" w:lineRule="auto"/>
              <w:rPr>
                <w:b/>
                <w:bCs/>
                <w:color w:val="auto"/>
                <w:sz w:val="24"/>
                <w:szCs w:val="24"/>
              </w:rPr>
            </w:pPr>
            <w:r>
              <w:rPr>
                <w:b/>
                <w:bCs/>
                <w:color w:val="auto"/>
                <w:sz w:val="24"/>
                <w:szCs w:val="24"/>
              </w:rPr>
              <w:t>环评类别判定说明</w:t>
            </w:r>
          </w:p>
          <w:p w14:paraId="014B5C45">
            <w:pPr>
              <w:pStyle w:val="16"/>
              <w:autoSpaceDE w:val="0"/>
              <w:autoSpaceDN w:val="0"/>
              <w:adjustRightInd w:val="0"/>
              <w:snapToGrid w:val="0"/>
              <w:spacing w:line="360" w:lineRule="auto"/>
              <w:jc w:val="center"/>
              <w:rPr>
                <w:rFonts w:ascii="Times New Roman" w:hAnsi="Times New Roman" w:eastAsia="宋体"/>
                <w:color w:val="auto"/>
                <w:sz w:val="24"/>
                <w:szCs w:val="24"/>
              </w:rPr>
            </w:pPr>
            <w:r>
              <w:rPr>
                <w:rFonts w:ascii="Times New Roman" w:hAnsi="Times New Roman" w:eastAsia="宋体"/>
                <w:b/>
                <w:bCs/>
                <w:color w:val="auto"/>
                <w:sz w:val="24"/>
                <w:szCs w:val="24"/>
              </w:rPr>
              <w:t>表</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表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7</w:t>
            </w:r>
            <w:r>
              <w:rPr>
                <w:rFonts w:ascii="Times New Roman" w:hAnsi="Times New Roman" w:eastAsia="宋体"/>
                <w:b/>
                <w:bCs/>
                <w:color w:val="auto"/>
                <w:sz w:val="24"/>
                <w:szCs w:val="24"/>
              </w:rPr>
              <w:fldChar w:fldCharType="end"/>
            </w:r>
            <w:r>
              <w:rPr>
                <w:rFonts w:ascii="Times New Roman" w:hAnsi="Times New Roman" w:eastAsia="宋体"/>
                <w:b/>
                <w:bCs/>
                <w:color w:val="auto"/>
                <w:sz w:val="24"/>
                <w:szCs w:val="24"/>
              </w:rPr>
              <w:t xml:space="preserve">  环评类别判定表</w:t>
            </w:r>
          </w:p>
          <w:tbl>
            <w:tblPr>
              <w:tblStyle w:val="3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631"/>
              <w:gridCol w:w="831"/>
              <w:gridCol w:w="1384"/>
              <w:gridCol w:w="1604"/>
              <w:gridCol w:w="847"/>
              <w:gridCol w:w="1089"/>
              <w:gridCol w:w="1138"/>
              <w:gridCol w:w="616"/>
              <w:gridCol w:w="596"/>
            </w:tblGrid>
            <w:tr w14:paraId="689B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3" w:type="pct"/>
                  <w:vAlign w:val="center"/>
                </w:tcPr>
                <w:p w14:paraId="431F7C89">
                  <w:pPr>
                    <w:adjustRightInd w:val="0"/>
                    <w:snapToGrid w:val="0"/>
                    <w:jc w:val="center"/>
                    <w:rPr>
                      <w:b/>
                      <w:bCs/>
                      <w:color w:val="auto"/>
                      <w:szCs w:val="21"/>
                    </w:rPr>
                  </w:pPr>
                  <w:r>
                    <w:rPr>
                      <w:b/>
                      <w:bCs/>
                      <w:color w:val="auto"/>
                      <w:szCs w:val="21"/>
                    </w:rPr>
                    <w:t>序号</w:t>
                  </w:r>
                </w:p>
              </w:tc>
              <w:tc>
                <w:tcPr>
                  <w:tcW w:w="345" w:type="pct"/>
                  <w:vAlign w:val="center"/>
                </w:tcPr>
                <w:p w14:paraId="29F979D3">
                  <w:pPr>
                    <w:adjustRightInd w:val="0"/>
                    <w:snapToGrid w:val="0"/>
                    <w:jc w:val="center"/>
                    <w:rPr>
                      <w:b/>
                      <w:bCs/>
                      <w:color w:val="auto"/>
                      <w:szCs w:val="21"/>
                    </w:rPr>
                  </w:pPr>
                  <w:r>
                    <w:rPr>
                      <w:b/>
                      <w:bCs/>
                      <w:color w:val="auto"/>
                      <w:szCs w:val="21"/>
                    </w:rPr>
                    <w:t>产品产能</w:t>
                  </w:r>
                </w:p>
              </w:tc>
              <w:tc>
                <w:tcPr>
                  <w:tcW w:w="454" w:type="pct"/>
                  <w:vAlign w:val="center"/>
                </w:tcPr>
                <w:p w14:paraId="62C361BA">
                  <w:pPr>
                    <w:adjustRightInd w:val="0"/>
                    <w:snapToGrid w:val="0"/>
                    <w:jc w:val="center"/>
                    <w:rPr>
                      <w:b/>
                      <w:bCs/>
                      <w:color w:val="auto"/>
                      <w:szCs w:val="21"/>
                    </w:rPr>
                  </w:pPr>
                  <w:r>
                    <w:rPr>
                      <w:b/>
                      <w:bCs/>
                      <w:color w:val="auto"/>
                      <w:szCs w:val="21"/>
                    </w:rPr>
                    <w:t>工艺</w:t>
                  </w:r>
                </w:p>
              </w:tc>
              <w:tc>
                <w:tcPr>
                  <w:tcW w:w="755" w:type="pct"/>
                  <w:vAlign w:val="center"/>
                </w:tcPr>
                <w:p w14:paraId="7C8900BF">
                  <w:pPr>
                    <w:adjustRightInd w:val="0"/>
                    <w:snapToGrid w:val="0"/>
                    <w:jc w:val="center"/>
                    <w:rPr>
                      <w:b/>
                      <w:bCs/>
                      <w:color w:val="auto"/>
                      <w:szCs w:val="21"/>
                    </w:rPr>
                  </w:pPr>
                  <w:r>
                    <w:rPr>
                      <w:b/>
                      <w:bCs/>
                      <w:color w:val="auto"/>
                      <w:szCs w:val="21"/>
                    </w:rPr>
                    <w:t>产品类别</w:t>
                  </w:r>
                </w:p>
              </w:tc>
              <w:tc>
                <w:tcPr>
                  <w:tcW w:w="875" w:type="pct"/>
                  <w:vAlign w:val="center"/>
                </w:tcPr>
                <w:p w14:paraId="2EEE99F9">
                  <w:pPr>
                    <w:adjustRightInd w:val="0"/>
                    <w:snapToGrid w:val="0"/>
                    <w:jc w:val="center"/>
                    <w:rPr>
                      <w:b/>
                      <w:bCs/>
                      <w:color w:val="auto"/>
                      <w:szCs w:val="21"/>
                    </w:rPr>
                  </w:pPr>
                  <w:r>
                    <w:rPr>
                      <w:b/>
                      <w:bCs/>
                      <w:color w:val="auto"/>
                      <w:szCs w:val="21"/>
                    </w:rPr>
                    <w:t>国民经济行业类别</w:t>
                  </w:r>
                </w:p>
              </w:tc>
              <w:tc>
                <w:tcPr>
                  <w:tcW w:w="1677" w:type="pct"/>
                  <w:gridSpan w:val="3"/>
                  <w:vAlign w:val="center"/>
                </w:tcPr>
                <w:p w14:paraId="12959F3B">
                  <w:pPr>
                    <w:adjustRightInd w:val="0"/>
                    <w:snapToGrid w:val="0"/>
                    <w:jc w:val="center"/>
                    <w:rPr>
                      <w:b/>
                      <w:bCs/>
                      <w:color w:val="auto"/>
                      <w:szCs w:val="21"/>
                    </w:rPr>
                  </w:pPr>
                  <w:r>
                    <w:rPr>
                      <w:b/>
                      <w:bCs/>
                      <w:color w:val="auto"/>
                      <w:szCs w:val="21"/>
                    </w:rPr>
                    <w:t>对应名录的条款</w:t>
                  </w:r>
                </w:p>
              </w:tc>
              <w:tc>
                <w:tcPr>
                  <w:tcW w:w="336" w:type="pct"/>
                  <w:vAlign w:val="center"/>
                </w:tcPr>
                <w:p w14:paraId="110A4FA3">
                  <w:pPr>
                    <w:adjustRightInd w:val="0"/>
                    <w:snapToGrid w:val="0"/>
                    <w:jc w:val="center"/>
                    <w:rPr>
                      <w:b/>
                      <w:bCs/>
                      <w:color w:val="auto"/>
                      <w:szCs w:val="21"/>
                    </w:rPr>
                  </w:pPr>
                  <w:r>
                    <w:rPr>
                      <w:b/>
                      <w:bCs/>
                      <w:color w:val="auto"/>
                      <w:szCs w:val="21"/>
                    </w:rPr>
                    <w:t>敏感区</w:t>
                  </w:r>
                </w:p>
              </w:tc>
              <w:tc>
                <w:tcPr>
                  <w:tcW w:w="323" w:type="pct"/>
                  <w:vAlign w:val="center"/>
                </w:tcPr>
                <w:p w14:paraId="539DD257">
                  <w:pPr>
                    <w:adjustRightInd w:val="0"/>
                    <w:snapToGrid w:val="0"/>
                    <w:jc w:val="center"/>
                    <w:rPr>
                      <w:b/>
                      <w:bCs/>
                      <w:color w:val="auto"/>
                      <w:szCs w:val="21"/>
                    </w:rPr>
                  </w:pPr>
                  <w:r>
                    <w:rPr>
                      <w:b/>
                      <w:bCs/>
                      <w:color w:val="auto"/>
                      <w:szCs w:val="21"/>
                    </w:rPr>
                    <w:t>类别</w:t>
                  </w:r>
                </w:p>
              </w:tc>
            </w:tr>
            <w:tr w14:paraId="0A83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33" w:type="pct"/>
                  <w:vMerge w:val="restart"/>
                  <w:vAlign w:val="center"/>
                </w:tcPr>
                <w:p w14:paraId="2724FDD1">
                  <w:pPr>
                    <w:adjustRightInd w:val="0"/>
                    <w:snapToGrid w:val="0"/>
                    <w:jc w:val="center"/>
                    <w:rPr>
                      <w:color w:val="auto"/>
                      <w:szCs w:val="21"/>
                    </w:rPr>
                  </w:pPr>
                  <w:r>
                    <w:rPr>
                      <w:color w:val="auto"/>
                      <w:szCs w:val="21"/>
                    </w:rPr>
                    <w:t>1</w:t>
                  </w:r>
                </w:p>
              </w:tc>
              <w:tc>
                <w:tcPr>
                  <w:tcW w:w="345" w:type="pct"/>
                  <w:vMerge w:val="restart"/>
                  <w:tcMar>
                    <w:top w:w="0" w:type="dxa"/>
                    <w:left w:w="0" w:type="dxa"/>
                    <w:bottom w:w="0" w:type="dxa"/>
                    <w:right w:w="0" w:type="dxa"/>
                  </w:tcMar>
                  <w:vAlign w:val="center"/>
                </w:tcPr>
                <w:p w14:paraId="512A0268">
                  <w:pPr>
                    <w:pStyle w:val="89"/>
                    <w:adjustRightInd w:val="0"/>
                    <w:snapToGrid w:val="0"/>
                    <w:spacing w:before="0" w:beforeLines="0" w:line="240" w:lineRule="auto"/>
                    <w:ind w:firstLine="0" w:firstLineChars="0"/>
                    <w:jc w:val="center"/>
                    <w:rPr>
                      <w:rFonts w:cs="Times New Roman"/>
                      <w:color w:val="auto"/>
                      <w:szCs w:val="21"/>
                    </w:rPr>
                  </w:pPr>
                  <w:r>
                    <w:rPr>
                      <w:rFonts w:cs="Times New Roman"/>
                      <w:color w:val="auto"/>
                      <w:szCs w:val="21"/>
                    </w:rPr>
                    <w:t>年产2000吨盘式蚊香、10万瓶电蚊香液</w:t>
                  </w:r>
                </w:p>
              </w:tc>
              <w:tc>
                <w:tcPr>
                  <w:tcW w:w="454" w:type="pct"/>
                  <w:vMerge w:val="restart"/>
                  <w:tcMar>
                    <w:top w:w="0" w:type="dxa"/>
                    <w:left w:w="0" w:type="dxa"/>
                    <w:bottom w:w="0" w:type="dxa"/>
                    <w:right w:w="0" w:type="dxa"/>
                  </w:tcMar>
                  <w:vAlign w:val="center"/>
                </w:tcPr>
                <w:p w14:paraId="53AB348F">
                  <w:pPr>
                    <w:pStyle w:val="89"/>
                    <w:adjustRightInd w:val="0"/>
                    <w:snapToGrid w:val="0"/>
                    <w:spacing w:before="0" w:beforeLines="0" w:line="240" w:lineRule="auto"/>
                    <w:ind w:firstLine="0" w:firstLineChars="0"/>
                    <w:jc w:val="center"/>
                    <w:rPr>
                      <w:rFonts w:cs="Times New Roman"/>
                      <w:color w:val="auto"/>
                      <w:szCs w:val="21"/>
                    </w:rPr>
                  </w:pPr>
                  <w:r>
                    <w:rPr>
                      <w:rFonts w:cs="Times New Roman"/>
                      <w:color w:val="auto"/>
                      <w:szCs w:val="21"/>
                    </w:rPr>
                    <w:t>投料-搅拌-喷药-理片-包装</w:t>
                  </w:r>
                </w:p>
              </w:tc>
              <w:tc>
                <w:tcPr>
                  <w:tcW w:w="755" w:type="pct"/>
                  <w:shd w:val="clear" w:color="auto" w:fill="auto"/>
                  <w:tcMar>
                    <w:top w:w="0" w:type="dxa"/>
                    <w:left w:w="0" w:type="dxa"/>
                    <w:bottom w:w="0" w:type="dxa"/>
                    <w:right w:w="0" w:type="dxa"/>
                  </w:tcMar>
                  <w:vAlign w:val="center"/>
                </w:tcPr>
                <w:p w14:paraId="6A0C378D">
                  <w:pPr>
                    <w:adjustRightInd w:val="0"/>
                    <w:snapToGrid w:val="0"/>
                    <w:jc w:val="center"/>
                    <w:rPr>
                      <w:color w:val="auto"/>
                      <w:szCs w:val="21"/>
                    </w:rPr>
                  </w:pPr>
                  <w:r>
                    <w:rPr>
                      <w:color w:val="auto"/>
                      <w:szCs w:val="21"/>
                    </w:rPr>
                    <w:t>盘式蚊香</w:t>
                  </w:r>
                </w:p>
              </w:tc>
              <w:tc>
                <w:tcPr>
                  <w:tcW w:w="875" w:type="pct"/>
                  <w:vMerge w:val="restart"/>
                  <w:shd w:val="clear" w:color="auto" w:fill="auto"/>
                  <w:tcMar>
                    <w:top w:w="0" w:type="dxa"/>
                    <w:left w:w="0" w:type="dxa"/>
                    <w:bottom w:w="0" w:type="dxa"/>
                    <w:right w:w="0" w:type="dxa"/>
                  </w:tcMar>
                  <w:vAlign w:val="center"/>
                </w:tcPr>
                <w:p w14:paraId="71BC01BF">
                  <w:pPr>
                    <w:widowControl/>
                    <w:jc w:val="center"/>
                    <w:rPr>
                      <w:color w:val="auto"/>
                      <w:szCs w:val="21"/>
                    </w:rPr>
                  </w:pPr>
                  <w:r>
                    <w:rPr>
                      <w:color w:val="auto"/>
                      <w:szCs w:val="21"/>
                    </w:rPr>
                    <w:t>C2631 化学农药制造</w:t>
                  </w:r>
                </w:p>
              </w:tc>
              <w:tc>
                <w:tcPr>
                  <w:tcW w:w="462" w:type="pct"/>
                  <w:vMerge w:val="restart"/>
                  <w:tcMar>
                    <w:top w:w="0" w:type="dxa"/>
                    <w:left w:w="0" w:type="dxa"/>
                    <w:bottom w:w="0" w:type="dxa"/>
                    <w:right w:w="0" w:type="dxa"/>
                  </w:tcMar>
                  <w:vAlign w:val="center"/>
                </w:tcPr>
                <w:p w14:paraId="549C014F">
                  <w:pPr>
                    <w:adjustRightInd w:val="0"/>
                    <w:snapToGrid w:val="0"/>
                    <w:jc w:val="center"/>
                    <w:rPr>
                      <w:color w:val="auto"/>
                      <w:szCs w:val="21"/>
                    </w:rPr>
                  </w:pPr>
                  <w:r>
                    <w:rPr>
                      <w:color w:val="auto"/>
                      <w:szCs w:val="21"/>
                    </w:rPr>
                    <w:t>二十三、化学原料和化学制品制造业 26</w:t>
                  </w:r>
                </w:p>
                <w:p w14:paraId="7FEB1687">
                  <w:pPr>
                    <w:adjustRightInd w:val="0"/>
                    <w:snapToGrid w:val="0"/>
                    <w:jc w:val="center"/>
                    <w:rPr>
                      <w:color w:val="auto"/>
                      <w:szCs w:val="21"/>
                    </w:rPr>
                  </w:pPr>
                </w:p>
              </w:tc>
              <w:tc>
                <w:tcPr>
                  <w:tcW w:w="594" w:type="pct"/>
                  <w:vMerge w:val="restart"/>
                  <w:tcMar>
                    <w:top w:w="0" w:type="dxa"/>
                    <w:left w:w="0" w:type="dxa"/>
                    <w:bottom w:w="0" w:type="dxa"/>
                    <w:right w:w="0" w:type="dxa"/>
                  </w:tcMar>
                  <w:vAlign w:val="center"/>
                </w:tcPr>
                <w:p w14:paraId="78CC2948">
                  <w:pPr>
                    <w:adjustRightInd w:val="0"/>
                    <w:snapToGrid w:val="0"/>
                    <w:jc w:val="center"/>
                    <w:rPr>
                      <w:color w:val="auto"/>
                      <w:szCs w:val="21"/>
                    </w:rPr>
                  </w:pPr>
                  <w:r>
                    <w:rPr>
                      <w:color w:val="auto"/>
                      <w:szCs w:val="21"/>
                    </w:rPr>
                    <w:t>44.农药制造263</w:t>
                  </w:r>
                </w:p>
              </w:tc>
              <w:tc>
                <w:tcPr>
                  <w:tcW w:w="620" w:type="pct"/>
                  <w:vMerge w:val="restart"/>
                  <w:vAlign w:val="center"/>
                </w:tcPr>
                <w:p w14:paraId="4B58B341">
                  <w:pPr>
                    <w:pStyle w:val="89"/>
                    <w:adjustRightInd w:val="0"/>
                    <w:snapToGrid w:val="0"/>
                    <w:spacing w:before="0" w:beforeLines="0" w:line="240" w:lineRule="auto"/>
                    <w:ind w:firstLine="0" w:firstLineChars="0"/>
                    <w:jc w:val="center"/>
                    <w:rPr>
                      <w:rFonts w:cs="Times New Roman"/>
                      <w:color w:val="auto"/>
                      <w:szCs w:val="21"/>
                    </w:rPr>
                  </w:pPr>
                  <w:r>
                    <w:rPr>
                      <w:rFonts w:cs="Times New Roman"/>
                      <w:color w:val="auto"/>
                      <w:szCs w:val="21"/>
                    </w:rPr>
                    <w:t>单纯物理分离、物理提纯、混合、分装的（不产生废水或挥发性有机物的除</w:t>
                  </w:r>
                  <w:r>
                    <w:rPr>
                      <w:rFonts w:eastAsia="微软雅黑" w:cs="Times New Roman"/>
                      <w:color w:val="auto"/>
                      <w:szCs w:val="21"/>
                      <w:shd w:val="clear" w:color="auto" w:fill="FFFFFF"/>
                    </w:rPr>
                    <w:t>外）</w:t>
                  </w:r>
                </w:p>
              </w:tc>
              <w:tc>
                <w:tcPr>
                  <w:tcW w:w="336" w:type="pct"/>
                  <w:vMerge w:val="restart"/>
                  <w:vAlign w:val="center"/>
                </w:tcPr>
                <w:p w14:paraId="24E1A772">
                  <w:pPr>
                    <w:adjustRightInd w:val="0"/>
                    <w:snapToGrid w:val="0"/>
                    <w:jc w:val="center"/>
                    <w:rPr>
                      <w:color w:val="auto"/>
                      <w:szCs w:val="21"/>
                    </w:rPr>
                  </w:pPr>
                  <w:r>
                    <w:rPr>
                      <w:color w:val="auto"/>
                      <w:szCs w:val="21"/>
                    </w:rPr>
                    <w:t>无</w:t>
                  </w:r>
                </w:p>
              </w:tc>
              <w:tc>
                <w:tcPr>
                  <w:tcW w:w="323" w:type="pct"/>
                  <w:vMerge w:val="restart"/>
                  <w:vAlign w:val="center"/>
                </w:tcPr>
                <w:p w14:paraId="7FE18A4A">
                  <w:pPr>
                    <w:adjustRightInd w:val="0"/>
                    <w:snapToGrid w:val="0"/>
                    <w:jc w:val="center"/>
                    <w:rPr>
                      <w:color w:val="auto"/>
                      <w:szCs w:val="21"/>
                    </w:rPr>
                  </w:pPr>
                  <w:r>
                    <w:rPr>
                      <w:color w:val="auto"/>
                      <w:szCs w:val="21"/>
                    </w:rPr>
                    <w:t>报告表</w:t>
                  </w:r>
                </w:p>
              </w:tc>
            </w:tr>
            <w:tr w14:paraId="4DE3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33" w:type="pct"/>
                  <w:vMerge w:val="continue"/>
                  <w:vAlign w:val="center"/>
                </w:tcPr>
                <w:p w14:paraId="67C18C45">
                  <w:pPr>
                    <w:adjustRightInd w:val="0"/>
                    <w:snapToGrid w:val="0"/>
                    <w:jc w:val="center"/>
                    <w:rPr>
                      <w:color w:val="auto"/>
                    </w:rPr>
                  </w:pPr>
                </w:p>
              </w:tc>
              <w:tc>
                <w:tcPr>
                  <w:tcW w:w="345" w:type="pct"/>
                  <w:vMerge w:val="continue"/>
                  <w:tcMar>
                    <w:top w:w="0" w:type="dxa"/>
                    <w:left w:w="0" w:type="dxa"/>
                    <w:bottom w:w="0" w:type="dxa"/>
                    <w:right w:w="0" w:type="dxa"/>
                  </w:tcMar>
                  <w:vAlign w:val="center"/>
                </w:tcPr>
                <w:p w14:paraId="072F2B8E">
                  <w:pPr>
                    <w:adjustRightInd w:val="0"/>
                    <w:snapToGrid w:val="0"/>
                    <w:jc w:val="center"/>
                    <w:rPr>
                      <w:color w:val="auto"/>
                    </w:rPr>
                  </w:pPr>
                </w:p>
              </w:tc>
              <w:tc>
                <w:tcPr>
                  <w:tcW w:w="454" w:type="pct"/>
                  <w:vMerge w:val="continue"/>
                  <w:tcMar>
                    <w:top w:w="0" w:type="dxa"/>
                    <w:left w:w="0" w:type="dxa"/>
                    <w:bottom w:w="0" w:type="dxa"/>
                    <w:right w:w="0" w:type="dxa"/>
                  </w:tcMar>
                  <w:vAlign w:val="center"/>
                </w:tcPr>
                <w:p w14:paraId="37A69D0F">
                  <w:pPr>
                    <w:adjustRightInd w:val="0"/>
                    <w:snapToGrid w:val="0"/>
                    <w:jc w:val="center"/>
                    <w:rPr>
                      <w:color w:val="auto"/>
                    </w:rPr>
                  </w:pPr>
                </w:p>
              </w:tc>
              <w:tc>
                <w:tcPr>
                  <w:tcW w:w="755" w:type="pct"/>
                  <w:shd w:val="clear" w:color="auto" w:fill="auto"/>
                  <w:tcMar>
                    <w:top w:w="0" w:type="dxa"/>
                    <w:left w:w="0" w:type="dxa"/>
                    <w:bottom w:w="0" w:type="dxa"/>
                    <w:right w:w="0" w:type="dxa"/>
                  </w:tcMar>
                  <w:vAlign w:val="center"/>
                </w:tcPr>
                <w:p w14:paraId="0DE42451">
                  <w:pPr>
                    <w:adjustRightInd w:val="0"/>
                    <w:snapToGrid w:val="0"/>
                    <w:jc w:val="center"/>
                    <w:rPr>
                      <w:color w:val="auto"/>
                      <w:szCs w:val="21"/>
                    </w:rPr>
                  </w:pPr>
                  <w:r>
                    <w:rPr>
                      <w:color w:val="auto"/>
                      <w:szCs w:val="21"/>
                    </w:rPr>
                    <w:t>电蚊香液</w:t>
                  </w:r>
                </w:p>
              </w:tc>
              <w:tc>
                <w:tcPr>
                  <w:tcW w:w="875" w:type="pct"/>
                  <w:vMerge w:val="continue"/>
                  <w:shd w:val="clear" w:color="auto" w:fill="auto"/>
                  <w:tcMar>
                    <w:top w:w="0" w:type="dxa"/>
                    <w:left w:w="0" w:type="dxa"/>
                    <w:bottom w:w="0" w:type="dxa"/>
                    <w:right w:w="0" w:type="dxa"/>
                  </w:tcMar>
                  <w:vAlign w:val="center"/>
                </w:tcPr>
                <w:p w14:paraId="0451DF11">
                  <w:pPr>
                    <w:adjustRightInd w:val="0"/>
                    <w:snapToGrid w:val="0"/>
                    <w:jc w:val="center"/>
                    <w:rPr>
                      <w:color w:val="auto"/>
                      <w:szCs w:val="21"/>
                    </w:rPr>
                  </w:pPr>
                </w:p>
              </w:tc>
              <w:tc>
                <w:tcPr>
                  <w:tcW w:w="462" w:type="pct"/>
                  <w:vMerge w:val="continue"/>
                  <w:tcMar>
                    <w:top w:w="0" w:type="dxa"/>
                    <w:left w:w="0" w:type="dxa"/>
                    <w:bottom w:w="0" w:type="dxa"/>
                    <w:right w:w="0" w:type="dxa"/>
                  </w:tcMar>
                  <w:vAlign w:val="center"/>
                </w:tcPr>
                <w:p w14:paraId="53E74606">
                  <w:pPr>
                    <w:adjustRightInd w:val="0"/>
                    <w:snapToGrid w:val="0"/>
                    <w:jc w:val="center"/>
                    <w:rPr>
                      <w:color w:val="auto"/>
                      <w:szCs w:val="21"/>
                    </w:rPr>
                  </w:pPr>
                </w:p>
              </w:tc>
              <w:tc>
                <w:tcPr>
                  <w:tcW w:w="594" w:type="pct"/>
                  <w:vMerge w:val="continue"/>
                  <w:tcMar>
                    <w:top w:w="0" w:type="dxa"/>
                    <w:left w:w="0" w:type="dxa"/>
                    <w:bottom w:w="0" w:type="dxa"/>
                    <w:right w:w="0" w:type="dxa"/>
                  </w:tcMar>
                  <w:vAlign w:val="center"/>
                </w:tcPr>
                <w:p w14:paraId="6A762C85">
                  <w:pPr>
                    <w:adjustRightInd w:val="0"/>
                    <w:snapToGrid w:val="0"/>
                    <w:jc w:val="center"/>
                    <w:rPr>
                      <w:color w:val="auto"/>
                      <w:szCs w:val="21"/>
                    </w:rPr>
                  </w:pPr>
                </w:p>
              </w:tc>
              <w:tc>
                <w:tcPr>
                  <w:tcW w:w="620" w:type="pct"/>
                  <w:vMerge w:val="continue"/>
                  <w:vAlign w:val="center"/>
                </w:tcPr>
                <w:p w14:paraId="5296CA13">
                  <w:pPr>
                    <w:adjustRightInd w:val="0"/>
                    <w:snapToGrid w:val="0"/>
                    <w:jc w:val="center"/>
                    <w:rPr>
                      <w:color w:val="auto"/>
                      <w:szCs w:val="21"/>
                    </w:rPr>
                  </w:pPr>
                </w:p>
              </w:tc>
              <w:tc>
                <w:tcPr>
                  <w:tcW w:w="336" w:type="pct"/>
                  <w:vMerge w:val="continue"/>
                  <w:vAlign w:val="center"/>
                </w:tcPr>
                <w:p w14:paraId="7DD319FC">
                  <w:pPr>
                    <w:adjustRightInd w:val="0"/>
                    <w:snapToGrid w:val="0"/>
                    <w:jc w:val="center"/>
                    <w:rPr>
                      <w:color w:val="auto"/>
                      <w:szCs w:val="21"/>
                    </w:rPr>
                  </w:pPr>
                </w:p>
              </w:tc>
              <w:tc>
                <w:tcPr>
                  <w:tcW w:w="323" w:type="pct"/>
                  <w:vMerge w:val="continue"/>
                  <w:vAlign w:val="center"/>
                </w:tcPr>
                <w:p w14:paraId="2698C5A5">
                  <w:pPr>
                    <w:adjustRightInd w:val="0"/>
                    <w:snapToGrid w:val="0"/>
                    <w:jc w:val="center"/>
                    <w:rPr>
                      <w:color w:val="auto"/>
                      <w:szCs w:val="21"/>
                    </w:rPr>
                  </w:pPr>
                </w:p>
              </w:tc>
            </w:tr>
            <w:tr w14:paraId="5DBB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5000" w:type="pct"/>
                  <w:gridSpan w:val="10"/>
                  <w:vAlign w:val="center"/>
                </w:tcPr>
                <w:p w14:paraId="1AF90182">
                  <w:pPr>
                    <w:adjustRightInd w:val="0"/>
                    <w:snapToGrid w:val="0"/>
                    <w:rPr>
                      <w:color w:val="auto"/>
                      <w:szCs w:val="21"/>
                    </w:rPr>
                  </w:pPr>
                  <w:r>
                    <w:rPr>
                      <w:color w:val="auto"/>
                      <w:szCs w:val="21"/>
                    </w:rPr>
                    <w:t>注：名录中所标“*”号，指在工业建筑中生产的建设项目</w:t>
                  </w:r>
                </w:p>
              </w:tc>
            </w:tr>
          </w:tbl>
          <w:p w14:paraId="001BFC5C">
            <w:pPr>
              <w:widowControl/>
              <w:adjustRightInd w:val="0"/>
              <w:snapToGrid w:val="0"/>
              <w:spacing w:line="360" w:lineRule="auto"/>
              <w:ind w:firstLine="480" w:firstLineChars="200"/>
              <w:jc w:val="left"/>
              <w:rPr>
                <w:color w:val="auto"/>
                <w:sz w:val="24"/>
                <w:szCs w:val="24"/>
              </w:rPr>
            </w:pPr>
            <w:r>
              <w:rPr>
                <w:color w:val="auto"/>
                <w:sz w:val="24"/>
                <w:szCs w:val="24"/>
              </w:rPr>
              <w:t>综上判定，项目各类产品生产过程均不涉及化学反应，仅为“物理搅拌、复配、灌装”过程，根据国家生态环境部令第16号《建设项目环境影响评价分类管理名录》（2021年1月1日起执行），本项目应编制环境影响报告表。</w:t>
            </w:r>
          </w:p>
          <w:p w14:paraId="4CACF99D">
            <w:pPr>
              <w:numPr>
                <w:ilvl w:val="0"/>
                <w:numId w:val="13"/>
              </w:numPr>
              <w:adjustRightInd w:val="0"/>
              <w:snapToGrid w:val="0"/>
              <w:spacing w:line="360" w:lineRule="auto"/>
              <w:rPr>
                <w:b/>
                <w:bCs/>
                <w:color w:val="auto"/>
                <w:sz w:val="24"/>
                <w:szCs w:val="24"/>
              </w:rPr>
            </w:pPr>
            <w:r>
              <w:rPr>
                <w:b/>
                <w:bCs/>
                <w:color w:val="auto"/>
                <w:sz w:val="24"/>
                <w:szCs w:val="24"/>
              </w:rPr>
              <w:t>项目建设内容</w:t>
            </w:r>
          </w:p>
          <w:p w14:paraId="22F0CB9D">
            <w:pPr>
              <w:adjustRightInd w:val="0"/>
              <w:snapToGrid w:val="0"/>
              <w:spacing w:line="360" w:lineRule="auto"/>
              <w:ind w:firstLine="482" w:firstLineChars="200"/>
              <w:rPr>
                <w:b/>
                <w:bCs/>
                <w:color w:val="auto"/>
                <w:sz w:val="24"/>
                <w:szCs w:val="24"/>
              </w:rPr>
            </w:pPr>
            <w:r>
              <w:rPr>
                <w:b/>
                <w:bCs/>
                <w:color w:val="auto"/>
                <w:sz w:val="24"/>
                <w:szCs w:val="24"/>
              </w:rPr>
              <w:t>1、基本信息</w:t>
            </w:r>
          </w:p>
          <w:p w14:paraId="0AC00427">
            <w:pPr>
              <w:pStyle w:val="89"/>
              <w:adjustRightInd w:val="0"/>
              <w:snapToGrid w:val="0"/>
              <w:spacing w:before="120"/>
              <w:ind w:firstLine="420"/>
              <w:rPr>
                <w:rFonts w:cs="Times New Roman"/>
                <w:color w:val="auto"/>
                <w:sz w:val="24"/>
                <w:szCs w:val="24"/>
              </w:rPr>
            </w:pPr>
            <w:r>
              <w:rPr>
                <w:rFonts w:cs="Times New Roman"/>
                <w:color w:val="auto"/>
                <w:sz w:val="24"/>
                <w:szCs w:val="24"/>
              </w:rPr>
              <w:t>本项目主要建设工程内容如下。</w:t>
            </w:r>
          </w:p>
          <w:p w14:paraId="080EE71D">
            <w:pPr>
              <w:autoSpaceDE w:val="0"/>
              <w:autoSpaceDN w:val="0"/>
              <w:adjustRightInd w:val="0"/>
              <w:snapToGrid w:val="0"/>
              <w:spacing w:line="360" w:lineRule="auto"/>
              <w:jc w:val="center"/>
              <w:rPr>
                <w:b/>
                <w:bCs/>
                <w:color w:val="auto"/>
                <w:sz w:val="24"/>
                <w:szCs w:val="24"/>
              </w:rPr>
            </w:pPr>
          </w:p>
          <w:p w14:paraId="68D8C5BA">
            <w:pPr>
              <w:autoSpaceDE w:val="0"/>
              <w:autoSpaceDN w:val="0"/>
              <w:adjustRightInd w:val="0"/>
              <w:snapToGrid w:val="0"/>
              <w:spacing w:line="360" w:lineRule="auto"/>
              <w:jc w:val="center"/>
              <w:rPr>
                <w:b/>
                <w:bCs/>
                <w:color w:val="auto"/>
                <w:sz w:val="24"/>
                <w:szCs w:val="24"/>
              </w:rPr>
            </w:pPr>
          </w:p>
          <w:p w14:paraId="036C15E7">
            <w:pPr>
              <w:autoSpaceDE w:val="0"/>
              <w:autoSpaceDN w:val="0"/>
              <w:adjustRightInd w:val="0"/>
              <w:snapToGrid w:val="0"/>
              <w:spacing w:line="360" w:lineRule="auto"/>
              <w:jc w:val="center"/>
              <w:rPr>
                <w:b/>
                <w:bCs/>
                <w:color w:val="auto"/>
                <w:sz w:val="24"/>
                <w:szCs w:val="24"/>
              </w:rPr>
            </w:pPr>
            <w:r>
              <w:rPr>
                <w:b/>
                <w:bCs/>
                <w:color w:val="auto"/>
                <w:sz w:val="24"/>
                <w:szCs w:val="24"/>
              </w:rPr>
              <w:t>表</w:t>
            </w:r>
            <w:r>
              <w:rPr>
                <w:b/>
                <w:bCs/>
                <w:color w:val="auto"/>
                <w:sz w:val="24"/>
                <w:szCs w:val="24"/>
              </w:rPr>
              <w:fldChar w:fldCharType="begin"/>
            </w:r>
            <w:r>
              <w:rPr>
                <w:b/>
                <w:bCs/>
                <w:color w:val="auto"/>
                <w:sz w:val="24"/>
                <w:szCs w:val="24"/>
              </w:rPr>
              <w:instrText xml:space="preserve"> SEQ 表 \* ARABIC </w:instrText>
            </w:r>
            <w:r>
              <w:rPr>
                <w:b/>
                <w:bCs/>
                <w:color w:val="auto"/>
                <w:sz w:val="24"/>
                <w:szCs w:val="24"/>
              </w:rPr>
              <w:fldChar w:fldCharType="separate"/>
            </w:r>
            <w:r>
              <w:rPr>
                <w:b/>
                <w:bCs/>
                <w:color w:val="auto"/>
                <w:sz w:val="24"/>
                <w:szCs w:val="24"/>
              </w:rPr>
              <w:t>8</w:t>
            </w:r>
            <w:r>
              <w:rPr>
                <w:b/>
                <w:bCs/>
                <w:color w:val="auto"/>
                <w:sz w:val="24"/>
                <w:szCs w:val="24"/>
              </w:rPr>
              <w:fldChar w:fldCharType="end"/>
            </w:r>
            <w:r>
              <w:rPr>
                <w:b/>
                <w:bCs/>
                <w:color w:val="auto"/>
                <w:sz w:val="24"/>
                <w:szCs w:val="24"/>
              </w:rPr>
              <w:t xml:space="preserve">  项目工程组成一览表</w:t>
            </w:r>
          </w:p>
          <w:tbl>
            <w:tblPr>
              <w:tblStyle w:val="3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13"/>
              <w:gridCol w:w="537"/>
              <w:gridCol w:w="1384"/>
              <w:gridCol w:w="682"/>
              <w:gridCol w:w="2064"/>
              <w:gridCol w:w="1461"/>
              <w:gridCol w:w="1234"/>
              <w:gridCol w:w="1088"/>
            </w:tblGrid>
            <w:tr w14:paraId="6508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9" w:type="pct"/>
                  <w:vAlign w:val="center"/>
                </w:tcPr>
                <w:p w14:paraId="6490E834">
                  <w:pPr>
                    <w:adjustRightInd w:val="0"/>
                    <w:snapToGrid w:val="0"/>
                    <w:jc w:val="center"/>
                    <w:rPr>
                      <w:b/>
                      <w:bCs/>
                      <w:color w:val="auto"/>
                      <w:szCs w:val="21"/>
                    </w:rPr>
                  </w:pPr>
                  <w:r>
                    <w:rPr>
                      <w:b/>
                      <w:bCs/>
                      <w:color w:val="auto"/>
                      <w:szCs w:val="21"/>
                    </w:rPr>
                    <w:t>工程类别</w:t>
                  </w:r>
                </w:p>
              </w:tc>
              <w:tc>
                <w:tcPr>
                  <w:tcW w:w="293" w:type="pct"/>
                  <w:vAlign w:val="center"/>
                </w:tcPr>
                <w:p w14:paraId="2628EFF4">
                  <w:pPr>
                    <w:adjustRightInd w:val="0"/>
                    <w:snapToGrid w:val="0"/>
                    <w:jc w:val="center"/>
                    <w:rPr>
                      <w:b/>
                      <w:bCs/>
                      <w:color w:val="auto"/>
                      <w:szCs w:val="21"/>
                    </w:rPr>
                  </w:pPr>
                  <w:r>
                    <w:rPr>
                      <w:b/>
                      <w:bCs/>
                      <w:color w:val="auto"/>
                      <w:szCs w:val="21"/>
                    </w:rPr>
                    <w:t>序号</w:t>
                  </w:r>
                </w:p>
              </w:tc>
              <w:tc>
                <w:tcPr>
                  <w:tcW w:w="755" w:type="pct"/>
                  <w:vAlign w:val="center"/>
                </w:tcPr>
                <w:p w14:paraId="0B8A2E0C">
                  <w:pPr>
                    <w:adjustRightInd w:val="0"/>
                    <w:snapToGrid w:val="0"/>
                    <w:jc w:val="center"/>
                    <w:rPr>
                      <w:b/>
                      <w:bCs/>
                      <w:color w:val="auto"/>
                      <w:szCs w:val="21"/>
                    </w:rPr>
                  </w:pPr>
                  <w:r>
                    <w:rPr>
                      <w:b/>
                      <w:bCs/>
                      <w:color w:val="auto"/>
                      <w:szCs w:val="21"/>
                    </w:rPr>
                    <w:t>名称</w:t>
                  </w:r>
                </w:p>
              </w:tc>
              <w:tc>
                <w:tcPr>
                  <w:tcW w:w="372" w:type="pct"/>
                  <w:vAlign w:val="center"/>
                </w:tcPr>
                <w:p w14:paraId="4F1543FF">
                  <w:pPr>
                    <w:adjustRightInd w:val="0"/>
                    <w:snapToGrid w:val="0"/>
                    <w:jc w:val="center"/>
                    <w:rPr>
                      <w:b/>
                      <w:bCs/>
                      <w:color w:val="auto"/>
                      <w:szCs w:val="21"/>
                    </w:rPr>
                  </w:pPr>
                  <w:r>
                    <w:rPr>
                      <w:b/>
                      <w:bCs/>
                      <w:color w:val="auto"/>
                      <w:szCs w:val="21"/>
                    </w:rPr>
                    <w:t>层数</w:t>
                  </w:r>
                </w:p>
              </w:tc>
              <w:tc>
                <w:tcPr>
                  <w:tcW w:w="1126" w:type="pct"/>
                  <w:vAlign w:val="center"/>
                </w:tcPr>
                <w:p w14:paraId="7DDE6BF8">
                  <w:pPr>
                    <w:adjustRightInd w:val="0"/>
                    <w:snapToGrid w:val="0"/>
                    <w:jc w:val="center"/>
                    <w:rPr>
                      <w:b/>
                      <w:bCs/>
                      <w:color w:val="auto"/>
                      <w:szCs w:val="21"/>
                    </w:rPr>
                  </w:pPr>
                  <w:r>
                    <w:rPr>
                      <w:b/>
                      <w:bCs/>
                      <w:color w:val="auto"/>
                      <w:szCs w:val="21"/>
                    </w:rPr>
                    <w:t>占地面积（m</w:t>
                  </w:r>
                  <w:r>
                    <w:rPr>
                      <w:b/>
                      <w:bCs/>
                      <w:color w:val="auto"/>
                      <w:szCs w:val="21"/>
                      <w:vertAlign w:val="superscript"/>
                    </w:rPr>
                    <w:t>2</w:t>
                  </w:r>
                  <w:r>
                    <w:rPr>
                      <w:b/>
                      <w:bCs/>
                      <w:color w:val="auto"/>
                      <w:szCs w:val="21"/>
                    </w:rPr>
                    <w:t>）</w:t>
                  </w:r>
                </w:p>
              </w:tc>
              <w:tc>
                <w:tcPr>
                  <w:tcW w:w="797" w:type="pct"/>
                  <w:vAlign w:val="center"/>
                </w:tcPr>
                <w:p w14:paraId="58E0FD3B">
                  <w:pPr>
                    <w:adjustRightInd w:val="0"/>
                    <w:snapToGrid w:val="0"/>
                    <w:jc w:val="center"/>
                    <w:rPr>
                      <w:b/>
                      <w:bCs/>
                      <w:color w:val="auto"/>
                      <w:szCs w:val="21"/>
                    </w:rPr>
                  </w:pPr>
                  <w:r>
                    <w:rPr>
                      <w:b/>
                      <w:bCs/>
                      <w:color w:val="auto"/>
                      <w:szCs w:val="21"/>
                    </w:rPr>
                    <w:t>建筑面积（m</w:t>
                  </w:r>
                  <w:r>
                    <w:rPr>
                      <w:b/>
                      <w:bCs/>
                      <w:color w:val="auto"/>
                      <w:szCs w:val="21"/>
                      <w:vertAlign w:val="superscript"/>
                    </w:rPr>
                    <w:t>2</w:t>
                  </w:r>
                  <w:r>
                    <w:rPr>
                      <w:b/>
                      <w:bCs/>
                      <w:color w:val="auto"/>
                      <w:szCs w:val="21"/>
                    </w:rPr>
                    <w:t>）</w:t>
                  </w:r>
                </w:p>
              </w:tc>
              <w:tc>
                <w:tcPr>
                  <w:tcW w:w="672" w:type="pct"/>
                  <w:vAlign w:val="center"/>
                </w:tcPr>
                <w:p w14:paraId="4A5FAF41">
                  <w:pPr>
                    <w:adjustRightInd w:val="0"/>
                    <w:snapToGrid w:val="0"/>
                    <w:jc w:val="center"/>
                    <w:rPr>
                      <w:b/>
                      <w:bCs/>
                      <w:color w:val="auto"/>
                      <w:szCs w:val="21"/>
                    </w:rPr>
                  </w:pPr>
                  <w:r>
                    <w:rPr>
                      <w:b/>
                      <w:bCs/>
                      <w:color w:val="auto"/>
                      <w:szCs w:val="21"/>
                    </w:rPr>
                    <w:t>结构</w:t>
                  </w:r>
                </w:p>
              </w:tc>
              <w:tc>
                <w:tcPr>
                  <w:tcW w:w="593" w:type="pct"/>
                  <w:vAlign w:val="center"/>
                </w:tcPr>
                <w:p w14:paraId="53D31CE4">
                  <w:pPr>
                    <w:adjustRightInd w:val="0"/>
                    <w:snapToGrid w:val="0"/>
                    <w:jc w:val="center"/>
                    <w:rPr>
                      <w:b/>
                      <w:bCs/>
                      <w:color w:val="auto"/>
                      <w:szCs w:val="21"/>
                    </w:rPr>
                  </w:pPr>
                  <w:r>
                    <w:rPr>
                      <w:b/>
                      <w:bCs/>
                      <w:color w:val="auto"/>
                      <w:szCs w:val="21"/>
                    </w:rPr>
                    <w:t>备注</w:t>
                  </w:r>
                </w:p>
              </w:tc>
            </w:tr>
            <w:tr w14:paraId="191D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0" w:hRule="atLeast"/>
                <w:jc w:val="center"/>
              </w:trPr>
              <w:tc>
                <w:tcPr>
                  <w:tcW w:w="389" w:type="pct"/>
                  <w:vMerge w:val="restart"/>
                  <w:vAlign w:val="center"/>
                </w:tcPr>
                <w:p w14:paraId="05BBA7BF">
                  <w:pPr>
                    <w:adjustRightInd w:val="0"/>
                    <w:snapToGrid w:val="0"/>
                    <w:jc w:val="center"/>
                    <w:rPr>
                      <w:color w:val="auto"/>
                      <w:szCs w:val="21"/>
                    </w:rPr>
                  </w:pPr>
                  <w:r>
                    <w:rPr>
                      <w:color w:val="auto"/>
                      <w:szCs w:val="21"/>
                    </w:rPr>
                    <w:t>主体工程</w:t>
                  </w:r>
                </w:p>
              </w:tc>
              <w:tc>
                <w:tcPr>
                  <w:tcW w:w="293" w:type="pct"/>
                  <w:vAlign w:val="center"/>
                </w:tcPr>
                <w:p w14:paraId="0B1EFB2B">
                  <w:pPr>
                    <w:numPr>
                      <w:ilvl w:val="0"/>
                      <w:numId w:val="14"/>
                    </w:numPr>
                    <w:tabs>
                      <w:tab w:val="clear" w:pos="0"/>
                    </w:tabs>
                    <w:adjustRightInd w:val="0"/>
                    <w:snapToGrid w:val="0"/>
                    <w:jc w:val="center"/>
                    <w:rPr>
                      <w:color w:val="auto"/>
                      <w:szCs w:val="21"/>
                    </w:rPr>
                  </w:pPr>
                </w:p>
              </w:tc>
              <w:tc>
                <w:tcPr>
                  <w:tcW w:w="755" w:type="pct"/>
                  <w:vAlign w:val="center"/>
                </w:tcPr>
                <w:p w14:paraId="3E965D9D">
                  <w:pPr>
                    <w:snapToGrid w:val="0"/>
                    <w:spacing w:line="310" w:lineRule="exact"/>
                    <w:jc w:val="center"/>
                    <w:rPr>
                      <w:color w:val="auto"/>
                      <w:szCs w:val="21"/>
                    </w:rPr>
                  </w:pPr>
                  <w:r>
                    <w:rPr>
                      <w:color w:val="auto"/>
                      <w:szCs w:val="21"/>
                    </w:rPr>
                    <w:t>生产车间</w:t>
                  </w:r>
                </w:p>
              </w:tc>
              <w:tc>
                <w:tcPr>
                  <w:tcW w:w="372" w:type="pct"/>
                  <w:vAlign w:val="center"/>
                </w:tcPr>
                <w:p w14:paraId="29922455">
                  <w:pPr>
                    <w:snapToGrid w:val="0"/>
                    <w:spacing w:line="310" w:lineRule="exact"/>
                    <w:jc w:val="center"/>
                    <w:rPr>
                      <w:color w:val="auto"/>
                      <w:szCs w:val="21"/>
                    </w:rPr>
                  </w:pPr>
                  <w:r>
                    <w:rPr>
                      <w:color w:val="auto"/>
                      <w:szCs w:val="21"/>
                    </w:rPr>
                    <w:t>1</w:t>
                  </w:r>
                </w:p>
              </w:tc>
              <w:tc>
                <w:tcPr>
                  <w:tcW w:w="1126" w:type="pct"/>
                  <w:vAlign w:val="center"/>
                </w:tcPr>
                <w:p w14:paraId="6688919D">
                  <w:pPr>
                    <w:snapToGrid w:val="0"/>
                    <w:spacing w:line="310" w:lineRule="exact"/>
                    <w:jc w:val="center"/>
                    <w:rPr>
                      <w:color w:val="auto"/>
                      <w:szCs w:val="21"/>
                    </w:rPr>
                  </w:pPr>
                  <w:r>
                    <w:rPr>
                      <w:rFonts w:eastAsia="华文楷体"/>
                      <w:color w:val="auto"/>
                      <w:spacing w:val="-6"/>
                      <w:szCs w:val="21"/>
                    </w:rPr>
                    <w:t>1294.74</w:t>
                  </w:r>
                </w:p>
              </w:tc>
              <w:tc>
                <w:tcPr>
                  <w:tcW w:w="797" w:type="pct"/>
                  <w:vAlign w:val="center"/>
                </w:tcPr>
                <w:p w14:paraId="204731D8">
                  <w:pPr>
                    <w:snapToGrid w:val="0"/>
                    <w:spacing w:line="310" w:lineRule="exact"/>
                    <w:jc w:val="center"/>
                    <w:rPr>
                      <w:color w:val="auto"/>
                      <w:szCs w:val="21"/>
                    </w:rPr>
                  </w:pPr>
                  <w:r>
                    <w:rPr>
                      <w:rFonts w:eastAsia="华文楷体"/>
                      <w:color w:val="auto"/>
                      <w:spacing w:val="-6"/>
                      <w:szCs w:val="21"/>
                    </w:rPr>
                    <w:t>1294.74</w:t>
                  </w:r>
                </w:p>
              </w:tc>
              <w:tc>
                <w:tcPr>
                  <w:tcW w:w="672" w:type="pct"/>
                  <w:vAlign w:val="center"/>
                </w:tcPr>
                <w:p w14:paraId="664FDDF8">
                  <w:pPr>
                    <w:snapToGrid w:val="0"/>
                    <w:spacing w:line="310" w:lineRule="exact"/>
                    <w:jc w:val="center"/>
                    <w:rPr>
                      <w:color w:val="auto"/>
                      <w:szCs w:val="21"/>
                    </w:rPr>
                  </w:pPr>
                  <w:r>
                    <w:rPr>
                      <w:color w:val="auto"/>
                      <w:szCs w:val="21"/>
                    </w:rPr>
                    <w:t>混凝土</w:t>
                  </w:r>
                </w:p>
              </w:tc>
              <w:tc>
                <w:tcPr>
                  <w:tcW w:w="593" w:type="pct"/>
                  <w:vAlign w:val="center"/>
                </w:tcPr>
                <w:p w14:paraId="21035D45">
                  <w:pPr>
                    <w:snapToGrid w:val="0"/>
                    <w:spacing w:line="310" w:lineRule="exact"/>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已建厂房</w:t>
                  </w:r>
                </w:p>
              </w:tc>
            </w:tr>
            <w:tr w14:paraId="3A0C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0" w:hRule="atLeast"/>
                <w:jc w:val="center"/>
              </w:trPr>
              <w:tc>
                <w:tcPr>
                  <w:tcW w:w="389" w:type="pct"/>
                  <w:vMerge w:val="continue"/>
                  <w:vAlign w:val="center"/>
                </w:tcPr>
                <w:p w14:paraId="2A7F93B1">
                  <w:pPr>
                    <w:adjustRightInd w:val="0"/>
                    <w:snapToGrid w:val="0"/>
                    <w:jc w:val="center"/>
                    <w:rPr>
                      <w:color w:val="auto"/>
                      <w:szCs w:val="21"/>
                    </w:rPr>
                  </w:pPr>
                </w:p>
              </w:tc>
              <w:tc>
                <w:tcPr>
                  <w:tcW w:w="293" w:type="pct"/>
                  <w:vAlign w:val="center"/>
                </w:tcPr>
                <w:p w14:paraId="7B51C078">
                  <w:pPr>
                    <w:numPr>
                      <w:ilvl w:val="0"/>
                      <w:numId w:val="14"/>
                    </w:numPr>
                    <w:tabs>
                      <w:tab w:val="clear" w:pos="0"/>
                    </w:tabs>
                    <w:adjustRightInd w:val="0"/>
                    <w:snapToGrid w:val="0"/>
                    <w:jc w:val="center"/>
                    <w:rPr>
                      <w:color w:val="auto"/>
                      <w:szCs w:val="21"/>
                    </w:rPr>
                  </w:pPr>
                </w:p>
              </w:tc>
              <w:tc>
                <w:tcPr>
                  <w:tcW w:w="755" w:type="pct"/>
                  <w:vAlign w:val="center"/>
                </w:tcPr>
                <w:p w14:paraId="0A51AD43">
                  <w:pPr>
                    <w:snapToGrid w:val="0"/>
                    <w:spacing w:line="310" w:lineRule="exact"/>
                    <w:jc w:val="center"/>
                    <w:rPr>
                      <w:color w:val="auto"/>
                      <w:szCs w:val="21"/>
                    </w:rPr>
                  </w:pPr>
                  <w:r>
                    <w:rPr>
                      <w:color w:val="auto"/>
                      <w:szCs w:val="21"/>
                    </w:rPr>
                    <w:t>搅拌房</w:t>
                  </w:r>
                </w:p>
              </w:tc>
              <w:tc>
                <w:tcPr>
                  <w:tcW w:w="372" w:type="pct"/>
                  <w:vAlign w:val="center"/>
                </w:tcPr>
                <w:p w14:paraId="7A70ABF1">
                  <w:pPr>
                    <w:snapToGrid w:val="0"/>
                    <w:spacing w:line="310" w:lineRule="exact"/>
                    <w:jc w:val="center"/>
                    <w:rPr>
                      <w:color w:val="auto"/>
                      <w:szCs w:val="21"/>
                    </w:rPr>
                  </w:pPr>
                  <w:r>
                    <w:rPr>
                      <w:color w:val="auto"/>
                      <w:szCs w:val="21"/>
                    </w:rPr>
                    <w:t>1</w:t>
                  </w:r>
                </w:p>
              </w:tc>
              <w:tc>
                <w:tcPr>
                  <w:tcW w:w="1126" w:type="pct"/>
                  <w:vAlign w:val="center"/>
                </w:tcPr>
                <w:p w14:paraId="4F813D21">
                  <w:pPr>
                    <w:snapToGrid w:val="0"/>
                    <w:spacing w:line="310" w:lineRule="exact"/>
                    <w:jc w:val="center"/>
                    <w:rPr>
                      <w:rFonts w:eastAsia="华文楷体"/>
                      <w:color w:val="auto"/>
                      <w:spacing w:val="-6"/>
                      <w:szCs w:val="21"/>
                    </w:rPr>
                  </w:pPr>
                  <w:r>
                    <w:rPr>
                      <w:color w:val="auto"/>
                      <w:szCs w:val="21"/>
                    </w:rPr>
                    <w:t>8.38</w:t>
                  </w:r>
                </w:p>
              </w:tc>
              <w:tc>
                <w:tcPr>
                  <w:tcW w:w="797" w:type="pct"/>
                  <w:vAlign w:val="center"/>
                </w:tcPr>
                <w:p w14:paraId="2C12E924">
                  <w:pPr>
                    <w:snapToGrid w:val="0"/>
                    <w:spacing w:line="310" w:lineRule="exact"/>
                    <w:jc w:val="center"/>
                    <w:rPr>
                      <w:rFonts w:eastAsia="华文楷体"/>
                      <w:color w:val="auto"/>
                      <w:spacing w:val="-6"/>
                      <w:szCs w:val="21"/>
                    </w:rPr>
                  </w:pPr>
                  <w:r>
                    <w:rPr>
                      <w:color w:val="auto"/>
                      <w:szCs w:val="21"/>
                    </w:rPr>
                    <w:t>8.38</w:t>
                  </w:r>
                </w:p>
              </w:tc>
              <w:tc>
                <w:tcPr>
                  <w:tcW w:w="672" w:type="pct"/>
                  <w:vAlign w:val="center"/>
                </w:tcPr>
                <w:p w14:paraId="6C86CEDC">
                  <w:pPr>
                    <w:snapToGrid w:val="0"/>
                    <w:spacing w:line="310" w:lineRule="exact"/>
                    <w:jc w:val="center"/>
                    <w:rPr>
                      <w:color w:val="auto"/>
                      <w:szCs w:val="21"/>
                    </w:rPr>
                  </w:pPr>
                  <w:r>
                    <w:rPr>
                      <w:color w:val="auto"/>
                      <w:szCs w:val="21"/>
                    </w:rPr>
                    <w:t>钢结构</w:t>
                  </w:r>
                </w:p>
              </w:tc>
              <w:tc>
                <w:tcPr>
                  <w:tcW w:w="593" w:type="pct"/>
                  <w:vMerge w:val="restart"/>
                  <w:vAlign w:val="center"/>
                </w:tcPr>
                <w:p w14:paraId="0ABAC463">
                  <w:pPr>
                    <w:snapToGrid w:val="0"/>
                    <w:spacing w:line="310" w:lineRule="exact"/>
                    <w:jc w:val="center"/>
                    <w:rPr>
                      <w:rFonts w:ascii="Times New Roman" w:hAnsi="Times New Roman" w:eastAsia="宋体" w:cs="Times New Roman"/>
                      <w:color w:val="auto"/>
                      <w:szCs w:val="21"/>
                    </w:rPr>
                  </w:pPr>
                  <w:r>
                    <w:rPr>
                      <w:rFonts w:ascii="Times New Roman" w:hAnsi="Times New Roman" w:eastAsia="宋体" w:cs="Times New Roman"/>
                      <w:color w:val="auto"/>
                      <w:szCs w:val="21"/>
                    </w:rPr>
                    <w:t>均位于生产车间</w:t>
                  </w:r>
                </w:p>
              </w:tc>
            </w:tr>
            <w:tr w14:paraId="13B8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0" w:hRule="atLeast"/>
                <w:jc w:val="center"/>
              </w:trPr>
              <w:tc>
                <w:tcPr>
                  <w:tcW w:w="389" w:type="pct"/>
                  <w:vMerge w:val="restart"/>
                  <w:vAlign w:val="center"/>
                </w:tcPr>
                <w:p w14:paraId="16CF1E16">
                  <w:pPr>
                    <w:adjustRightInd w:val="0"/>
                    <w:snapToGrid w:val="0"/>
                    <w:jc w:val="center"/>
                    <w:rPr>
                      <w:color w:val="auto"/>
                      <w:szCs w:val="21"/>
                    </w:rPr>
                  </w:pPr>
                  <w:r>
                    <w:rPr>
                      <w:color w:val="auto"/>
                      <w:szCs w:val="21"/>
                    </w:rPr>
                    <w:t>辅助工程</w:t>
                  </w:r>
                </w:p>
              </w:tc>
              <w:tc>
                <w:tcPr>
                  <w:tcW w:w="293" w:type="pct"/>
                  <w:vAlign w:val="center"/>
                </w:tcPr>
                <w:p w14:paraId="22C1F1C2">
                  <w:pPr>
                    <w:numPr>
                      <w:ilvl w:val="0"/>
                      <w:numId w:val="14"/>
                    </w:numPr>
                    <w:tabs>
                      <w:tab w:val="clear" w:pos="0"/>
                    </w:tabs>
                    <w:adjustRightInd w:val="0"/>
                    <w:snapToGrid w:val="0"/>
                    <w:jc w:val="center"/>
                    <w:rPr>
                      <w:color w:val="auto"/>
                      <w:szCs w:val="21"/>
                    </w:rPr>
                  </w:pPr>
                </w:p>
              </w:tc>
              <w:tc>
                <w:tcPr>
                  <w:tcW w:w="755" w:type="pct"/>
                  <w:vAlign w:val="center"/>
                </w:tcPr>
                <w:p w14:paraId="0564690F">
                  <w:pPr>
                    <w:snapToGrid w:val="0"/>
                    <w:spacing w:line="310" w:lineRule="exact"/>
                    <w:jc w:val="center"/>
                    <w:rPr>
                      <w:color w:val="auto"/>
                      <w:szCs w:val="21"/>
                    </w:rPr>
                  </w:pPr>
                  <w:r>
                    <w:rPr>
                      <w:color w:val="auto"/>
                      <w:szCs w:val="21"/>
                    </w:rPr>
                    <w:t>会议室</w:t>
                  </w:r>
                </w:p>
              </w:tc>
              <w:tc>
                <w:tcPr>
                  <w:tcW w:w="372" w:type="pct"/>
                  <w:vAlign w:val="center"/>
                </w:tcPr>
                <w:p w14:paraId="781F2629">
                  <w:pPr>
                    <w:snapToGrid w:val="0"/>
                    <w:spacing w:line="310" w:lineRule="exact"/>
                    <w:jc w:val="center"/>
                    <w:rPr>
                      <w:color w:val="auto"/>
                      <w:szCs w:val="21"/>
                    </w:rPr>
                  </w:pPr>
                  <w:r>
                    <w:rPr>
                      <w:color w:val="auto"/>
                      <w:szCs w:val="21"/>
                    </w:rPr>
                    <w:t>1</w:t>
                  </w:r>
                </w:p>
              </w:tc>
              <w:tc>
                <w:tcPr>
                  <w:tcW w:w="1126" w:type="pct"/>
                  <w:vAlign w:val="center"/>
                </w:tcPr>
                <w:p w14:paraId="5E07D832">
                  <w:pPr>
                    <w:snapToGrid w:val="0"/>
                    <w:spacing w:line="310" w:lineRule="exact"/>
                    <w:jc w:val="center"/>
                    <w:rPr>
                      <w:color w:val="auto"/>
                      <w:szCs w:val="21"/>
                    </w:rPr>
                  </w:pPr>
                  <w:r>
                    <w:rPr>
                      <w:color w:val="auto"/>
                      <w:szCs w:val="21"/>
                    </w:rPr>
                    <w:t>24.89</w:t>
                  </w:r>
                </w:p>
              </w:tc>
              <w:tc>
                <w:tcPr>
                  <w:tcW w:w="797" w:type="pct"/>
                  <w:vAlign w:val="center"/>
                </w:tcPr>
                <w:p w14:paraId="6DFDE62E">
                  <w:pPr>
                    <w:snapToGrid w:val="0"/>
                    <w:spacing w:line="310" w:lineRule="exact"/>
                    <w:jc w:val="center"/>
                    <w:rPr>
                      <w:color w:val="auto"/>
                      <w:szCs w:val="21"/>
                    </w:rPr>
                  </w:pPr>
                  <w:r>
                    <w:rPr>
                      <w:color w:val="auto"/>
                      <w:szCs w:val="21"/>
                    </w:rPr>
                    <w:t>24.89</w:t>
                  </w:r>
                </w:p>
              </w:tc>
              <w:tc>
                <w:tcPr>
                  <w:tcW w:w="672" w:type="pct"/>
                  <w:vAlign w:val="center"/>
                </w:tcPr>
                <w:p w14:paraId="407461C1">
                  <w:pPr>
                    <w:snapToGrid w:val="0"/>
                    <w:spacing w:line="310" w:lineRule="exact"/>
                    <w:jc w:val="center"/>
                    <w:rPr>
                      <w:color w:val="auto"/>
                      <w:szCs w:val="21"/>
                    </w:rPr>
                  </w:pPr>
                  <w:r>
                    <w:rPr>
                      <w:color w:val="auto"/>
                      <w:szCs w:val="21"/>
                    </w:rPr>
                    <w:t>钢结构</w:t>
                  </w:r>
                </w:p>
              </w:tc>
              <w:tc>
                <w:tcPr>
                  <w:tcW w:w="593" w:type="pct"/>
                  <w:vMerge w:val="continue"/>
                  <w:vAlign w:val="center"/>
                </w:tcPr>
                <w:p w14:paraId="4BD70A72">
                  <w:pPr>
                    <w:snapToGrid w:val="0"/>
                    <w:spacing w:line="310" w:lineRule="exact"/>
                    <w:jc w:val="center"/>
                    <w:rPr>
                      <w:color w:val="auto"/>
                      <w:szCs w:val="21"/>
                    </w:rPr>
                  </w:pPr>
                </w:p>
              </w:tc>
            </w:tr>
            <w:tr w14:paraId="54F62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9" w:type="pct"/>
                  <w:vMerge w:val="continue"/>
                  <w:vAlign w:val="center"/>
                </w:tcPr>
                <w:p w14:paraId="2A615F85">
                  <w:pPr>
                    <w:adjustRightInd w:val="0"/>
                    <w:snapToGrid w:val="0"/>
                    <w:jc w:val="center"/>
                    <w:rPr>
                      <w:color w:val="auto"/>
                      <w:szCs w:val="21"/>
                    </w:rPr>
                  </w:pPr>
                </w:p>
              </w:tc>
              <w:tc>
                <w:tcPr>
                  <w:tcW w:w="293" w:type="pct"/>
                  <w:vAlign w:val="center"/>
                </w:tcPr>
                <w:p w14:paraId="749A3EA4">
                  <w:pPr>
                    <w:numPr>
                      <w:ilvl w:val="0"/>
                      <w:numId w:val="14"/>
                    </w:numPr>
                    <w:tabs>
                      <w:tab w:val="clear" w:pos="0"/>
                    </w:tabs>
                    <w:adjustRightInd w:val="0"/>
                    <w:snapToGrid w:val="0"/>
                    <w:jc w:val="center"/>
                    <w:rPr>
                      <w:color w:val="auto"/>
                      <w:szCs w:val="21"/>
                    </w:rPr>
                  </w:pPr>
                </w:p>
              </w:tc>
              <w:tc>
                <w:tcPr>
                  <w:tcW w:w="755" w:type="pct"/>
                  <w:vAlign w:val="center"/>
                </w:tcPr>
                <w:p w14:paraId="5C6204CD">
                  <w:pPr>
                    <w:snapToGrid w:val="0"/>
                    <w:spacing w:line="310" w:lineRule="exact"/>
                    <w:jc w:val="center"/>
                    <w:rPr>
                      <w:color w:val="auto"/>
                      <w:szCs w:val="21"/>
                    </w:rPr>
                  </w:pPr>
                  <w:r>
                    <w:rPr>
                      <w:color w:val="auto"/>
                      <w:szCs w:val="21"/>
                    </w:rPr>
                    <w:t>办公室</w:t>
                  </w:r>
                </w:p>
              </w:tc>
              <w:tc>
                <w:tcPr>
                  <w:tcW w:w="372" w:type="pct"/>
                  <w:vAlign w:val="center"/>
                </w:tcPr>
                <w:p w14:paraId="375F039D">
                  <w:pPr>
                    <w:snapToGrid w:val="0"/>
                    <w:spacing w:line="310" w:lineRule="exact"/>
                    <w:jc w:val="center"/>
                    <w:rPr>
                      <w:color w:val="auto"/>
                      <w:szCs w:val="21"/>
                    </w:rPr>
                  </w:pPr>
                  <w:r>
                    <w:rPr>
                      <w:color w:val="auto"/>
                      <w:szCs w:val="21"/>
                    </w:rPr>
                    <w:t>1</w:t>
                  </w:r>
                </w:p>
              </w:tc>
              <w:tc>
                <w:tcPr>
                  <w:tcW w:w="1126" w:type="pct"/>
                  <w:vAlign w:val="center"/>
                </w:tcPr>
                <w:p w14:paraId="531A8164">
                  <w:pPr>
                    <w:snapToGrid w:val="0"/>
                    <w:spacing w:line="310" w:lineRule="exact"/>
                    <w:jc w:val="center"/>
                    <w:rPr>
                      <w:color w:val="auto"/>
                      <w:szCs w:val="21"/>
                    </w:rPr>
                  </w:pPr>
                  <w:r>
                    <w:rPr>
                      <w:color w:val="auto"/>
                      <w:szCs w:val="21"/>
                    </w:rPr>
                    <w:t>26.96</w:t>
                  </w:r>
                </w:p>
              </w:tc>
              <w:tc>
                <w:tcPr>
                  <w:tcW w:w="797" w:type="pct"/>
                  <w:vAlign w:val="center"/>
                </w:tcPr>
                <w:p w14:paraId="3AE2ADA0">
                  <w:pPr>
                    <w:snapToGrid w:val="0"/>
                    <w:spacing w:line="310" w:lineRule="exact"/>
                    <w:jc w:val="center"/>
                    <w:rPr>
                      <w:color w:val="auto"/>
                      <w:szCs w:val="21"/>
                    </w:rPr>
                  </w:pPr>
                  <w:r>
                    <w:rPr>
                      <w:color w:val="auto"/>
                      <w:szCs w:val="21"/>
                    </w:rPr>
                    <w:t>26.96</w:t>
                  </w:r>
                </w:p>
              </w:tc>
              <w:tc>
                <w:tcPr>
                  <w:tcW w:w="672" w:type="pct"/>
                  <w:vAlign w:val="center"/>
                </w:tcPr>
                <w:p w14:paraId="252B93DD">
                  <w:pPr>
                    <w:snapToGrid w:val="0"/>
                    <w:spacing w:line="310" w:lineRule="exact"/>
                    <w:jc w:val="center"/>
                    <w:rPr>
                      <w:color w:val="auto"/>
                      <w:szCs w:val="21"/>
                    </w:rPr>
                  </w:pPr>
                  <w:r>
                    <w:rPr>
                      <w:color w:val="auto"/>
                      <w:szCs w:val="21"/>
                    </w:rPr>
                    <w:t>钢结构</w:t>
                  </w:r>
                </w:p>
              </w:tc>
              <w:tc>
                <w:tcPr>
                  <w:tcW w:w="593" w:type="pct"/>
                  <w:vMerge w:val="continue"/>
                  <w:vAlign w:val="center"/>
                </w:tcPr>
                <w:p w14:paraId="13D45CBB">
                  <w:pPr>
                    <w:snapToGrid w:val="0"/>
                    <w:spacing w:line="310" w:lineRule="exact"/>
                    <w:jc w:val="center"/>
                    <w:rPr>
                      <w:color w:val="auto"/>
                      <w:szCs w:val="21"/>
                    </w:rPr>
                  </w:pPr>
                </w:p>
              </w:tc>
            </w:tr>
            <w:tr w14:paraId="5C40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9" w:type="pct"/>
                  <w:vMerge w:val="continue"/>
                  <w:vAlign w:val="center"/>
                </w:tcPr>
                <w:p w14:paraId="01E0A080">
                  <w:pPr>
                    <w:adjustRightInd w:val="0"/>
                    <w:snapToGrid w:val="0"/>
                    <w:jc w:val="center"/>
                    <w:rPr>
                      <w:color w:val="auto"/>
                      <w:szCs w:val="21"/>
                    </w:rPr>
                  </w:pPr>
                </w:p>
              </w:tc>
              <w:tc>
                <w:tcPr>
                  <w:tcW w:w="293" w:type="pct"/>
                  <w:vAlign w:val="center"/>
                </w:tcPr>
                <w:p w14:paraId="217A10BD">
                  <w:pPr>
                    <w:numPr>
                      <w:ilvl w:val="0"/>
                      <w:numId w:val="14"/>
                    </w:numPr>
                    <w:tabs>
                      <w:tab w:val="clear" w:pos="0"/>
                    </w:tabs>
                    <w:adjustRightInd w:val="0"/>
                    <w:snapToGrid w:val="0"/>
                    <w:jc w:val="center"/>
                    <w:rPr>
                      <w:color w:val="auto"/>
                      <w:szCs w:val="21"/>
                    </w:rPr>
                  </w:pPr>
                </w:p>
              </w:tc>
              <w:tc>
                <w:tcPr>
                  <w:tcW w:w="755" w:type="pct"/>
                  <w:vAlign w:val="center"/>
                </w:tcPr>
                <w:p w14:paraId="62E0EC04">
                  <w:pPr>
                    <w:snapToGrid w:val="0"/>
                    <w:spacing w:line="310" w:lineRule="exact"/>
                    <w:jc w:val="center"/>
                    <w:rPr>
                      <w:color w:val="auto"/>
                      <w:szCs w:val="21"/>
                    </w:rPr>
                  </w:pPr>
                  <w:r>
                    <w:rPr>
                      <w:color w:val="auto"/>
                      <w:szCs w:val="21"/>
                    </w:rPr>
                    <w:t>检验室</w:t>
                  </w:r>
                </w:p>
              </w:tc>
              <w:tc>
                <w:tcPr>
                  <w:tcW w:w="372" w:type="pct"/>
                  <w:vAlign w:val="center"/>
                </w:tcPr>
                <w:p w14:paraId="69CB3FA0">
                  <w:pPr>
                    <w:snapToGrid w:val="0"/>
                    <w:spacing w:line="310" w:lineRule="exact"/>
                    <w:jc w:val="center"/>
                    <w:rPr>
                      <w:color w:val="auto"/>
                      <w:szCs w:val="21"/>
                    </w:rPr>
                  </w:pPr>
                  <w:r>
                    <w:rPr>
                      <w:color w:val="auto"/>
                      <w:szCs w:val="21"/>
                    </w:rPr>
                    <w:t>1</w:t>
                  </w:r>
                </w:p>
              </w:tc>
              <w:tc>
                <w:tcPr>
                  <w:tcW w:w="1126" w:type="pct"/>
                  <w:vAlign w:val="center"/>
                </w:tcPr>
                <w:p w14:paraId="3554C5BA">
                  <w:pPr>
                    <w:snapToGrid w:val="0"/>
                    <w:spacing w:line="310" w:lineRule="exact"/>
                    <w:jc w:val="center"/>
                    <w:rPr>
                      <w:color w:val="auto"/>
                      <w:szCs w:val="21"/>
                    </w:rPr>
                  </w:pPr>
                  <w:r>
                    <w:rPr>
                      <w:color w:val="auto"/>
                      <w:szCs w:val="21"/>
                    </w:rPr>
                    <w:t>69.15</w:t>
                  </w:r>
                </w:p>
              </w:tc>
              <w:tc>
                <w:tcPr>
                  <w:tcW w:w="797" w:type="pct"/>
                  <w:vAlign w:val="center"/>
                </w:tcPr>
                <w:p w14:paraId="103239EE">
                  <w:pPr>
                    <w:snapToGrid w:val="0"/>
                    <w:spacing w:line="310" w:lineRule="exact"/>
                    <w:jc w:val="center"/>
                    <w:rPr>
                      <w:color w:val="auto"/>
                      <w:szCs w:val="21"/>
                    </w:rPr>
                  </w:pPr>
                  <w:r>
                    <w:rPr>
                      <w:color w:val="auto"/>
                      <w:szCs w:val="21"/>
                    </w:rPr>
                    <w:t>69.15</w:t>
                  </w:r>
                </w:p>
              </w:tc>
              <w:tc>
                <w:tcPr>
                  <w:tcW w:w="672" w:type="pct"/>
                  <w:vAlign w:val="center"/>
                </w:tcPr>
                <w:p w14:paraId="71E50C44">
                  <w:pPr>
                    <w:snapToGrid w:val="0"/>
                    <w:spacing w:line="310" w:lineRule="exact"/>
                    <w:jc w:val="center"/>
                    <w:rPr>
                      <w:color w:val="auto"/>
                      <w:szCs w:val="21"/>
                    </w:rPr>
                  </w:pPr>
                  <w:r>
                    <w:rPr>
                      <w:color w:val="auto"/>
                      <w:szCs w:val="21"/>
                    </w:rPr>
                    <w:t>钢结构</w:t>
                  </w:r>
                </w:p>
              </w:tc>
              <w:tc>
                <w:tcPr>
                  <w:tcW w:w="593" w:type="pct"/>
                  <w:vMerge w:val="continue"/>
                  <w:vAlign w:val="center"/>
                </w:tcPr>
                <w:p w14:paraId="7B147E5E">
                  <w:pPr>
                    <w:snapToGrid w:val="0"/>
                    <w:spacing w:line="310" w:lineRule="exact"/>
                    <w:jc w:val="center"/>
                    <w:rPr>
                      <w:color w:val="auto"/>
                      <w:szCs w:val="21"/>
                    </w:rPr>
                  </w:pPr>
                </w:p>
              </w:tc>
            </w:tr>
            <w:tr w14:paraId="6498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9" w:type="pct"/>
                  <w:vMerge w:val="restart"/>
                  <w:vAlign w:val="center"/>
                </w:tcPr>
                <w:p w14:paraId="3CBD1830">
                  <w:pPr>
                    <w:adjustRightInd w:val="0"/>
                    <w:snapToGrid w:val="0"/>
                    <w:jc w:val="center"/>
                    <w:rPr>
                      <w:color w:val="auto"/>
                      <w:szCs w:val="21"/>
                    </w:rPr>
                  </w:pPr>
                  <w:r>
                    <w:rPr>
                      <w:color w:val="auto"/>
                      <w:szCs w:val="21"/>
                    </w:rPr>
                    <w:t>运储工程</w:t>
                  </w:r>
                </w:p>
              </w:tc>
              <w:tc>
                <w:tcPr>
                  <w:tcW w:w="293" w:type="pct"/>
                  <w:vAlign w:val="center"/>
                </w:tcPr>
                <w:p w14:paraId="3D55BE8E">
                  <w:pPr>
                    <w:numPr>
                      <w:ilvl w:val="0"/>
                      <w:numId w:val="14"/>
                    </w:numPr>
                    <w:tabs>
                      <w:tab w:val="clear" w:pos="0"/>
                    </w:tabs>
                    <w:adjustRightInd w:val="0"/>
                    <w:snapToGrid w:val="0"/>
                    <w:jc w:val="center"/>
                    <w:rPr>
                      <w:color w:val="auto"/>
                      <w:szCs w:val="21"/>
                    </w:rPr>
                  </w:pPr>
                </w:p>
              </w:tc>
              <w:tc>
                <w:tcPr>
                  <w:tcW w:w="755" w:type="pct"/>
                  <w:vAlign w:val="center"/>
                </w:tcPr>
                <w:p w14:paraId="1D7C349D">
                  <w:pPr>
                    <w:snapToGrid w:val="0"/>
                    <w:spacing w:line="310" w:lineRule="exact"/>
                    <w:jc w:val="center"/>
                    <w:rPr>
                      <w:color w:val="auto"/>
                      <w:szCs w:val="21"/>
                    </w:rPr>
                  </w:pPr>
                  <w:r>
                    <w:rPr>
                      <w:color w:val="auto"/>
                      <w:szCs w:val="21"/>
                    </w:rPr>
                    <w:t>原料仓</w:t>
                  </w:r>
                </w:p>
              </w:tc>
              <w:tc>
                <w:tcPr>
                  <w:tcW w:w="372" w:type="pct"/>
                  <w:vAlign w:val="center"/>
                </w:tcPr>
                <w:p w14:paraId="40FB3B82">
                  <w:pPr>
                    <w:snapToGrid w:val="0"/>
                    <w:spacing w:line="310" w:lineRule="exact"/>
                    <w:jc w:val="center"/>
                    <w:rPr>
                      <w:color w:val="auto"/>
                      <w:szCs w:val="21"/>
                    </w:rPr>
                  </w:pPr>
                  <w:r>
                    <w:rPr>
                      <w:color w:val="auto"/>
                      <w:szCs w:val="21"/>
                    </w:rPr>
                    <w:t>1</w:t>
                  </w:r>
                </w:p>
              </w:tc>
              <w:tc>
                <w:tcPr>
                  <w:tcW w:w="1126" w:type="pct"/>
                  <w:vAlign w:val="center"/>
                </w:tcPr>
                <w:p w14:paraId="0126C737">
                  <w:pPr>
                    <w:snapToGrid w:val="0"/>
                    <w:spacing w:line="310" w:lineRule="exact"/>
                    <w:jc w:val="center"/>
                    <w:rPr>
                      <w:color w:val="auto"/>
                      <w:szCs w:val="21"/>
                    </w:rPr>
                  </w:pPr>
                  <w:r>
                    <w:rPr>
                      <w:color w:val="auto"/>
                      <w:szCs w:val="21"/>
                    </w:rPr>
                    <w:t>6.94</w:t>
                  </w:r>
                </w:p>
              </w:tc>
              <w:tc>
                <w:tcPr>
                  <w:tcW w:w="797" w:type="pct"/>
                  <w:vAlign w:val="center"/>
                </w:tcPr>
                <w:p w14:paraId="47B54C6A">
                  <w:pPr>
                    <w:snapToGrid w:val="0"/>
                    <w:spacing w:line="310" w:lineRule="exact"/>
                    <w:jc w:val="center"/>
                    <w:rPr>
                      <w:color w:val="auto"/>
                      <w:szCs w:val="21"/>
                    </w:rPr>
                  </w:pPr>
                  <w:r>
                    <w:rPr>
                      <w:color w:val="auto"/>
                      <w:szCs w:val="21"/>
                    </w:rPr>
                    <w:t>6.94</w:t>
                  </w:r>
                </w:p>
              </w:tc>
              <w:tc>
                <w:tcPr>
                  <w:tcW w:w="672" w:type="pct"/>
                  <w:vAlign w:val="center"/>
                </w:tcPr>
                <w:p w14:paraId="11416AA2">
                  <w:pPr>
                    <w:snapToGrid w:val="0"/>
                    <w:spacing w:line="310" w:lineRule="exact"/>
                    <w:jc w:val="center"/>
                    <w:rPr>
                      <w:color w:val="auto"/>
                      <w:szCs w:val="21"/>
                    </w:rPr>
                  </w:pPr>
                  <w:r>
                    <w:rPr>
                      <w:color w:val="auto"/>
                      <w:szCs w:val="21"/>
                    </w:rPr>
                    <w:t>钢结构</w:t>
                  </w:r>
                </w:p>
              </w:tc>
              <w:tc>
                <w:tcPr>
                  <w:tcW w:w="593" w:type="pct"/>
                  <w:vMerge w:val="continue"/>
                  <w:vAlign w:val="center"/>
                </w:tcPr>
                <w:p w14:paraId="15A48BEA">
                  <w:pPr>
                    <w:snapToGrid w:val="0"/>
                    <w:spacing w:line="310" w:lineRule="exact"/>
                    <w:jc w:val="center"/>
                    <w:rPr>
                      <w:color w:val="auto"/>
                      <w:szCs w:val="21"/>
                    </w:rPr>
                  </w:pPr>
                </w:p>
              </w:tc>
            </w:tr>
            <w:tr w14:paraId="0087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9" w:type="pct"/>
                  <w:vMerge w:val="continue"/>
                  <w:vAlign w:val="center"/>
                </w:tcPr>
                <w:p w14:paraId="43A63816">
                  <w:pPr>
                    <w:adjustRightInd w:val="0"/>
                    <w:snapToGrid w:val="0"/>
                    <w:jc w:val="center"/>
                    <w:rPr>
                      <w:color w:val="auto"/>
                      <w:szCs w:val="21"/>
                    </w:rPr>
                  </w:pPr>
                </w:p>
              </w:tc>
              <w:tc>
                <w:tcPr>
                  <w:tcW w:w="293" w:type="pct"/>
                  <w:vAlign w:val="center"/>
                </w:tcPr>
                <w:p w14:paraId="5AC2736A">
                  <w:pPr>
                    <w:numPr>
                      <w:ilvl w:val="0"/>
                      <w:numId w:val="14"/>
                    </w:numPr>
                    <w:tabs>
                      <w:tab w:val="clear" w:pos="0"/>
                    </w:tabs>
                    <w:adjustRightInd w:val="0"/>
                    <w:snapToGrid w:val="0"/>
                    <w:jc w:val="center"/>
                    <w:rPr>
                      <w:color w:val="auto"/>
                      <w:szCs w:val="21"/>
                    </w:rPr>
                  </w:pPr>
                </w:p>
              </w:tc>
              <w:tc>
                <w:tcPr>
                  <w:tcW w:w="755" w:type="pct"/>
                  <w:vAlign w:val="center"/>
                </w:tcPr>
                <w:p w14:paraId="70D29806">
                  <w:pPr>
                    <w:snapToGrid w:val="0"/>
                    <w:spacing w:line="310" w:lineRule="exact"/>
                    <w:jc w:val="center"/>
                    <w:rPr>
                      <w:color w:val="auto"/>
                      <w:szCs w:val="21"/>
                    </w:rPr>
                  </w:pPr>
                  <w:r>
                    <w:rPr>
                      <w:color w:val="auto"/>
                      <w:szCs w:val="21"/>
                    </w:rPr>
                    <w:t>原药仓</w:t>
                  </w:r>
                </w:p>
              </w:tc>
              <w:tc>
                <w:tcPr>
                  <w:tcW w:w="372" w:type="pct"/>
                  <w:vAlign w:val="center"/>
                </w:tcPr>
                <w:p w14:paraId="5A1F1B4F">
                  <w:pPr>
                    <w:snapToGrid w:val="0"/>
                    <w:spacing w:line="310" w:lineRule="exact"/>
                    <w:jc w:val="center"/>
                    <w:rPr>
                      <w:color w:val="auto"/>
                      <w:szCs w:val="21"/>
                    </w:rPr>
                  </w:pPr>
                  <w:r>
                    <w:rPr>
                      <w:color w:val="auto"/>
                      <w:szCs w:val="21"/>
                    </w:rPr>
                    <w:t>1</w:t>
                  </w:r>
                </w:p>
              </w:tc>
              <w:tc>
                <w:tcPr>
                  <w:tcW w:w="1126" w:type="pct"/>
                  <w:vAlign w:val="center"/>
                </w:tcPr>
                <w:p w14:paraId="76678CB9">
                  <w:pPr>
                    <w:snapToGrid w:val="0"/>
                    <w:spacing w:line="310" w:lineRule="exact"/>
                    <w:jc w:val="center"/>
                    <w:rPr>
                      <w:color w:val="auto"/>
                      <w:szCs w:val="21"/>
                    </w:rPr>
                  </w:pPr>
                  <w:r>
                    <w:rPr>
                      <w:color w:val="auto"/>
                      <w:szCs w:val="21"/>
                    </w:rPr>
                    <w:t>7.84</w:t>
                  </w:r>
                </w:p>
              </w:tc>
              <w:tc>
                <w:tcPr>
                  <w:tcW w:w="797" w:type="pct"/>
                  <w:vAlign w:val="center"/>
                </w:tcPr>
                <w:p w14:paraId="7D8E8C0A">
                  <w:pPr>
                    <w:snapToGrid w:val="0"/>
                    <w:spacing w:line="310" w:lineRule="exact"/>
                    <w:jc w:val="center"/>
                    <w:rPr>
                      <w:color w:val="auto"/>
                      <w:szCs w:val="21"/>
                    </w:rPr>
                  </w:pPr>
                  <w:r>
                    <w:rPr>
                      <w:color w:val="auto"/>
                      <w:szCs w:val="21"/>
                    </w:rPr>
                    <w:t>7.84</w:t>
                  </w:r>
                </w:p>
              </w:tc>
              <w:tc>
                <w:tcPr>
                  <w:tcW w:w="672" w:type="pct"/>
                  <w:vAlign w:val="center"/>
                </w:tcPr>
                <w:p w14:paraId="609F5F21">
                  <w:pPr>
                    <w:snapToGrid w:val="0"/>
                    <w:spacing w:line="310" w:lineRule="exact"/>
                    <w:jc w:val="center"/>
                    <w:rPr>
                      <w:color w:val="auto"/>
                      <w:szCs w:val="21"/>
                    </w:rPr>
                  </w:pPr>
                  <w:r>
                    <w:rPr>
                      <w:color w:val="auto"/>
                      <w:szCs w:val="21"/>
                    </w:rPr>
                    <w:t>钢结构</w:t>
                  </w:r>
                </w:p>
              </w:tc>
              <w:tc>
                <w:tcPr>
                  <w:tcW w:w="593" w:type="pct"/>
                  <w:vMerge w:val="continue"/>
                  <w:vAlign w:val="center"/>
                </w:tcPr>
                <w:p w14:paraId="5D116CCC">
                  <w:pPr>
                    <w:snapToGrid w:val="0"/>
                    <w:spacing w:line="310" w:lineRule="exact"/>
                    <w:jc w:val="center"/>
                    <w:rPr>
                      <w:color w:val="auto"/>
                      <w:szCs w:val="21"/>
                    </w:rPr>
                  </w:pPr>
                </w:p>
              </w:tc>
            </w:tr>
            <w:tr w14:paraId="320C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9" w:type="pct"/>
                  <w:vMerge w:val="restart"/>
                  <w:vAlign w:val="center"/>
                </w:tcPr>
                <w:p w14:paraId="71CF6997">
                  <w:pPr>
                    <w:adjustRightInd w:val="0"/>
                    <w:snapToGrid w:val="0"/>
                    <w:jc w:val="center"/>
                    <w:rPr>
                      <w:color w:val="auto"/>
                      <w:szCs w:val="21"/>
                    </w:rPr>
                  </w:pPr>
                  <w:r>
                    <w:rPr>
                      <w:color w:val="auto"/>
                      <w:szCs w:val="21"/>
                    </w:rPr>
                    <w:t>公用工程</w:t>
                  </w:r>
                </w:p>
              </w:tc>
              <w:tc>
                <w:tcPr>
                  <w:tcW w:w="293" w:type="pct"/>
                  <w:vAlign w:val="center"/>
                </w:tcPr>
                <w:p w14:paraId="3D12B6D9">
                  <w:pPr>
                    <w:numPr>
                      <w:ilvl w:val="0"/>
                      <w:numId w:val="14"/>
                    </w:numPr>
                    <w:tabs>
                      <w:tab w:val="clear" w:pos="0"/>
                    </w:tabs>
                    <w:adjustRightInd w:val="0"/>
                    <w:snapToGrid w:val="0"/>
                    <w:jc w:val="center"/>
                    <w:rPr>
                      <w:color w:val="auto"/>
                      <w:szCs w:val="21"/>
                    </w:rPr>
                  </w:pPr>
                </w:p>
              </w:tc>
              <w:tc>
                <w:tcPr>
                  <w:tcW w:w="755" w:type="pct"/>
                  <w:vAlign w:val="center"/>
                </w:tcPr>
                <w:p w14:paraId="11FD84EB">
                  <w:pPr>
                    <w:pStyle w:val="89"/>
                    <w:adjustRightInd w:val="0"/>
                    <w:snapToGrid w:val="0"/>
                    <w:spacing w:before="0" w:beforeLines="0" w:line="240" w:lineRule="auto"/>
                    <w:ind w:firstLine="0" w:firstLineChars="0"/>
                    <w:jc w:val="center"/>
                    <w:rPr>
                      <w:rFonts w:cs="Times New Roman"/>
                      <w:color w:val="auto"/>
                      <w:szCs w:val="21"/>
                    </w:rPr>
                  </w:pPr>
                  <w:r>
                    <w:rPr>
                      <w:rFonts w:cs="Times New Roman"/>
                      <w:color w:val="auto"/>
                      <w:szCs w:val="21"/>
                    </w:rPr>
                    <w:t>供水</w:t>
                  </w:r>
                </w:p>
              </w:tc>
              <w:tc>
                <w:tcPr>
                  <w:tcW w:w="372" w:type="pct"/>
                  <w:vAlign w:val="center"/>
                </w:tcPr>
                <w:p w14:paraId="45E0D5EE">
                  <w:pPr>
                    <w:adjustRightInd w:val="0"/>
                    <w:snapToGrid w:val="0"/>
                    <w:jc w:val="center"/>
                    <w:rPr>
                      <w:color w:val="auto"/>
                      <w:szCs w:val="21"/>
                    </w:rPr>
                  </w:pPr>
                  <w:r>
                    <w:rPr>
                      <w:color w:val="auto"/>
                      <w:szCs w:val="21"/>
                    </w:rPr>
                    <w:t>/</w:t>
                  </w:r>
                </w:p>
              </w:tc>
              <w:tc>
                <w:tcPr>
                  <w:tcW w:w="2596" w:type="pct"/>
                  <w:gridSpan w:val="3"/>
                  <w:vAlign w:val="center"/>
                </w:tcPr>
                <w:p w14:paraId="5D7BEBE4">
                  <w:pPr>
                    <w:pStyle w:val="61"/>
                    <w:snapToGrid w:val="0"/>
                    <w:rPr>
                      <w:rFonts w:ascii="Times New Roman" w:hAnsi="Times New Roman" w:cs="Times New Roman"/>
                      <w:color w:val="auto"/>
                      <w:szCs w:val="21"/>
                    </w:rPr>
                  </w:pPr>
                  <w:r>
                    <w:rPr>
                      <w:rFonts w:ascii="Times New Roman" w:hAnsi="Times New Roman" w:cs="Times New Roman"/>
                      <w:color w:val="auto"/>
                      <w:szCs w:val="21"/>
                    </w:rPr>
                    <w:t>由园区供水管网供应</w:t>
                  </w:r>
                </w:p>
              </w:tc>
              <w:tc>
                <w:tcPr>
                  <w:tcW w:w="593" w:type="pct"/>
                  <w:vAlign w:val="center"/>
                </w:tcPr>
                <w:p w14:paraId="76158143">
                  <w:pPr>
                    <w:snapToGrid w:val="0"/>
                    <w:jc w:val="center"/>
                    <w:rPr>
                      <w:color w:val="auto"/>
                      <w:szCs w:val="21"/>
                    </w:rPr>
                  </w:pPr>
                  <w:r>
                    <w:rPr>
                      <w:color w:val="auto"/>
                      <w:szCs w:val="21"/>
                    </w:rPr>
                    <w:t>/</w:t>
                  </w:r>
                </w:p>
              </w:tc>
            </w:tr>
            <w:tr w14:paraId="2B75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9" w:type="pct"/>
                  <w:vMerge w:val="continue"/>
                  <w:vAlign w:val="center"/>
                </w:tcPr>
                <w:p w14:paraId="316F7006">
                  <w:pPr>
                    <w:adjustRightInd w:val="0"/>
                    <w:snapToGrid w:val="0"/>
                    <w:jc w:val="center"/>
                    <w:rPr>
                      <w:color w:val="auto"/>
                      <w:szCs w:val="21"/>
                    </w:rPr>
                  </w:pPr>
                </w:p>
              </w:tc>
              <w:tc>
                <w:tcPr>
                  <w:tcW w:w="293" w:type="pct"/>
                  <w:vAlign w:val="center"/>
                </w:tcPr>
                <w:p w14:paraId="1B2965E8">
                  <w:pPr>
                    <w:numPr>
                      <w:ilvl w:val="0"/>
                      <w:numId w:val="14"/>
                    </w:numPr>
                    <w:tabs>
                      <w:tab w:val="clear" w:pos="0"/>
                    </w:tabs>
                    <w:adjustRightInd w:val="0"/>
                    <w:snapToGrid w:val="0"/>
                    <w:jc w:val="center"/>
                    <w:rPr>
                      <w:color w:val="auto"/>
                      <w:szCs w:val="21"/>
                    </w:rPr>
                  </w:pPr>
                </w:p>
              </w:tc>
              <w:tc>
                <w:tcPr>
                  <w:tcW w:w="755" w:type="pct"/>
                  <w:vAlign w:val="center"/>
                </w:tcPr>
                <w:p w14:paraId="1E3732F3">
                  <w:pPr>
                    <w:pStyle w:val="89"/>
                    <w:adjustRightInd w:val="0"/>
                    <w:snapToGrid w:val="0"/>
                    <w:spacing w:before="0" w:beforeLines="0" w:line="240" w:lineRule="auto"/>
                    <w:ind w:firstLine="0" w:firstLineChars="0"/>
                    <w:jc w:val="center"/>
                    <w:rPr>
                      <w:rFonts w:cs="Times New Roman"/>
                      <w:color w:val="auto"/>
                      <w:szCs w:val="21"/>
                    </w:rPr>
                  </w:pPr>
                  <w:r>
                    <w:rPr>
                      <w:rFonts w:cs="Times New Roman"/>
                      <w:color w:val="auto"/>
                      <w:szCs w:val="21"/>
                    </w:rPr>
                    <w:t>供电</w:t>
                  </w:r>
                </w:p>
              </w:tc>
              <w:tc>
                <w:tcPr>
                  <w:tcW w:w="372" w:type="pct"/>
                  <w:vAlign w:val="center"/>
                </w:tcPr>
                <w:p w14:paraId="46AA5A8F">
                  <w:pPr>
                    <w:adjustRightInd w:val="0"/>
                    <w:snapToGrid w:val="0"/>
                    <w:jc w:val="center"/>
                    <w:rPr>
                      <w:color w:val="auto"/>
                      <w:szCs w:val="21"/>
                    </w:rPr>
                  </w:pPr>
                  <w:r>
                    <w:rPr>
                      <w:color w:val="auto"/>
                      <w:szCs w:val="21"/>
                    </w:rPr>
                    <w:t>/</w:t>
                  </w:r>
                </w:p>
              </w:tc>
              <w:tc>
                <w:tcPr>
                  <w:tcW w:w="2596" w:type="pct"/>
                  <w:gridSpan w:val="3"/>
                  <w:vAlign w:val="center"/>
                </w:tcPr>
                <w:p w14:paraId="10610854">
                  <w:pPr>
                    <w:pStyle w:val="61"/>
                    <w:snapToGrid w:val="0"/>
                    <w:rPr>
                      <w:rFonts w:ascii="Times New Roman" w:hAnsi="Times New Roman" w:cs="Times New Roman"/>
                      <w:color w:val="auto"/>
                      <w:szCs w:val="21"/>
                    </w:rPr>
                  </w:pPr>
                  <w:r>
                    <w:rPr>
                      <w:rFonts w:ascii="Times New Roman" w:hAnsi="Times New Roman" w:cs="Times New Roman"/>
                      <w:color w:val="auto"/>
                      <w:szCs w:val="21"/>
                    </w:rPr>
                    <w:t>由园区供电电网供应</w:t>
                  </w:r>
                </w:p>
              </w:tc>
              <w:tc>
                <w:tcPr>
                  <w:tcW w:w="593" w:type="pct"/>
                  <w:vAlign w:val="center"/>
                </w:tcPr>
                <w:p w14:paraId="758932F6">
                  <w:pPr>
                    <w:snapToGrid w:val="0"/>
                    <w:jc w:val="center"/>
                    <w:rPr>
                      <w:color w:val="auto"/>
                      <w:szCs w:val="21"/>
                    </w:rPr>
                  </w:pPr>
                  <w:r>
                    <w:rPr>
                      <w:color w:val="auto"/>
                      <w:szCs w:val="21"/>
                    </w:rPr>
                    <w:t>/</w:t>
                  </w:r>
                </w:p>
              </w:tc>
            </w:tr>
            <w:tr w14:paraId="769B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9" w:type="pct"/>
                  <w:vMerge w:val="restart"/>
                  <w:vAlign w:val="center"/>
                </w:tcPr>
                <w:p w14:paraId="448AB3F5">
                  <w:pPr>
                    <w:adjustRightInd w:val="0"/>
                    <w:snapToGrid w:val="0"/>
                    <w:jc w:val="center"/>
                    <w:rPr>
                      <w:color w:val="auto"/>
                      <w:szCs w:val="21"/>
                    </w:rPr>
                  </w:pPr>
                  <w:r>
                    <w:rPr>
                      <w:color w:val="auto"/>
                      <w:szCs w:val="21"/>
                    </w:rPr>
                    <w:t>环保工程</w:t>
                  </w:r>
                </w:p>
              </w:tc>
              <w:tc>
                <w:tcPr>
                  <w:tcW w:w="293" w:type="pct"/>
                  <w:vAlign w:val="center"/>
                </w:tcPr>
                <w:p w14:paraId="18269812">
                  <w:pPr>
                    <w:numPr>
                      <w:ilvl w:val="0"/>
                      <w:numId w:val="14"/>
                    </w:numPr>
                    <w:tabs>
                      <w:tab w:val="clear" w:pos="0"/>
                    </w:tabs>
                    <w:adjustRightInd w:val="0"/>
                    <w:snapToGrid w:val="0"/>
                    <w:jc w:val="center"/>
                    <w:rPr>
                      <w:color w:val="auto"/>
                      <w:szCs w:val="21"/>
                    </w:rPr>
                  </w:pPr>
                </w:p>
              </w:tc>
              <w:tc>
                <w:tcPr>
                  <w:tcW w:w="755" w:type="pct"/>
                  <w:vAlign w:val="center"/>
                </w:tcPr>
                <w:p w14:paraId="1BA4AAC1">
                  <w:pPr>
                    <w:pStyle w:val="89"/>
                    <w:adjustRightInd w:val="0"/>
                    <w:snapToGrid w:val="0"/>
                    <w:spacing w:before="0" w:beforeLines="0" w:line="240" w:lineRule="auto"/>
                    <w:ind w:firstLine="0" w:firstLineChars="0"/>
                    <w:jc w:val="center"/>
                    <w:rPr>
                      <w:rFonts w:cs="Times New Roman"/>
                      <w:color w:val="auto"/>
                      <w:szCs w:val="21"/>
                    </w:rPr>
                  </w:pPr>
                  <w:r>
                    <w:rPr>
                      <w:rFonts w:cs="Times New Roman"/>
                      <w:color w:val="auto"/>
                      <w:szCs w:val="21"/>
                    </w:rPr>
                    <w:t>废气</w:t>
                  </w:r>
                </w:p>
              </w:tc>
              <w:tc>
                <w:tcPr>
                  <w:tcW w:w="372" w:type="pct"/>
                  <w:vAlign w:val="center"/>
                </w:tcPr>
                <w:p w14:paraId="17377B24">
                  <w:pPr>
                    <w:adjustRightInd w:val="0"/>
                    <w:snapToGrid w:val="0"/>
                    <w:jc w:val="center"/>
                    <w:rPr>
                      <w:color w:val="auto"/>
                      <w:szCs w:val="21"/>
                    </w:rPr>
                  </w:pPr>
                  <w:r>
                    <w:rPr>
                      <w:color w:val="auto"/>
                      <w:szCs w:val="21"/>
                    </w:rPr>
                    <w:t>/</w:t>
                  </w:r>
                </w:p>
              </w:tc>
              <w:tc>
                <w:tcPr>
                  <w:tcW w:w="2596" w:type="pct"/>
                  <w:gridSpan w:val="3"/>
                  <w:vAlign w:val="center"/>
                </w:tcPr>
                <w:p w14:paraId="467BE36D">
                  <w:pPr>
                    <w:adjustRightInd w:val="0"/>
                    <w:snapToGrid w:val="0"/>
                    <w:rPr>
                      <w:color w:val="auto"/>
                      <w:szCs w:val="21"/>
                    </w:rPr>
                  </w:pPr>
                  <w:r>
                    <w:rPr>
                      <w:color w:val="auto"/>
                      <w:szCs w:val="21"/>
                    </w:rPr>
                    <w:t>生产车间有机废气经收集后统一进入二级活性炭装置（TA001）处理后通过楼顶（22.5m）排气筒（DA001）进行排放</w:t>
                  </w:r>
                </w:p>
              </w:tc>
              <w:tc>
                <w:tcPr>
                  <w:tcW w:w="593" w:type="pct"/>
                  <w:shd w:val="clear" w:color="auto" w:fill="auto"/>
                  <w:vAlign w:val="center"/>
                </w:tcPr>
                <w:p w14:paraId="19D0B427">
                  <w:pPr>
                    <w:snapToGrid w:val="0"/>
                    <w:jc w:val="center"/>
                    <w:rPr>
                      <w:color w:val="auto"/>
                      <w:szCs w:val="21"/>
                    </w:rPr>
                  </w:pPr>
                  <w:r>
                    <w:rPr>
                      <w:color w:val="auto"/>
                      <w:szCs w:val="21"/>
                    </w:rPr>
                    <w:t>/</w:t>
                  </w:r>
                </w:p>
              </w:tc>
            </w:tr>
            <w:tr w14:paraId="0E0A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9" w:type="pct"/>
                  <w:vMerge w:val="continue"/>
                  <w:vAlign w:val="center"/>
                </w:tcPr>
                <w:p w14:paraId="576D9CCD">
                  <w:pPr>
                    <w:adjustRightInd w:val="0"/>
                    <w:snapToGrid w:val="0"/>
                    <w:jc w:val="center"/>
                    <w:rPr>
                      <w:color w:val="auto"/>
                      <w:szCs w:val="21"/>
                    </w:rPr>
                  </w:pPr>
                </w:p>
              </w:tc>
              <w:tc>
                <w:tcPr>
                  <w:tcW w:w="293" w:type="pct"/>
                  <w:vAlign w:val="center"/>
                </w:tcPr>
                <w:p w14:paraId="232550E5">
                  <w:pPr>
                    <w:numPr>
                      <w:ilvl w:val="0"/>
                      <w:numId w:val="14"/>
                    </w:numPr>
                    <w:tabs>
                      <w:tab w:val="clear" w:pos="0"/>
                    </w:tabs>
                    <w:adjustRightInd w:val="0"/>
                    <w:snapToGrid w:val="0"/>
                    <w:jc w:val="center"/>
                    <w:rPr>
                      <w:color w:val="auto"/>
                      <w:szCs w:val="21"/>
                    </w:rPr>
                  </w:pPr>
                </w:p>
              </w:tc>
              <w:tc>
                <w:tcPr>
                  <w:tcW w:w="755" w:type="pct"/>
                  <w:vAlign w:val="center"/>
                </w:tcPr>
                <w:p w14:paraId="699D34A9">
                  <w:pPr>
                    <w:pStyle w:val="89"/>
                    <w:adjustRightInd w:val="0"/>
                    <w:snapToGrid w:val="0"/>
                    <w:spacing w:before="0" w:beforeLines="0" w:line="240" w:lineRule="auto"/>
                    <w:ind w:firstLine="0" w:firstLineChars="0"/>
                    <w:jc w:val="center"/>
                    <w:rPr>
                      <w:rFonts w:cs="Times New Roman"/>
                      <w:color w:val="auto"/>
                      <w:szCs w:val="21"/>
                    </w:rPr>
                  </w:pPr>
                  <w:r>
                    <w:rPr>
                      <w:rFonts w:cs="Times New Roman"/>
                      <w:color w:val="auto"/>
                      <w:szCs w:val="21"/>
                    </w:rPr>
                    <w:t>废水</w:t>
                  </w:r>
                </w:p>
              </w:tc>
              <w:tc>
                <w:tcPr>
                  <w:tcW w:w="372" w:type="pct"/>
                  <w:vAlign w:val="center"/>
                </w:tcPr>
                <w:p w14:paraId="4EFA1E92">
                  <w:pPr>
                    <w:adjustRightInd w:val="0"/>
                    <w:snapToGrid w:val="0"/>
                    <w:jc w:val="center"/>
                    <w:rPr>
                      <w:color w:val="auto"/>
                      <w:szCs w:val="21"/>
                    </w:rPr>
                  </w:pPr>
                  <w:r>
                    <w:rPr>
                      <w:color w:val="auto"/>
                      <w:szCs w:val="21"/>
                    </w:rPr>
                    <w:t>/</w:t>
                  </w:r>
                </w:p>
              </w:tc>
              <w:tc>
                <w:tcPr>
                  <w:tcW w:w="2596" w:type="pct"/>
                  <w:gridSpan w:val="3"/>
                  <w:vAlign w:val="center"/>
                </w:tcPr>
                <w:p w14:paraId="6C73A572">
                  <w:pPr>
                    <w:adjustRightInd w:val="0"/>
                    <w:snapToGrid w:val="0"/>
                    <w:jc w:val="left"/>
                    <w:rPr>
                      <w:color w:val="auto"/>
                      <w:szCs w:val="21"/>
                    </w:rPr>
                  </w:pPr>
                  <w:r>
                    <w:rPr>
                      <w:color w:val="auto"/>
                      <w:szCs w:val="21"/>
                    </w:rPr>
                    <w:t>生活污水由三级化粪池预处理达标后排入园区污水处理厂进一步处理。</w:t>
                  </w:r>
                </w:p>
              </w:tc>
              <w:tc>
                <w:tcPr>
                  <w:tcW w:w="593" w:type="pct"/>
                  <w:shd w:val="clear" w:color="auto" w:fill="auto"/>
                  <w:vAlign w:val="center"/>
                </w:tcPr>
                <w:p w14:paraId="2B9F0186">
                  <w:pPr>
                    <w:snapToGrid w:val="0"/>
                    <w:jc w:val="center"/>
                    <w:rPr>
                      <w:color w:val="auto"/>
                      <w:szCs w:val="21"/>
                    </w:rPr>
                  </w:pPr>
                  <w:r>
                    <w:rPr>
                      <w:color w:val="auto"/>
                      <w:szCs w:val="21"/>
                    </w:rPr>
                    <w:t>/</w:t>
                  </w:r>
                </w:p>
              </w:tc>
            </w:tr>
            <w:tr w14:paraId="3A3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9" w:type="pct"/>
                  <w:vMerge w:val="continue"/>
                  <w:vAlign w:val="center"/>
                </w:tcPr>
                <w:p w14:paraId="38C4243C">
                  <w:pPr>
                    <w:adjustRightInd w:val="0"/>
                    <w:snapToGrid w:val="0"/>
                    <w:jc w:val="center"/>
                    <w:rPr>
                      <w:color w:val="auto"/>
                      <w:szCs w:val="21"/>
                    </w:rPr>
                  </w:pPr>
                </w:p>
              </w:tc>
              <w:tc>
                <w:tcPr>
                  <w:tcW w:w="293" w:type="pct"/>
                  <w:vAlign w:val="center"/>
                </w:tcPr>
                <w:p w14:paraId="57AEE8CA">
                  <w:pPr>
                    <w:numPr>
                      <w:ilvl w:val="0"/>
                      <w:numId w:val="14"/>
                    </w:numPr>
                    <w:tabs>
                      <w:tab w:val="clear" w:pos="0"/>
                    </w:tabs>
                    <w:adjustRightInd w:val="0"/>
                    <w:snapToGrid w:val="0"/>
                    <w:jc w:val="center"/>
                    <w:rPr>
                      <w:color w:val="auto"/>
                      <w:szCs w:val="21"/>
                    </w:rPr>
                  </w:pPr>
                </w:p>
              </w:tc>
              <w:tc>
                <w:tcPr>
                  <w:tcW w:w="755" w:type="pct"/>
                  <w:vAlign w:val="center"/>
                </w:tcPr>
                <w:p w14:paraId="6C2562CC">
                  <w:pPr>
                    <w:pStyle w:val="89"/>
                    <w:adjustRightInd w:val="0"/>
                    <w:snapToGrid w:val="0"/>
                    <w:spacing w:before="0" w:beforeLines="0" w:line="240" w:lineRule="auto"/>
                    <w:ind w:firstLine="0" w:firstLineChars="0"/>
                    <w:jc w:val="center"/>
                    <w:rPr>
                      <w:rFonts w:cs="Times New Roman"/>
                      <w:color w:val="auto"/>
                      <w:szCs w:val="21"/>
                    </w:rPr>
                  </w:pPr>
                  <w:r>
                    <w:rPr>
                      <w:rFonts w:cs="Times New Roman"/>
                      <w:color w:val="auto"/>
                      <w:szCs w:val="21"/>
                    </w:rPr>
                    <w:t>噪声</w:t>
                  </w:r>
                </w:p>
              </w:tc>
              <w:tc>
                <w:tcPr>
                  <w:tcW w:w="372" w:type="pct"/>
                  <w:vAlign w:val="center"/>
                </w:tcPr>
                <w:p w14:paraId="714C2F02">
                  <w:pPr>
                    <w:adjustRightInd w:val="0"/>
                    <w:snapToGrid w:val="0"/>
                    <w:jc w:val="center"/>
                    <w:rPr>
                      <w:color w:val="auto"/>
                      <w:szCs w:val="21"/>
                    </w:rPr>
                  </w:pPr>
                  <w:r>
                    <w:rPr>
                      <w:color w:val="auto"/>
                      <w:szCs w:val="21"/>
                    </w:rPr>
                    <w:t>/</w:t>
                  </w:r>
                </w:p>
              </w:tc>
              <w:tc>
                <w:tcPr>
                  <w:tcW w:w="2596" w:type="pct"/>
                  <w:gridSpan w:val="3"/>
                  <w:vAlign w:val="center"/>
                </w:tcPr>
                <w:p w14:paraId="12B44628">
                  <w:pPr>
                    <w:adjustRightInd w:val="0"/>
                    <w:snapToGrid w:val="0"/>
                    <w:rPr>
                      <w:bCs/>
                      <w:color w:val="auto"/>
                      <w:szCs w:val="21"/>
                    </w:rPr>
                  </w:pPr>
                  <w:r>
                    <w:rPr>
                      <w:bCs/>
                      <w:color w:val="auto"/>
                      <w:szCs w:val="21"/>
                    </w:rPr>
                    <w:t>选用低噪声设备，减振、隔声、合理布局等。</w:t>
                  </w:r>
                </w:p>
              </w:tc>
              <w:tc>
                <w:tcPr>
                  <w:tcW w:w="593" w:type="pct"/>
                  <w:vAlign w:val="center"/>
                </w:tcPr>
                <w:p w14:paraId="28F42BB3">
                  <w:pPr>
                    <w:adjustRightInd w:val="0"/>
                    <w:snapToGrid w:val="0"/>
                    <w:jc w:val="center"/>
                    <w:rPr>
                      <w:bCs/>
                      <w:color w:val="auto"/>
                      <w:szCs w:val="21"/>
                    </w:rPr>
                  </w:pPr>
                  <w:r>
                    <w:rPr>
                      <w:color w:val="auto"/>
                      <w:szCs w:val="21"/>
                    </w:rPr>
                    <w:t>/</w:t>
                  </w:r>
                </w:p>
              </w:tc>
            </w:tr>
            <w:tr w14:paraId="61E5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9" w:type="pct"/>
                  <w:vMerge w:val="continue"/>
                  <w:vAlign w:val="center"/>
                </w:tcPr>
                <w:p w14:paraId="5789AF63">
                  <w:pPr>
                    <w:adjustRightInd w:val="0"/>
                    <w:snapToGrid w:val="0"/>
                    <w:jc w:val="center"/>
                    <w:rPr>
                      <w:color w:val="auto"/>
                      <w:szCs w:val="21"/>
                    </w:rPr>
                  </w:pPr>
                </w:p>
              </w:tc>
              <w:tc>
                <w:tcPr>
                  <w:tcW w:w="293" w:type="pct"/>
                  <w:vAlign w:val="center"/>
                </w:tcPr>
                <w:p w14:paraId="581A4B45">
                  <w:pPr>
                    <w:numPr>
                      <w:ilvl w:val="0"/>
                      <w:numId w:val="14"/>
                    </w:numPr>
                    <w:tabs>
                      <w:tab w:val="clear" w:pos="0"/>
                    </w:tabs>
                    <w:adjustRightInd w:val="0"/>
                    <w:snapToGrid w:val="0"/>
                    <w:jc w:val="center"/>
                    <w:rPr>
                      <w:color w:val="auto"/>
                      <w:szCs w:val="21"/>
                    </w:rPr>
                  </w:pPr>
                </w:p>
              </w:tc>
              <w:tc>
                <w:tcPr>
                  <w:tcW w:w="755" w:type="pct"/>
                  <w:vAlign w:val="center"/>
                </w:tcPr>
                <w:p w14:paraId="03C67BE6">
                  <w:pPr>
                    <w:pStyle w:val="89"/>
                    <w:adjustRightInd w:val="0"/>
                    <w:snapToGrid w:val="0"/>
                    <w:spacing w:before="0" w:beforeLines="0" w:line="240" w:lineRule="auto"/>
                    <w:ind w:firstLine="0" w:firstLineChars="0"/>
                    <w:jc w:val="center"/>
                    <w:rPr>
                      <w:rFonts w:cs="Times New Roman"/>
                      <w:color w:val="auto"/>
                      <w:szCs w:val="21"/>
                    </w:rPr>
                  </w:pPr>
                  <w:r>
                    <w:rPr>
                      <w:rFonts w:cs="Times New Roman"/>
                      <w:color w:val="auto"/>
                      <w:szCs w:val="21"/>
                    </w:rPr>
                    <w:t>固废</w:t>
                  </w:r>
                </w:p>
              </w:tc>
              <w:tc>
                <w:tcPr>
                  <w:tcW w:w="372" w:type="pct"/>
                  <w:vAlign w:val="center"/>
                </w:tcPr>
                <w:p w14:paraId="708BD442">
                  <w:pPr>
                    <w:adjustRightInd w:val="0"/>
                    <w:snapToGrid w:val="0"/>
                    <w:jc w:val="center"/>
                    <w:rPr>
                      <w:color w:val="auto"/>
                      <w:szCs w:val="21"/>
                    </w:rPr>
                  </w:pPr>
                  <w:r>
                    <w:rPr>
                      <w:color w:val="auto"/>
                      <w:szCs w:val="21"/>
                    </w:rPr>
                    <w:t>/</w:t>
                  </w:r>
                </w:p>
              </w:tc>
              <w:tc>
                <w:tcPr>
                  <w:tcW w:w="2596" w:type="pct"/>
                  <w:gridSpan w:val="3"/>
                  <w:vAlign w:val="center"/>
                </w:tcPr>
                <w:p w14:paraId="3F5AE089">
                  <w:pPr>
                    <w:adjustRightInd w:val="0"/>
                    <w:snapToGrid w:val="0"/>
                    <w:rPr>
                      <w:color w:val="auto"/>
                      <w:szCs w:val="21"/>
                    </w:rPr>
                  </w:pPr>
                  <w:r>
                    <w:rPr>
                      <w:color w:val="auto"/>
                      <w:szCs w:val="21"/>
                    </w:rPr>
                    <w:t>设置一处危废暂存间，位于生产车间的东南侧，面积约10.85m</w:t>
                  </w:r>
                  <w:r>
                    <w:rPr>
                      <w:color w:val="auto"/>
                      <w:szCs w:val="21"/>
                      <w:vertAlign w:val="superscript"/>
                    </w:rPr>
                    <w:t>2</w:t>
                  </w:r>
                </w:p>
              </w:tc>
              <w:tc>
                <w:tcPr>
                  <w:tcW w:w="593" w:type="pct"/>
                  <w:vAlign w:val="center"/>
                </w:tcPr>
                <w:p w14:paraId="1C64CBA7">
                  <w:pPr>
                    <w:adjustRightInd w:val="0"/>
                    <w:snapToGrid w:val="0"/>
                    <w:jc w:val="center"/>
                    <w:rPr>
                      <w:color w:val="auto"/>
                      <w:szCs w:val="21"/>
                    </w:rPr>
                  </w:pPr>
                  <w:r>
                    <w:rPr>
                      <w:color w:val="auto"/>
                      <w:szCs w:val="21"/>
                    </w:rPr>
                    <w:t>/</w:t>
                  </w:r>
                </w:p>
              </w:tc>
            </w:tr>
          </w:tbl>
          <w:p w14:paraId="3C2029B5">
            <w:pPr>
              <w:adjustRightInd w:val="0"/>
              <w:snapToGrid w:val="0"/>
              <w:spacing w:before="240" w:beforeLines="100"/>
              <w:ind w:firstLine="482" w:firstLineChars="200"/>
              <w:rPr>
                <w:b/>
                <w:bCs/>
                <w:color w:val="auto"/>
                <w:sz w:val="24"/>
                <w:szCs w:val="24"/>
              </w:rPr>
            </w:pPr>
            <w:r>
              <w:rPr>
                <w:b/>
                <w:bCs/>
                <w:color w:val="auto"/>
                <w:sz w:val="24"/>
                <w:szCs w:val="24"/>
              </w:rPr>
              <w:t>2、主要产品及产能</w:t>
            </w:r>
          </w:p>
          <w:p w14:paraId="38ECDED2">
            <w:pPr>
              <w:pStyle w:val="89"/>
              <w:adjustRightInd w:val="0"/>
              <w:snapToGrid w:val="0"/>
              <w:spacing w:before="120"/>
              <w:ind w:firstLine="420"/>
              <w:rPr>
                <w:rFonts w:cs="Times New Roman"/>
                <w:color w:val="auto"/>
                <w:sz w:val="24"/>
                <w:szCs w:val="24"/>
              </w:rPr>
            </w:pPr>
            <w:r>
              <w:rPr>
                <w:rFonts w:cs="Times New Roman"/>
                <w:color w:val="auto"/>
                <w:sz w:val="24"/>
                <w:szCs w:val="24"/>
              </w:rPr>
              <w:t>本项目产品方案详见下表：</w:t>
            </w:r>
          </w:p>
          <w:p w14:paraId="722CDE80">
            <w:pPr>
              <w:pStyle w:val="104"/>
              <w:adjustRightInd w:val="0"/>
              <w:snapToGrid w:val="0"/>
              <w:ind w:firstLine="0" w:firstLineChars="0"/>
              <w:jc w:val="center"/>
              <w:rPr>
                <w:b/>
                <w:bCs/>
                <w:color w:val="auto"/>
                <w:sz w:val="24"/>
                <w:szCs w:val="24"/>
              </w:rPr>
            </w:pPr>
            <w:r>
              <w:rPr>
                <w:b/>
                <w:bCs/>
                <w:color w:val="auto"/>
                <w:sz w:val="24"/>
                <w:szCs w:val="24"/>
              </w:rPr>
              <w:t>表</w:t>
            </w:r>
            <w:r>
              <w:rPr>
                <w:b/>
                <w:bCs/>
                <w:color w:val="auto"/>
                <w:sz w:val="24"/>
                <w:szCs w:val="24"/>
              </w:rPr>
              <w:fldChar w:fldCharType="begin"/>
            </w:r>
            <w:r>
              <w:rPr>
                <w:b/>
                <w:bCs/>
                <w:color w:val="auto"/>
                <w:sz w:val="24"/>
                <w:szCs w:val="24"/>
              </w:rPr>
              <w:instrText xml:space="preserve"> SEQ 表 \* ARABIC </w:instrText>
            </w:r>
            <w:r>
              <w:rPr>
                <w:b/>
                <w:bCs/>
                <w:color w:val="auto"/>
                <w:sz w:val="24"/>
                <w:szCs w:val="24"/>
              </w:rPr>
              <w:fldChar w:fldCharType="separate"/>
            </w:r>
            <w:r>
              <w:rPr>
                <w:b/>
                <w:bCs/>
                <w:color w:val="auto"/>
                <w:sz w:val="24"/>
                <w:szCs w:val="24"/>
              </w:rPr>
              <w:t>9</w:t>
            </w:r>
            <w:r>
              <w:rPr>
                <w:b/>
                <w:bCs/>
                <w:color w:val="auto"/>
                <w:sz w:val="24"/>
                <w:szCs w:val="24"/>
              </w:rPr>
              <w:fldChar w:fldCharType="end"/>
            </w:r>
            <w:r>
              <w:rPr>
                <w:b/>
                <w:bCs/>
                <w:color w:val="auto"/>
                <w:sz w:val="24"/>
                <w:szCs w:val="24"/>
              </w:rPr>
              <w:t xml:space="preserve">  本项目产品方案一览表</w:t>
            </w:r>
          </w:p>
          <w:tbl>
            <w:tblPr>
              <w:tblStyle w:val="161"/>
              <w:tblW w:w="91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82"/>
              <w:gridCol w:w="1136"/>
              <w:gridCol w:w="824"/>
              <w:gridCol w:w="1606"/>
              <w:gridCol w:w="1606"/>
              <w:gridCol w:w="1380"/>
              <w:gridCol w:w="2037"/>
            </w:tblGrid>
            <w:tr w14:paraId="2AC1B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blHeader/>
                <w:jc w:val="center"/>
              </w:trPr>
              <w:tc>
                <w:tcPr>
                  <w:tcW w:w="317" w:type="pct"/>
                  <w:tcBorders>
                    <w:left w:val="single" w:color="000000" w:sz="6" w:space="0"/>
                  </w:tcBorders>
                  <w:vAlign w:val="center"/>
                </w:tcPr>
                <w:p w14:paraId="3E60C7E4">
                  <w:pPr>
                    <w:widowControl/>
                    <w:kinsoku w:val="0"/>
                    <w:autoSpaceDE w:val="0"/>
                    <w:autoSpaceDN w:val="0"/>
                    <w:adjustRightInd w:val="0"/>
                    <w:snapToGrid w:val="0"/>
                    <w:spacing w:line="300" w:lineRule="exact"/>
                    <w:jc w:val="center"/>
                    <w:textAlignment w:val="baseline"/>
                    <w:rPr>
                      <w:b/>
                      <w:bCs/>
                      <w:snapToGrid w:val="0"/>
                      <w:color w:val="auto"/>
                      <w:spacing w:val="4"/>
                      <w:kern w:val="0"/>
                      <w:szCs w:val="21"/>
                    </w:rPr>
                  </w:pPr>
                  <w:r>
                    <w:rPr>
                      <w:b/>
                      <w:bCs/>
                      <w:snapToGrid w:val="0"/>
                      <w:color w:val="auto"/>
                      <w:spacing w:val="4"/>
                      <w:kern w:val="0"/>
                      <w:szCs w:val="21"/>
                    </w:rPr>
                    <w:t>序号</w:t>
                  </w:r>
                </w:p>
              </w:tc>
              <w:tc>
                <w:tcPr>
                  <w:tcW w:w="619" w:type="pct"/>
                  <w:vAlign w:val="center"/>
                </w:tcPr>
                <w:p w14:paraId="21E1452E">
                  <w:pPr>
                    <w:widowControl/>
                    <w:kinsoku w:val="0"/>
                    <w:autoSpaceDE w:val="0"/>
                    <w:autoSpaceDN w:val="0"/>
                    <w:adjustRightInd w:val="0"/>
                    <w:snapToGrid w:val="0"/>
                    <w:spacing w:line="300" w:lineRule="exact"/>
                    <w:jc w:val="center"/>
                    <w:textAlignment w:val="baseline"/>
                    <w:rPr>
                      <w:b/>
                      <w:bCs/>
                      <w:snapToGrid w:val="0"/>
                      <w:color w:val="auto"/>
                      <w:spacing w:val="4"/>
                      <w:kern w:val="0"/>
                      <w:szCs w:val="21"/>
                    </w:rPr>
                  </w:pPr>
                  <w:r>
                    <w:rPr>
                      <w:b/>
                      <w:bCs/>
                      <w:snapToGrid w:val="0"/>
                      <w:color w:val="auto"/>
                      <w:spacing w:val="4"/>
                      <w:kern w:val="0"/>
                      <w:szCs w:val="21"/>
                    </w:rPr>
                    <w:t>产品类别</w:t>
                  </w:r>
                </w:p>
              </w:tc>
              <w:tc>
                <w:tcPr>
                  <w:tcW w:w="449" w:type="pct"/>
                  <w:vAlign w:val="center"/>
                </w:tcPr>
                <w:p w14:paraId="5A27B6E6">
                  <w:pPr>
                    <w:widowControl/>
                    <w:kinsoku w:val="0"/>
                    <w:autoSpaceDE w:val="0"/>
                    <w:autoSpaceDN w:val="0"/>
                    <w:adjustRightInd w:val="0"/>
                    <w:snapToGrid w:val="0"/>
                    <w:spacing w:line="300" w:lineRule="exact"/>
                    <w:jc w:val="center"/>
                    <w:textAlignment w:val="baseline"/>
                    <w:rPr>
                      <w:b/>
                      <w:bCs/>
                      <w:snapToGrid w:val="0"/>
                      <w:color w:val="auto"/>
                      <w:spacing w:val="4"/>
                      <w:kern w:val="0"/>
                      <w:szCs w:val="21"/>
                    </w:rPr>
                  </w:pPr>
                  <w:r>
                    <w:rPr>
                      <w:b/>
                      <w:bCs/>
                      <w:snapToGrid w:val="0"/>
                      <w:color w:val="auto"/>
                      <w:spacing w:val="4"/>
                      <w:kern w:val="0"/>
                      <w:szCs w:val="21"/>
                    </w:rPr>
                    <w:t>形态</w:t>
                  </w:r>
                </w:p>
              </w:tc>
              <w:tc>
                <w:tcPr>
                  <w:tcW w:w="875" w:type="pct"/>
                  <w:vAlign w:val="center"/>
                </w:tcPr>
                <w:p w14:paraId="40A07071">
                  <w:pPr>
                    <w:widowControl/>
                    <w:kinsoku w:val="0"/>
                    <w:autoSpaceDE w:val="0"/>
                    <w:autoSpaceDN w:val="0"/>
                    <w:adjustRightInd w:val="0"/>
                    <w:snapToGrid w:val="0"/>
                    <w:spacing w:line="300" w:lineRule="exact"/>
                    <w:jc w:val="center"/>
                    <w:textAlignment w:val="baseline"/>
                    <w:rPr>
                      <w:b/>
                      <w:bCs/>
                      <w:snapToGrid w:val="0"/>
                      <w:color w:val="auto"/>
                      <w:spacing w:val="4"/>
                      <w:kern w:val="0"/>
                      <w:szCs w:val="21"/>
                    </w:rPr>
                  </w:pPr>
                  <w:r>
                    <w:rPr>
                      <w:b/>
                      <w:bCs/>
                      <w:snapToGrid w:val="0"/>
                      <w:color w:val="auto"/>
                      <w:spacing w:val="4"/>
                      <w:kern w:val="0"/>
                      <w:szCs w:val="21"/>
                    </w:rPr>
                    <w:t>年产量</w:t>
                  </w:r>
                </w:p>
              </w:tc>
              <w:tc>
                <w:tcPr>
                  <w:tcW w:w="875" w:type="pct"/>
                  <w:vAlign w:val="center"/>
                </w:tcPr>
                <w:p w14:paraId="6606858D">
                  <w:pPr>
                    <w:widowControl/>
                    <w:kinsoku w:val="0"/>
                    <w:autoSpaceDE w:val="0"/>
                    <w:autoSpaceDN w:val="0"/>
                    <w:adjustRightInd w:val="0"/>
                    <w:snapToGrid w:val="0"/>
                    <w:spacing w:line="300" w:lineRule="exact"/>
                    <w:jc w:val="center"/>
                    <w:textAlignment w:val="baseline"/>
                    <w:rPr>
                      <w:b/>
                      <w:bCs/>
                      <w:snapToGrid w:val="0"/>
                      <w:color w:val="auto"/>
                      <w:spacing w:val="4"/>
                      <w:kern w:val="0"/>
                      <w:szCs w:val="21"/>
                      <w:lang w:eastAsia="en-US"/>
                    </w:rPr>
                  </w:pPr>
                  <w:r>
                    <w:rPr>
                      <w:b/>
                      <w:bCs/>
                      <w:snapToGrid w:val="0"/>
                      <w:color w:val="auto"/>
                      <w:spacing w:val="4"/>
                      <w:kern w:val="0"/>
                      <w:szCs w:val="21"/>
                      <w:lang w:eastAsia="en-US"/>
                    </w:rPr>
                    <w:t>最大储存量</w:t>
                  </w:r>
                </w:p>
              </w:tc>
              <w:tc>
                <w:tcPr>
                  <w:tcW w:w="752" w:type="pct"/>
                  <w:tcBorders>
                    <w:right w:val="single" w:color="auto" w:sz="4" w:space="0"/>
                  </w:tcBorders>
                  <w:vAlign w:val="center"/>
                </w:tcPr>
                <w:p w14:paraId="393A0965">
                  <w:pPr>
                    <w:widowControl/>
                    <w:kinsoku w:val="0"/>
                    <w:autoSpaceDE w:val="0"/>
                    <w:autoSpaceDN w:val="0"/>
                    <w:adjustRightInd w:val="0"/>
                    <w:snapToGrid w:val="0"/>
                    <w:spacing w:line="300" w:lineRule="exact"/>
                    <w:jc w:val="center"/>
                    <w:textAlignment w:val="baseline"/>
                    <w:rPr>
                      <w:rFonts w:hint="eastAsia" w:eastAsia="宋体"/>
                      <w:b/>
                      <w:bCs/>
                      <w:snapToGrid w:val="0"/>
                      <w:color w:val="auto"/>
                      <w:spacing w:val="4"/>
                      <w:kern w:val="0"/>
                      <w:szCs w:val="21"/>
                      <w:lang w:val="en-US" w:eastAsia="zh-CN"/>
                    </w:rPr>
                  </w:pPr>
                  <w:r>
                    <w:rPr>
                      <w:rFonts w:hint="eastAsia"/>
                      <w:b/>
                      <w:bCs/>
                      <w:snapToGrid w:val="0"/>
                      <w:color w:val="auto"/>
                      <w:spacing w:val="4"/>
                      <w:kern w:val="0"/>
                      <w:szCs w:val="21"/>
                      <w:lang w:val="en-US" w:eastAsia="zh-CN"/>
                    </w:rPr>
                    <w:t>规格</w:t>
                  </w:r>
                </w:p>
              </w:tc>
              <w:tc>
                <w:tcPr>
                  <w:tcW w:w="1110" w:type="pct"/>
                  <w:tcBorders>
                    <w:right w:val="single" w:color="auto" w:sz="4" w:space="0"/>
                  </w:tcBorders>
                  <w:vAlign w:val="center"/>
                </w:tcPr>
                <w:p w14:paraId="233E5EA5">
                  <w:pPr>
                    <w:widowControl/>
                    <w:kinsoku w:val="0"/>
                    <w:autoSpaceDE w:val="0"/>
                    <w:autoSpaceDN w:val="0"/>
                    <w:adjustRightInd w:val="0"/>
                    <w:snapToGrid w:val="0"/>
                    <w:spacing w:line="300" w:lineRule="exact"/>
                    <w:jc w:val="center"/>
                    <w:textAlignment w:val="baseline"/>
                    <w:rPr>
                      <w:b/>
                      <w:bCs/>
                      <w:snapToGrid w:val="0"/>
                      <w:color w:val="auto"/>
                      <w:spacing w:val="4"/>
                      <w:kern w:val="0"/>
                      <w:szCs w:val="21"/>
                    </w:rPr>
                  </w:pPr>
                  <w:r>
                    <w:rPr>
                      <w:b/>
                      <w:bCs/>
                      <w:snapToGrid w:val="0"/>
                      <w:color w:val="auto"/>
                      <w:spacing w:val="4"/>
                      <w:kern w:val="0"/>
                      <w:szCs w:val="21"/>
                    </w:rPr>
                    <w:t>最终原药含量浓度</w:t>
                  </w:r>
                </w:p>
              </w:tc>
            </w:tr>
            <w:tr w14:paraId="00818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17" w:type="pct"/>
                  <w:tcBorders>
                    <w:left w:val="single" w:color="000000" w:sz="6" w:space="0"/>
                  </w:tcBorders>
                  <w:vAlign w:val="center"/>
                </w:tcPr>
                <w:p w14:paraId="640CAA52">
                  <w:pPr>
                    <w:widowControl/>
                    <w:numPr>
                      <w:ilvl w:val="0"/>
                      <w:numId w:val="15"/>
                    </w:numPr>
                    <w:tabs>
                      <w:tab w:val="clear" w:pos="0"/>
                    </w:tabs>
                    <w:spacing w:line="260" w:lineRule="exact"/>
                    <w:jc w:val="center"/>
                    <w:textAlignment w:val="center"/>
                    <w:rPr>
                      <w:snapToGrid w:val="0"/>
                      <w:color w:val="auto"/>
                      <w:spacing w:val="4"/>
                      <w:kern w:val="0"/>
                      <w:szCs w:val="21"/>
                      <w:lang w:eastAsia="en-US"/>
                    </w:rPr>
                  </w:pPr>
                </w:p>
              </w:tc>
              <w:tc>
                <w:tcPr>
                  <w:tcW w:w="619" w:type="pct"/>
                  <w:vAlign w:val="center"/>
                </w:tcPr>
                <w:p w14:paraId="54EEEA33">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盘式蚊香</w:t>
                  </w:r>
                </w:p>
              </w:tc>
              <w:tc>
                <w:tcPr>
                  <w:tcW w:w="449" w:type="pct"/>
                  <w:vAlign w:val="center"/>
                </w:tcPr>
                <w:p w14:paraId="6C9B7B45">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固态</w:t>
                  </w:r>
                </w:p>
              </w:tc>
              <w:tc>
                <w:tcPr>
                  <w:tcW w:w="875" w:type="pct"/>
                  <w:vAlign w:val="center"/>
                </w:tcPr>
                <w:p w14:paraId="23D4F09E">
                  <w:pPr>
                    <w:widowControl/>
                    <w:jc w:val="center"/>
                    <w:textAlignment w:val="center"/>
                    <w:rPr>
                      <w:rFonts w:hint="eastAsia" w:ascii="Times New Roman" w:hAnsi="Times New Roman" w:eastAsia="宋体" w:cs="Times New Roman"/>
                      <w:snapToGrid w:val="0"/>
                      <w:color w:val="auto"/>
                      <w:spacing w:val="4"/>
                      <w:kern w:val="0"/>
                      <w:szCs w:val="21"/>
                      <w:lang w:eastAsia="zh-CN"/>
                    </w:rPr>
                  </w:pPr>
                  <w:r>
                    <w:rPr>
                      <w:rFonts w:ascii="Times New Roman" w:hAnsi="Times New Roman" w:eastAsia="宋体" w:cs="Times New Roman"/>
                      <w:snapToGrid w:val="0"/>
                      <w:color w:val="auto"/>
                      <w:spacing w:val="4"/>
                      <w:kern w:val="0"/>
                      <w:szCs w:val="21"/>
                    </w:rPr>
                    <w:t>2000吨</w:t>
                  </w:r>
                  <w:r>
                    <w:rPr>
                      <w:rFonts w:hint="eastAsia" w:ascii="Times New Roman" w:hAnsi="Times New Roman" w:eastAsia="宋体" w:cs="Times New Roman"/>
                      <w:snapToGrid w:val="0"/>
                      <w:color w:val="auto"/>
                      <w:spacing w:val="4"/>
                      <w:kern w:val="0"/>
                      <w:szCs w:val="21"/>
                      <w:lang w:eastAsia="zh-CN"/>
                    </w:rPr>
                    <w:t>（</w:t>
                  </w:r>
                  <w:r>
                    <w:rPr>
                      <w:rFonts w:hint="eastAsia" w:ascii="Times New Roman" w:hAnsi="Times New Roman" w:eastAsia="宋体" w:cs="Times New Roman"/>
                      <w:snapToGrid w:val="0"/>
                      <w:color w:val="auto"/>
                      <w:spacing w:val="4"/>
                      <w:kern w:val="0"/>
                      <w:szCs w:val="21"/>
                      <w:lang w:val="en-US" w:eastAsia="zh-CN"/>
                    </w:rPr>
                    <w:t>约666.667万包</w:t>
                  </w:r>
                  <w:r>
                    <w:rPr>
                      <w:rFonts w:hint="eastAsia" w:ascii="Times New Roman" w:hAnsi="Times New Roman" w:eastAsia="宋体" w:cs="Times New Roman"/>
                      <w:snapToGrid w:val="0"/>
                      <w:color w:val="auto"/>
                      <w:spacing w:val="4"/>
                      <w:kern w:val="0"/>
                      <w:szCs w:val="21"/>
                      <w:lang w:eastAsia="zh-CN"/>
                    </w:rPr>
                    <w:t>）</w:t>
                  </w:r>
                </w:p>
              </w:tc>
              <w:tc>
                <w:tcPr>
                  <w:tcW w:w="875" w:type="pct"/>
                  <w:vAlign w:val="center"/>
                </w:tcPr>
                <w:p w14:paraId="3B1F9C44">
                  <w:pPr>
                    <w:widowControl/>
                    <w:jc w:val="center"/>
                    <w:textAlignment w:val="center"/>
                    <w:rPr>
                      <w:rFonts w:ascii="Times New Roman" w:hAnsi="Times New Roman" w:eastAsia="宋体" w:cs="Times New Roman"/>
                      <w:snapToGrid w:val="0"/>
                      <w:color w:val="auto"/>
                      <w:spacing w:val="4"/>
                      <w:kern w:val="0"/>
                      <w:szCs w:val="21"/>
                    </w:rPr>
                  </w:pPr>
                  <w:r>
                    <w:rPr>
                      <w:rFonts w:ascii="Times New Roman" w:hAnsi="Times New Roman" w:eastAsia="宋体" w:cs="Times New Roman"/>
                      <w:snapToGrid w:val="0"/>
                      <w:color w:val="auto"/>
                      <w:spacing w:val="4"/>
                      <w:kern w:val="0"/>
                      <w:szCs w:val="21"/>
                    </w:rPr>
                    <w:t>5</w:t>
                  </w:r>
                  <w:r>
                    <w:rPr>
                      <w:rFonts w:hint="eastAsia" w:ascii="Times New Roman" w:hAnsi="Times New Roman" w:eastAsia="宋体" w:cs="Times New Roman"/>
                      <w:snapToGrid w:val="0"/>
                      <w:color w:val="auto"/>
                      <w:spacing w:val="4"/>
                      <w:kern w:val="0"/>
                      <w:szCs w:val="21"/>
                      <w:lang w:val="en-US" w:eastAsia="zh-CN"/>
                    </w:rPr>
                    <w:t>.4</w:t>
                  </w:r>
                  <w:r>
                    <w:rPr>
                      <w:rFonts w:ascii="Times New Roman" w:hAnsi="Times New Roman" w:eastAsia="宋体" w:cs="Times New Roman"/>
                      <w:snapToGrid w:val="0"/>
                      <w:color w:val="auto"/>
                      <w:spacing w:val="4"/>
                      <w:kern w:val="0"/>
                      <w:szCs w:val="21"/>
                    </w:rPr>
                    <w:t>t</w:t>
                  </w:r>
                  <w:r>
                    <w:rPr>
                      <w:rFonts w:hint="eastAsia" w:ascii="Times New Roman" w:hAnsi="Times New Roman" w:eastAsia="宋体" w:cs="Times New Roman"/>
                      <w:snapToGrid w:val="0"/>
                      <w:color w:val="auto"/>
                      <w:spacing w:val="4"/>
                      <w:kern w:val="0"/>
                      <w:szCs w:val="21"/>
                      <w:lang w:val="en-US" w:eastAsia="zh-CN"/>
                    </w:rPr>
                    <w:t>约1.8万包</w:t>
                  </w:r>
                  <w:r>
                    <w:rPr>
                      <w:rFonts w:hint="eastAsia" w:ascii="Times New Roman" w:hAnsi="Times New Roman" w:eastAsia="宋体" w:cs="Times New Roman"/>
                      <w:snapToGrid w:val="0"/>
                      <w:color w:val="auto"/>
                      <w:spacing w:val="4"/>
                      <w:kern w:val="0"/>
                      <w:szCs w:val="21"/>
                      <w:lang w:eastAsia="zh-CN"/>
                    </w:rPr>
                    <w:t>）</w:t>
                  </w:r>
                </w:p>
              </w:tc>
              <w:tc>
                <w:tcPr>
                  <w:tcW w:w="752" w:type="pct"/>
                  <w:tcBorders>
                    <w:right w:val="single" w:color="auto" w:sz="4" w:space="0"/>
                  </w:tcBorders>
                  <w:vAlign w:val="center"/>
                </w:tcPr>
                <w:p w14:paraId="21AF83CD">
                  <w:pPr>
                    <w:widowControl/>
                    <w:jc w:val="center"/>
                    <w:textAlignment w:val="center"/>
                    <w:rPr>
                      <w:rFonts w:hint="default" w:ascii="Times New Roman" w:hAnsi="Times New Roman" w:eastAsia="宋体" w:cs="Times New Roman"/>
                      <w:snapToGrid w:val="0"/>
                      <w:color w:val="auto"/>
                      <w:spacing w:val="4"/>
                      <w:kern w:val="0"/>
                      <w:szCs w:val="21"/>
                      <w:lang w:val="en-US" w:eastAsia="zh-CN"/>
                    </w:rPr>
                  </w:pPr>
                  <w:r>
                    <w:rPr>
                      <w:rFonts w:hint="eastAsia" w:ascii="Times New Roman" w:hAnsi="Times New Roman" w:eastAsia="宋体" w:cs="Times New Roman"/>
                      <w:snapToGrid w:val="0"/>
                      <w:color w:val="auto"/>
                      <w:spacing w:val="4"/>
                      <w:kern w:val="0"/>
                      <w:szCs w:val="21"/>
                      <w:lang w:val="en-US" w:eastAsia="zh-CN"/>
                    </w:rPr>
                    <w:t>300g/包</w:t>
                  </w:r>
                </w:p>
              </w:tc>
              <w:tc>
                <w:tcPr>
                  <w:tcW w:w="1110" w:type="pct"/>
                  <w:tcBorders>
                    <w:right w:val="single" w:color="auto" w:sz="4" w:space="0"/>
                  </w:tcBorders>
                  <w:vAlign w:val="center"/>
                </w:tcPr>
                <w:p w14:paraId="46BA9F64">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5%氯氟醚菊酯盘式蚊香</w:t>
                  </w:r>
                </w:p>
              </w:tc>
            </w:tr>
            <w:tr w14:paraId="237EC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17" w:type="pct"/>
                  <w:tcBorders>
                    <w:left w:val="single" w:color="000000" w:sz="6" w:space="0"/>
                  </w:tcBorders>
                  <w:vAlign w:val="center"/>
                </w:tcPr>
                <w:p w14:paraId="04E9AECD">
                  <w:pPr>
                    <w:widowControl/>
                    <w:numPr>
                      <w:ilvl w:val="0"/>
                      <w:numId w:val="15"/>
                    </w:numPr>
                    <w:tabs>
                      <w:tab w:val="clear" w:pos="0"/>
                    </w:tabs>
                    <w:spacing w:line="260" w:lineRule="exact"/>
                    <w:jc w:val="center"/>
                    <w:textAlignment w:val="center"/>
                    <w:rPr>
                      <w:snapToGrid w:val="0"/>
                      <w:color w:val="auto"/>
                      <w:spacing w:val="4"/>
                      <w:kern w:val="0"/>
                      <w:szCs w:val="21"/>
                      <w:lang w:eastAsia="en-US"/>
                    </w:rPr>
                  </w:pPr>
                </w:p>
              </w:tc>
              <w:tc>
                <w:tcPr>
                  <w:tcW w:w="619" w:type="pct"/>
                  <w:vAlign w:val="center"/>
                </w:tcPr>
                <w:p w14:paraId="13E395AA">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电热蚊香液</w:t>
                  </w:r>
                </w:p>
              </w:tc>
              <w:tc>
                <w:tcPr>
                  <w:tcW w:w="449" w:type="pct"/>
                  <w:vAlign w:val="center"/>
                </w:tcPr>
                <w:p w14:paraId="1CF159A8">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液态</w:t>
                  </w:r>
                </w:p>
              </w:tc>
              <w:tc>
                <w:tcPr>
                  <w:tcW w:w="875" w:type="pct"/>
                  <w:vAlign w:val="center"/>
                </w:tcPr>
                <w:p w14:paraId="720953C2">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10万瓶（约4t）</w:t>
                  </w:r>
                </w:p>
              </w:tc>
              <w:tc>
                <w:tcPr>
                  <w:tcW w:w="875" w:type="pct"/>
                  <w:vAlign w:val="center"/>
                </w:tcPr>
                <w:p w14:paraId="6ADF21B3">
                  <w:pPr>
                    <w:widowControl/>
                    <w:jc w:val="center"/>
                    <w:textAlignment w:val="center"/>
                    <w:rPr>
                      <w:snapToGrid w:val="0"/>
                      <w:color w:val="auto"/>
                      <w:spacing w:val="4"/>
                      <w:kern w:val="0"/>
                      <w:szCs w:val="21"/>
                    </w:rPr>
                  </w:pPr>
                  <w:r>
                    <w:rPr>
                      <w:snapToGrid w:val="0"/>
                      <w:color w:val="auto"/>
                      <w:spacing w:val="4"/>
                      <w:kern w:val="0"/>
                      <w:szCs w:val="21"/>
                    </w:rPr>
                    <w:t>1000瓶（约0.04t）</w:t>
                  </w:r>
                </w:p>
              </w:tc>
              <w:tc>
                <w:tcPr>
                  <w:tcW w:w="752" w:type="pct"/>
                  <w:tcBorders>
                    <w:right w:val="single" w:color="auto" w:sz="4" w:space="0"/>
                  </w:tcBorders>
                  <w:vAlign w:val="center"/>
                </w:tcPr>
                <w:p w14:paraId="599AA2F9">
                  <w:pPr>
                    <w:widowControl/>
                    <w:jc w:val="center"/>
                    <w:textAlignment w:val="center"/>
                    <w:rPr>
                      <w:rFonts w:hint="default" w:eastAsia="宋体"/>
                      <w:snapToGrid w:val="0"/>
                      <w:color w:val="auto"/>
                      <w:spacing w:val="4"/>
                      <w:kern w:val="0"/>
                      <w:szCs w:val="21"/>
                      <w:lang w:val="en-US" w:eastAsia="zh-CN"/>
                    </w:rPr>
                  </w:pPr>
                  <w:r>
                    <w:rPr>
                      <w:rFonts w:hint="eastAsia"/>
                      <w:snapToGrid w:val="0"/>
                      <w:color w:val="auto"/>
                      <w:spacing w:val="4"/>
                      <w:kern w:val="0"/>
                      <w:szCs w:val="21"/>
                      <w:lang w:val="en-US" w:eastAsia="zh-CN"/>
                    </w:rPr>
                    <w:t>40g/瓶</w:t>
                  </w:r>
                </w:p>
              </w:tc>
              <w:tc>
                <w:tcPr>
                  <w:tcW w:w="1110" w:type="pct"/>
                  <w:tcBorders>
                    <w:right w:val="single" w:color="auto" w:sz="4" w:space="0"/>
                  </w:tcBorders>
                  <w:vAlign w:val="center"/>
                </w:tcPr>
                <w:p w14:paraId="0D1CC358">
                  <w:pPr>
                    <w:widowControl/>
                    <w:jc w:val="center"/>
                    <w:textAlignment w:val="center"/>
                    <w:rPr>
                      <w:snapToGrid w:val="0"/>
                      <w:color w:val="auto"/>
                      <w:spacing w:val="4"/>
                      <w:kern w:val="0"/>
                      <w:szCs w:val="21"/>
                    </w:rPr>
                  </w:pPr>
                  <w:r>
                    <w:rPr>
                      <w:snapToGrid w:val="0"/>
                      <w:color w:val="auto"/>
                      <w:spacing w:val="4"/>
                      <w:kern w:val="0"/>
                      <w:szCs w:val="21"/>
                    </w:rPr>
                    <w:t>1%氯氟醚菊酯电热蚊香液</w:t>
                  </w:r>
                </w:p>
              </w:tc>
            </w:tr>
          </w:tbl>
          <w:p w14:paraId="52E854E0">
            <w:pPr>
              <w:adjustRightInd w:val="0"/>
              <w:snapToGrid w:val="0"/>
              <w:spacing w:line="360" w:lineRule="auto"/>
              <w:ind w:firstLine="482" w:firstLineChars="200"/>
              <w:rPr>
                <w:b/>
                <w:bCs/>
                <w:color w:val="auto"/>
                <w:sz w:val="24"/>
                <w:szCs w:val="24"/>
              </w:rPr>
            </w:pPr>
            <w:r>
              <w:rPr>
                <w:b/>
                <w:bCs/>
                <w:color w:val="auto"/>
                <w:sz w:val="24"/>
                <w:szCs w:val="24"/>
              </w:rPr>
              <w:t>3、主要原辅材料及用量</w:t>
            </w:r>
          </w:p>
          <w:p w14:paraId="360CEBC5">
            <w:pPr>
              <w:pStyle w:val="89"/>
              <w:adjustRightInd w:val="0"/>
              <w:snapToGrid w:val="0"/>
              <w:spacing w:before="0" w:beforeLines="0"/>
              <w:ind w:firstLine="420"/>
              <w:rPr>
                <w:rFonts w:cs="Times New Roman"/>
                <w:color w:val="auto"/>
                <w:sz w:val="24"/>
                <w:szCs w:val="24"/>
              </w:rPr>
            </w:pPr>
            <w:r>
              <w:rPr>
                <w:rFonts w:cs="Times New Roman"/>
                <w:color w:val="auto"/>
                <w:sz w:val="24"/>
                <w:szCs w:val="24"/>
              </w:rPr>
              <w:t>本项目原辅料使用情况详见下表</w:t>
            </w:r>
            <w:r>
              <w:rPr>
                <w:rFonts w:hint="eastAsia" w:cs="Times New Roman"/>
                <w:color w:val="auto"/>
                <w:sz w:val="24"/>
                <w:szCs w:val="24"/>
                <w:lang w:eastAsia="zh-CN"/>
              </w:rPr>
              <w:t>（</w:t>
            </w:r>
            <w:r>
              <w:rPr>
                <w:rFonts w:hint="eastAsia" w:cs="Times New Roman"/>
                <w:color w:val="auto"/>
                <w:sz w:val="24"/>
                <w:szCs w:val="24"/>
                <w:lang w:val="en-US" w:eastAsia="zh-CN"/>
              </w:rPr>
              <w:t>MSDS见附件5</w:t>
            </w:r>
            <w:r>
              <w:rPr>
                <w:rFonts w:hint="eastAsia" w:cs="Times New Roman"/>
                <w:color w:val="auto"/>
                <w:sz w:val="24"/>
                <w:szCs w:val="24"/>
                <w:lang w:eastAsia="zh-CN"/>
              </w:rPr>
              <w:t>）</w:t>
            </w:r>
            <w:r>
              <w:rPr>
                <w:rFonts w:cs="Times New Roman"/>
                <w:color w:val="auto"/>
                <w:sz w:val="24"/>
                <w:szCs w:val="24"/>
              </w:rPr>
              <w:t>：</w:t>
            </w:r>
          </w:p>
          <w:p w14:paraId="28BDA89A">
            <w:pPr>
              <w:jc w:val="center"/>
              <w:rPr>
                <w:color w:val="auto"/>
                <w:sz w:val="24"/>
                <w:szCs w:val="24"/>
              </w:rPr>
            </w:pPr>
            <w:r>
              <w:rPr>
                <w:b/>
                <w:bCs/>
                <w:color w:val="auto"/>
                <w:sz w:val="24"/>
                <w:szCs w:val="24"/>
              </w:rPr>
              <w:t>表</w:t>
            </w:r>
            <w:r>
              <w:rPr>
                <w:b/>
                <w:bCs/>
                <w:color w:val="auto"/>
                <w:sz w:val="24"/>
                <w:szCs w:val="24"/>
              </w:rPr>
              <w:fldChar w:fldCharType="begin"/>
            </w:r>
            <w:r>
              <w:rPr>
                <w:b/>
                <w:bCs/>
                <w:color w:val="auto"/>
                <w:sz w:val="24"/>
                <w:szCs w:val="24"/>
              </w:rPr>
              <w:instrText xml:space="preserve"> SEQ 表 \* ARABIC </w:instrText>
            </w:r>
            <w:r>
              <w:rPr>
                <w:b/>
                <w:bCs/>
                <w:color w:val="auto"/>
                <w:sz w:val="24"/>
                <w:szCs w:val="24"/>
              </w:rPr>
              <w:fldChar w:fldCharType="separate"/>
            </w:r>
            <w:r>
              <w:rPr>
                <w:b/>
                <w:bCs/>
                <w:color w:val="auto"/>
                <w:sz w:val="24"/>
                <w:szCs w:val="24"/>
              </w:rPr>
              <w:t>10</w:t>
            </w:r>
            <w:r>
              <w:rPr>
                <w:b/>
                <w:bCs/>
                <w:color w:val="auto"/>
                <w:sz w:val="24"/>
                <w:szCs w:val="24"/>
              </w:rPr>
              <w:fldChar w:fldCharType="end"/>
            </w:r>
            <w:r>
              <w:rPr>
                <w:b/>
                <w:bCs/>
                <w:color w:val="auto"/>
                <w:sz w:val="24"/>
                <w:szCs w:val="24"/>
              </w:rPr>
              <w:t xml:space="preserve">  本项目原辅料使用情况一览表</w:t>
            </w:r>
          </w:p>
          <w:tbl>
            <w:tblPr>
              <w:tblStyle w:val="37"/>
              <w:tblW w:w="9173" w:type="dxa"/>
              <w:jc w:val="center"/>
              <w:tblLayout w:type="autofit"/>
              <w:tblCellMar>
                <w:top w:w="0" w:type="dxa"/>
                <w:left w:w="108" w:type="dxa"/>
                <w:bottom w:w="0" w:type="dxa"/>
                <w:right w:w="108" w:type="dxa"/>
              </w:tblCellMar>
            </w:tblPr>
            <w:tblGrid>
              <w:gridCol w:w="840"/>
              <w:gridCol w:w="1577"/>
              <w:gridCol w:w="1309"/>
              <w:gridCol w:w="1278"/>
              <w:gridCol w:w="1171"/>
              <w:gridCol w:w="1008"/>
              <w:gridCol w:w="1155"/>
              <w:gridCol w:w="835"/>
            </w:tblGrid>
            <w:tr w14:paraId="48743342">
              <w:tblPrEx>
                <w:tblCellMar>
                  <w:top w:w="0" w:type="dxa"/>
                  <w:left w:w="108" w:type="dxa"/>
                  <w:bottom w:w="0" w:type="dxa"/>
                  <w:right w:w="108" w:type="dxa"/>
                </w:tblCellMar>
              </w:tblPrEx>
              <w:trPr>
                <w:trHeight w:val="369" w:hRule="atLeast"/>
                <w:tblHeader/>
                <w:jc w:val="center"/>
              </w:trPr>
              <w:tc>
                <w:tcPr>
                  <w:tcW w:w="458" w:type="pct"/>
                  <w:vMerge w:val="restart"/>
                  <w:tcBorders>
                    <w:top w:val="single" w:color="000000" w:sz="8" w:space="0"/>
                    <w:left w:val="single" w:color="000000" w:sz="8" w:space="0"/>
                    <w:right w:val="single" w:color="000000" w:sz="8" w:space="0"/>
                  </w:tcBorders>
                  <w:vAlign w:val="center"/>
                </w:tcPr>
                <w:p w14:paraId="0EF9F317">
                  <w:pPr>
                    <w:widowControl/>
                    <w:spacing w:line="260" w:lineRule="exact"/>
                    <w:jc w:val="center"/>
                    <w:textAlignment w:val="center"/>
                    <w:rPr>
                      <w:b/>
                      <w:bCs/>
                      <w:color w:val="auto"/>
                      <w:szCs w:val="21"/>
                    </w:rPr>
                  </w:pPr>
                  <w:r>
                    <w:rPr>
                      <w:b/>
                      <w:bCs/>
                      <w:color w:val="auto"/>
                      <w:kern w:val="0"/>
                      <w:szCs w:val="21"/>
                      <w:lang w:bidi="ar"/>
                    </w:rPr>
                    <w:t>序号</w:t>
                  </w:r>
                </w:p>
              </w:tc>
              <w:tc>
                <w:tcPr>
                  <w:tcW w:w="859" w:type="pct"/>
                  <w:vMerge w:val="restart"/>
                  <w:tcBorders>
                    <w:top w:val="single" w:color="000000" w:sz="8" w:space="0"/>
                    <w:left w:val="single" w:color="000000" w:sz="8" w:space="0"/>
                    <w:right w:val="single" w:color="000000" w:sz="8" w:space="0"/>
                  </w:tcBorders>
                  <w:vAlign w:val="center"/>
                </w:tcPr>
                <w:p w14:paraId="25EF7659">
                  <w:pPr>
                    <w:widowControl/>
                    <w:spacing w:line="260" w:lineRule="exact"/>
                    <w:jc w:val="center"/>
                    <w:textAlignment w:val="center"/>
                    <w:rPr>
                      <w:b/>
                      <w:bCs/>
                      <w:color w:val="auto"/>
                      <w:szCs w:val="21"/>
                    </w:rPr>
                  </w:pPr>
                  <w:r>
                    <w:rPr>
                      <w:b/>
                      <w:bCs/>
                      <w:color w:val="auto"/>
                      <w:kern w:val="0"/>
                      <w:szCs w:val="21"/>
                      <w:lang w:bidi="ar"/>
                    </w:rPr>
                    <w:t>原料品名</w:t>
                  </w:r>
                </w:p>
              </w:tc>
              <w:tc>
                <w:tcPr>
                  <w:tcW w:w="2047" w:type="pct"/>
                  <w:gridSpan w:val="3"/>
                  <w:tcBorders>
                    <w:top w:val="single" w:color="000000" w:sz="8" w:space="0"/>
                    <w:left w:val="single" w:color="000000" w:sz="8" w:space="0"/>
                    <w:bottom w:val="nil"/>
                    <w:right w:val="single" w:color="000000" w:sz="8" w:space="0"/>
                  </w:tcBorders>
                  <w:vAlign w:val="center"/>
                </w:tcPr>
                <w:p w14:paraId="6E9C08A0">
                  <w:pPr>
                    <w:widowControl/>
                    <w:spacing w:line="260" w:lineRule="exact"/>
                    <w:jc w:val="center"/>
                    <w:textAlignment w:val="center"/>
                    <w:rPr>
                      <w:b/>
                      <w:bCs/>
                      <w:color w:val="auto"/>
                      <w:szCs w:val="21"/>
                    </w:rPr>
                  </w:pPr>
                  <w:r>
                    <w:rPr>
                      <w:b/>
                      <w:bCs/>
                      <w:color w:val="auto"/>
                      <w:kern w:val="0"/>
                      <w:szCs w:val="21"/>
                      <w:lang w:bidi="ar"/>
                    </w:rPr>
                    <w:t>年用量（t/a）</w:t>
                  </w:r>
                </w:p>
              </w:tc>
              <w:tc>
                <w:tcPr>
                  <w:tcW w:w="549" w:type="pct"/>
                  <w:vMerge w:val="restart"/>
                  <w:tcBorders>
                    <w:top w:val="single" w:color="000000" w:sz="8" w:space="0"/>
                    <w:left w:val="single" w:color="000000" w:sz="8" w:space="0"/>
                    <w:right w:val="single" w:color="000000" w:sz="8" w:space="0"/>
                  </w:tcBorders>
                  <w:vAlign w:val="center"/>
                </w:tcPr>
                <w:p w14:paraId="7303C939">
                  <w:pPr>
                    <w:widowControl/>
                    <w:spacing w:line="260" w:lineRule="exact"/>
                    <w:jc w:val="center"/>
                    <w:textAlignment w:val="center"/>
                    <w:rPr>
                      <w:b/>
                      <w:bCs/>
                      <w:color w:val="auto"/>
                      <w:szCs w:val="21"/>
                    </w:rPr>
                  </w:pPr>
                  <w:r>
                    <w:rPr>
                      <w:b/>
                      <w:bCs/>
                      <w:color w:val="auto"/>
                      <w:kern w:val="0"/>
                      <w:szCs w:val="21"/>
                      <w:lang w:bidi="ar"/>
                    </w:rPr>
                    <w:t>最大储存量（t）</w:t>
                  </w:r>
                </w:p>
              </w:tc>
              <w:tc>
                <w:tcPr>
                  <w:tcW w:w="629" w:type="pct"/>
                  <w:vMerge w:val="restart"/>
                  <w:tcBorders>
                    <w:top w:val="single" w:color="000000" w:sz="8" w:space="0"/>
                    <w:left w:val="single" w:color="000000" w:sz="8" w:space="0"/>
                    <w:right w:val="single" w:color="000000" w:sz="8" w:space="0"/>
                  </w:tcBorders>
                  <w:vAlign w:val="center"/>
                </w:tcPr>
                <w:p w14:paraId="734B8D82">
                  <w:pPr>
                    <w:widowControl/>
                    <w:spacing w:line="260" w:lineRule="exact"/>
                    <w:jc w:val="center"/>
                    <w:textAlignment w:val="center"/>
                    <w:rPr>
                      <w:b/>
                      <w:bCs/>
                      <w:color w:val="auto"/>
                      <w:szCs w:val="21"/>
                    </w:rPr>
                  </w:pPr>
                  <w:r>
                    <w:rPr>
                      <w:b/>
                      <w:bCs/>
                      <w:color w:val="auto"/>
                      <w:kern w:val="0"/>
                      <w:szCs w:val="21"/>
                      <w:lang w:bidi="ar"/>
                    </w:rPr>
                    <w:t>储存位置</w:t>
                  </w:r>
                </w:p>
              </w:tc>
              <w:tc>
                <w:tcPr>
                  <w:tcW w:w="455" w:type="pct"/>
                  <w:vMerge w:val="restart"/>
                  <w:tcBorders>
                    <w:top w:val="single" w:color="000000" w:sz="8" w:space="0"/>
                    <w:left w:val="single" w:color="000000" w:sz="8" w:space="0"/>
                    <w:right w:val="single" w:color="000000" w:sz="8" w:space="0"/>
                  </w:tcBorders>
                  <w:vAlign w:val="center"/>
                </w:tcPr>
                <w:p w14:paraId="3480B388">
                  <w:pPr>
                    <w:widowControl/>
                    <w:spacing w:line="260" w:lineRule="exact"/>
                    <w:jc w:val="center"/>
                    <w:textAlignment w:val="center"/>
                    <w:rPr>
                      <w:b/>
                      <w:bCs/>
                      <w:color w:val="auto"/>
                      <w:szCs w:val="21"/>
                    </w:rPr>
                  </w:pPr>
                  <w:r>
                    <w:rPr>
                      <w:b/>
                      <w:bCs/>
                      <w:color w:val="auto"/>
                      <w:kern w:val="0"/>
                      <w:szCs w:val="21"/>
                      <w:lang w:bidi="ar"/>
                    </w:rPr>
                    <w:t>状态</w:t>
                  </w:r>
                </w:p>
              </w:tc>
            </w:tr>
            <w:tr w14:paraId="2D7EBA73">
              <w:tblPrEx>
                <w:tblCellMar>
                  <w:top w:w="0" w:type="dxa"/>
                  <w:left w:w="108" w:type="dxa"/>
                  <w:bottom w:w="0" w:type="dxa"/>
                  <w:right w:w="108" w:type="dxa"/>
                </w:tblCellMar>
              </w:tblPrEx>
              <w:trPr>
                <w:trHeight w:val="369" w:hRule="atLeast"/>
                <w:tblHeader/>
                <w:jc w:val="center"/>
              </w:trPr>
              <w:tc>
                <w:tcPr>
                  <w:tcW w:w="458" w:type="pct"/>
                  <w:vMerge w:val="continue"/>
                  <w:tcBorders>
                    <w:left w:val="single" w:color="000000" w:sz="8" w:space="0"/>
                    <w:bottom w:val="nil"/>
                    <w:right w:val="single" w:color="000000" w:sz="8" w:space="0"/>
                  </w:tcBorders>
                  <w:vAlign w:val="center"/>
                </w:tcPr>
                <w:p w14:paraId="2CDF566D">
                  <w:pPr>
                    <w:widowControl/>
                    <w:spacing w:line="260" w:lineRule="exact"/>
                    <w:jc w:val="center"/>
                    <w:textAlignment w:val="center"/>
                    <w:rPr>
                      <w:color w:val="auto"/>
                    </w:rPr>
                  </w:pPr>
                </w:p>
              </w:tc>
              <w:tc>
                <w:tcPr>
                  <w:tcW w:w="859" w:type="pct"/>
                  <w:vMerge w:val="continue"/>
                  <w:tcBorders>
                    <w:left w:val="single" w:color="000000" w:sz="8" w:space="0"/>
                    <w:bottom w:val="nil"/>
                    <w:right w:val="single" w:color="000000" w:sz="8" w:space="0"/>
                  </w:tcBorders>
                  <w:vAlign w:val="center"/>
                </w:tcPr>
                <w:p w14:paraId="0F035936">
                  <w:pPr>
                    <w:widowControl/>
                    <w:spacing w:line="260" w:lineRule="exact"/>
                    <w:jc w:val="center"/>
                    <w:textAlignment w:val="center"/>
                    <w:rPr>
                      <w:color w:val="auto"/>
                    </w:rPr>
                  </w:pPr>
                </w:p>
              </w:tc>
              <w:tc>
                <w:tcPr>
                  <w:tcW w:w="713" w:type="pct"/>
                  <w:tcBorders>
                    <w:top w:val="single" w:color="000000" w:sz="8" w:space="0"/>
                    <w:left w:val="single" w:color="000000" w:sz="8" w:space="0"/>
                    <w:bottom w:val="nil"/>
                    <w:right w:val="single" w:color="000000" w:sz="8" w:space="0"/>
                  </w:tcBorders>
                  <w:vAlign w:val="center"/>
                </w:tcPr>
                <w:p w14:paraId="0E821648">
                  <w:pPr>
                    <w:widowControl/>
                    <w:spacing w:line="260" w:lineRule="exact"/>
                    <w:jc w:val="center"/>
                    <w:textAlignment w:val="center"/>
                    <w:rPr>
                      <w:b/>
                      <w:bCs/>
                      <w:color w:val="auto"/>
                      <w:kern w:val="0"/>
                      <w:szCs w:val="21"/>
                      <w:lang w:bidi="ar"/>
                    </w:rPr>
                  </w:pPr>
                  <w:r>
                    <w:rPr>
                      <w:b/>
                      <w:bCs/>
                      <w:color w:val="auto"/>
                      <w:kern w:val="0"/>
                      <w:szCs w:val="21"/>
                      <w:lang w:bidi="ar"/>
                    </w:rPr>
                    <w:t>盘式蚊香</w:t>
                  </w:r>
                </w:p>
              </w:tc>
              <w:tc>
                <w:tcPr>
                  <w:tcW w:w="696" w:type="pct"/>
                  <w:tcBorders>
                    <w:top w:val="single" w:color="000000" w:sz="8" w:space="0"/>
                    <w:left w:val="single" w:color="000000" w:sz="8" w:space="0"/>
                    <w:bottom w:val="nil"/>
                    <w:right w:val="single" w:color="000000" w:sz="8" w:space="0"/>
                  </w:tcBorders>
                  <w:vAlign w:val="center"/>
                </w:tcPr>
                <w:p w14:paraId="4791480A">
                  <w:pPr>
                    <w:widowControl/>
                    <w:spacing w:line="260" w:lineRule="exact"/>
                    <w:jc w:val="center"/>
                    <w:textAlignment w:val="center"/>
                    <w:rPr>
                      <w:b/>
                      <w:bCs/>
                      <w:color w:val="auto"/>
                      <w:kern w:val="0"/>
                      <w:szCs w:val="21"/>
                      <w:lang w:bidi="ar"/>
                    </w:rPr>
                  </w:pPr>
                  <w:r>
                    <w:rPr>
                      <w:b/>
                      <w:bCs/>
                      <w:color w:val="auto"/>
                      <w:kern w:val="0"/>
                      <w:szCs w:val="21"/>
                      <w:lang w:bidi="ar"/>
                    </w:rPr>
                    <w:t>电热蚊香液</w:t>
                  </w:r>
                </w:p>
              </w:tc>
              <w:tc>
                <w:tcPr>
                  <w:tcW w:w="637" w:type="pct"/>
                  <w:tcBorders>
                    <w:top w:val="single" w:color="000000" w:sz="8" w:space="0"/>
                    <w:left w:val="single" w:color="000000" w:sz="8" w:space="0"/>
                    <w:bottom w:val="nil"/>
                    <w:right w:val="single" w:color="000000" w:sz="8" w:space="0"/>
                  </w:tcBorders>
                  <w:vAlign w:val="center"/>
                </w:tcPr>
                <w:p w14:paraId="2B859182">
                  <w:pPr>
                    <w:widowControl/>
                    <w:spacing w:line="260" w:lineRule="exact"/>
                    <w:jc w:val="center"/>
                    <w:textAlignment w:val="center"/>
                    <w:rPr>
                      <w:b/>
                      <w:bCs/>
                      <w:color w:val="auto"/>
                      <w:kern w:val="0"/>
                      <w:szCs w:val="21"/>
                      <w:lang w:bidi="ar"/>
                    </w:rPr>
                  </w:pPr>
                  <w:r>
                    <w:rPr>
                      <w:b/>
                      <w:bCs/>
                      <w:color w:val="auto"/>
                      <w:kern w:val="0"/>
                      <w:szCs w:val="21"/>
                      <w:lang w:bidi="ar"/>
                    </w:rPr>
                    <w:t>合计</w:t>
                  </w:r>
                </w:p>
              </w:tc>
              <w:tc>
                <w:tcPr>
                  <w:tcW w:w="549" w:type="pct"/>
                  <w:vMerge w:val="continue"/>
                  <w:tcBorders>
                    <w:left w:val="single" w:color="000000" w:sz="8" w:space="0"/>
                    <w:bottom w:val="nil"/>
                    <w:right w:val="single" w:color="000000" w:sz="8" w:space="0"/>
                  </w:tcBorders>
                  <w:vAlign w:val="center"/>
                </w:tcPr>
                <w:p w14:paraId="3E2BF4F4">
                  <w:pPr>
                    <w:widowControl/>
                    <w:spacing w:line="260" w:lineRule="exact"/>
                    <w:jc w:val="center"/>
                    <w:textAlignment w:val="center"/>
                    <w:rPr>
                      <w:b/>
                      <w:bCs/>
                      <w:color w:val="auto"/>
                      <w:kern w:val="0"/>
                      <w:szCs w:val="21"/>
                      <w:lang w:bidi="ar"/>
                    </w:rPr>
                  </w:pPr>
                </w:p>
              </w:tc>
              <w:tc>
                <w:tcPr>
                  <w:tcW w:w="629" w:type="pct"/>
                  <w:vMerge w:val="continue"/>
                  <w:tcBorders>
                    <w:left w:val="single" w:color="000000" w:sz="8" w:space="0"/>
                    <w:bottom w:val="nil"/>
                    <w:right w:val="single" w:color="000000" w:sz="8" w:space="0"/>
                  </w:tcBorders>
                  <w:vAlign w:val="center"/>
                </w:tcPr>
                <w:p w14:paraId="37610E7B">
                  <w:pPr>
                    <w:widowControl/>
                    <w:spacing w:line="260" w:lineRule="exact"/>
                    <w:jc w:val="center"/>
                    <w:textAlignment w:val="center"/>
                    <w:rPr>
                      <w:b/>
                      <w:bCs/>
                      <w:color w:val="auto"/>
                      <w:kern w:val="0"/>
                      <w:szCs w:val="21"/>
                      <w:lang w:bidi="ar"/>
                    </w:rPr>
                  </w:pPr>
                </w:p>
              </w:tc>
              <w:tc>
                <w:tcPr>
                  <w:tcW w:w="455" w:type="pct"/>
                  <w:vMerge w:val="continue"/>
                  <w:tcBorders>
                    <w:left w:val="single" w:color="000000" w:sz="8" w:space="0"/>
                    <w:bottom w:val="nil"/>
                    <w:right w:val="single" w:color="000000" w:sz="8" w:space="0"/>
                  </w:tcBorders>
                  <w:vAlign w:val="center"/>
                </w:tcPr>
                <w:p w14:paraId="2175565C">
                  <w:pPr>
                    <w:widowControl/>
                    <w:spacing w:line="260" w:lineRule="exact"/>
                    <w:jc w:val="center"/>
                    <w:textAlignment w:val="center"/>
                    <w:rPr>
                      <w:b/>
                      <w:bCs/>
                      <w:color w:val="auto"/>
                      <w:kern w:val="0"/>
                      <w:szCs w:val="21"/>
                      <w:lang w:bidi="ar"/>
                    </w:rPr>
                  </w:pPr>
                </w:p>
              </w:tc>
            </w:tr>
            <w:tr w14:paraId="049B86C4">
              <w:tblPrEx>
                <w:tblCellMar>
                  <w:top w:w="0" w:type="dxa"/>
                  <w:left w:w="108" w:type="dxa"/>
                  <w:bottom w:w="0" w:type="dxa"/>
                  <w:right w:w="108" w:type="dxa"/>
                </w:tblCellMar>
              </w:tblPrEx>
              <w:trPr>
                <w:trHeight w:val="488" w:hRule="atLeast"/>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71C39C00">
                  <w:pPr>
                    <w:widowControl/>
                    <w:numPr>
                      <w:ilvl w:val="0"/>
                      <w:numId w:val="16"/>
                    </w:numPr>
                    <w:tabs>
                      <w:tab w:val="clear" w:pos="0"/>
                    </w:tabs>
                    <w:spacing w:line="260" w:lineRule="exact"/>
                    <w:jc w:val="center"/>
                    <w:textAlignment w:val="center"/>
                    <w:rPr>
                      <w:color w:val="auto"/>
                      <w:szCs w:val="21"/>
                    </w:rPr>
                  </w:pPr>
                </w:p>
              </w:tc>
              <w:tc>
                <w:tcPr>
                  <w:tcW w:w="859" w:type="pct"/>
                  <w:tcBorders>
                    <w:top w:val="single" w:color="000000" w:sz="4" w:space="0"/>
                    <w:left w:val="single" w:color="000000" w:sz="4" w:space="0"/>
                    <w:bottom w:val="single" w:color="000000" w:sz="4" w:space="0"/>
                    <w:right w:val="single" w:color="000000" w:sz="4" w:space="0"/>
                  </w:tcBorders>
                  <w:vAlign w:val="center"/>
                </w:tcPr>
                <w:p w14:paraId="78449E1D">
                  <w:pPr>
                    <w:widowControl/>
                    <w:jc w:val="center"/>
                    <w:textAlignment w:val="center"/>
                    <w:rPr>
                      <w:color w:val="auto"/>
                      <w:kern w:val="0"/>
                      <w:szCs w:val="21"/>
                      <w:lang w:bidi="ar"/>
                    </w:rPr>
                  </w:pPr>
                  <w:r>
                    <w:rPr>
                      <w:color w:val="auto"/>
                      <w:kern w:val="0"/>
                      <w:szCs w:val="21"/>
                      <w:lang w:bidi="ar"/>
                    </w:rPr>
                    <w:t>香坯</w:t>
                  </w:r>
                </w:p>
              </w:tc>
              <w:tc>
                <w:tcPr>
                  <w:tcW w:w="713" w:type="pct"/>
                  <w:tcBorders>
                    <w:top w:val="single" w:color="000000" w:sz="4" w:space="0"/>
                    <w:left w:val="single" w:color="000000" w:sz="4" w:space="0"/>
                    <w:bottom w:val="single" w:color="000000" w:sz="4" w:space="0"/>
                    <w:right w:val="single" w:color="000000" w:sz="4" w:space="0"/>
                  </w:tcBorders>
                  <w:vAlign w:val="center"/>
                </w:tcPr>
                <w:p w14:paraId="7B72B0F3">
                  <w:pPr>
                    <w:widowControl/>
                    <w:jc w:val="center"/>
                    <w:textAlignment w:val="center"/>
                    <w:rPr>
                      <w:color w:val="auto"/>
                      <w:kern w:val="0"/>
                      <w:szCs w:val="21"/>
                      <w:lang w:bidi="ar"/>
                    </w:rPr>
                  </w:pPr>
                  <w:r>
                    <w:rPr>
                      <w:color w:val="auto"/>
                      <w:kern w:val="0"/>
                      <w:szCs w:val="21"/>
                      <w:lang w:bidi="ar"/>
                    </w:rPr>
                    <w:t>1968.4</w:t>
                  </w:r>
                  <w:r>
                    <w:rPr>
                      <w:rFonts w:hint="eastAsia"/>
                      <w:color w:val="auto"/>
                      <w:kern w:val="0"/>
                      <w:szCs w:val="21"/>
                      <w:lang w:val="en-US" w:eastAsia="zh-CN" w:bidi="ar"/>
                    </w:rPr>
                    <w:t>616</w:t>
                  </w:r>
                </w:p>
              </w:tc>
              <w:tc>
                <w:tcPr>
                  <w:tcW w:w="696" w:type="pct"/>
                  <w:tcBorders>
                    <w:top w:val="single" w:color="000000" w:sz="4" w:space="0"/>
                    <w:left w:val="single" w:color="000000" w:sz="4" w:space="0"/>
                    <w:bottom w:val="single" w:color="000000" w:sz="4" w:space="0"/>
                    <w:right w:val="single" w:color="000000" w:sz="4" w:space="0"/>
                  </w:tcBorders>
                  <w:vAlign w:val="center"/>
                </w:tcPr>
                <w:p w14:paraId="79FB4233">
                  <w:pPr>
                    <w:widowControl/>
                    <w:jc w:val="center"/>
                    <w:textAlignment w:val="center"/>
                    <w:rPr>
                      <w:color w:val="auto"/>
                      <w:kern w:val="0"/>
                      <w:szCs w:val="21"/>
                      <w:lang w:bidi="ar"/>
                    </w:rPr>
                  </w:pPr>
                  <w:r>
                    <w:rPr>
                      <w:color w:val="auto"/>
                      <w:kern w:val="0"/>
                      <w:szCs w:val="21"/>
                      <w:lang w:bidi="ar"/>
                    </w:rPr>
                    <w:t>/</w:t>
                  </w:r>
                </w:p>
              </w:tc>
              <w:tc>
                <w:tcPr>
                  <w:tcW w:w="637" w:type="pct"/>
                  <w:tcBorders>
                    <w:top w:val="single" w:color="000000" w:sz="4" w:space="0"/>
                    <w:left w:val="single" w:color="000000" w:sz="4" w:space="0"/>
                    <w:bottom w:val="single" w:color="000000" w:sz="4" w:space="0"/>
                    <w:right w:val="single" w:color="000000" w:sz="4" w:space="0"/>
                  </w:tcBorders>
                  <w:vAlign w:val="center"/>
                </w:tcPr>
                <w:p w14:paraId="37279C55">
                  <w:pPr>
                    <w:widowControl/>
                    <w:jc w:val="center"/>
                    <w:textAlignment w:val="center"/>
                    <w:rPr>
                      <w:color w:val="auto"/>
                      <w:kern w:val="0"/>
                      <w:szCs w:val="21"/>
                      <w:lang w:bidi="ar"/>
                    </w:rPr>
                  </w:pPr>
                  <w:r>
                    <w:rPr>
                      <w:color w:val="auto"/>
                      <w:kern w:val="0"/>
                      <w:szCs w:val="21"/>
                      <w:lang w:bidi="ar"/>
                    </w:rPr>
                    <w:t>1968.4</w:t>
                  </w:r>
                  <w:r>
                    <w:rPr>
                      <w:rFonts w:hint="eastAsia"/>
                      <w:color w:val="auto"/>
                      <w:kern w:val="0"/>
                      <w:szCs w:val="21"/>
                      <w:lang w:val="en-US" w:eastAsia="zh-CN" w:bidi="ar"/>
                    </w:rPr>
                    <w:t>616</w:t>
                  </w:r>
                </w:p>
              </w:tc>
              <w:tc>
                <w:tcPr>
                  <w:tcW w:w="549" w:type="pct"/>
                  <w:tcBorders>
                    <w:top w:val="single" w:color="000000" w:sz="4" w:space="0"/>
                    <w:left w:val="single" w:color="000000" w:sz="4" w:space="0"/>
                    <w:bottom w:val="single" w:color="000000" w:sz="4" w:space="0"/>
                    <w:right w:val="single" w:color="000000" w:sz="4" w:space="0"/>
                  </w:tcBorders>
                  <w:vAlign w:val="center"/>
                </w:tcPr>
                <w:p w14:paraId="05A541D3">
                  <w:pPr>
                    <w:widowControl/>
                    <w:jc w:val="center"/>
                    <w:textAlignment w:val="center"/>
                    <w:rPr>
                      <w:color w:val="auto"/>
                      <w:kern w:val="0"/>
                      <w:szCs w:val="21"/>
                      <w:lang w:bidi="ar"/>
                    </w:rPr>
                  </w:pPr>
                  <w:r>
                    <w:rPr>
                      <w:color w:val="auto"/>
                      <w:kern w:val="0"/>
                      <w:szCs w:val="21"/>
                      <w:lang w:bidi="ar"/>
                    </w:rPr>
                    <w:t>5.4</w:t>
                  </w:r>
                </w:p>
              </w:tc>
              <w:tc>
                <w:tcPr>
                  <w:tcW w:w="629" w:type="pct"/>
                  <w:tcBorders>
                    <w:top w:val="single" w:color="000000" w:sz="4" w:space="0"/>
                    <w:left w:val="single" w:color="000000" w:sz="4" w:space="0"/>
                    <w:bottom w:val="single" w:color="000000" w:sz="4" w:space="0"/>
                    <w:right w:val="single" w:color="000000" w:sz="4" w:space="0"/>
                  </w:tcBorders>
                  <w:vAlign w:val="center"/>
                </w:tcPr>
                <w:p w14:paraId="2FDAE012">
                  <w:pPr>
                    <w:widowControl/>
                    <w:jc w:val="center"/>
                    <w:textAlignment w:val="center"/>
                    <w:rPr>
                      <w:rFonts w:hint="default" w:eastAsia="宋体"/>
                      <w:color w:val="auto"/>
                      <w:kern w:val="0"/>
                      <w:szCs w:val="21"/>
                      <w:lang w:val="en-US" w:eastAsia="zh-CN" w:bidi="ar"/>
                    </w:rPr>
                  </w:pPr>
                  <w:r>
                    <w:rPr>
                      <w:rFonts w:hint="eastAsia"/>
                      <w:color w:val="auto"/>
                      <w:kern w:val="0"/>
                      <w:szCs w:val="21"/>
                      <w:lang w:val="en-US" w:eastAsia="zh-CN" w:bidi="ar"/>
                    </w:rPr>
                    <w:t>仓库区</w:t>
                  </w:r>
                </w:p>
              </w:tc>
              <w:tc>
                <w:tcPr>
                  <w:tcW w:w="455" w:type="pct"/>
                  <w:tcBorders>
                    <w:top w:val="single" w:color="000000" w:sz="4" w:space="0"/>
                    <w:left w:val="single" w:color="000000" w:sz="4" w:space="0"/>
                    <w:bottom w:val="single" w:color="000000" w:sz="4" w:space="0"/>
                    <w:right w:val="single" w:color="000000" w:sz="4" w:space="0"/>
                  </w:tcBorders>
                  <w:vAlign w:val="center"/>
                </w:tcPr>
                <w:p w14:paraId="7AD2D0A7">
                  <w:pPr>
                    <w:widowControl/>
                    <w:jc w:val="center"/>
                    <w:textAlignment w:val="center"/>
                    <w:rPr>
                      <w:color w:val="auto"/>
                      <w:kern w:val="0"/>
                      <w:szCs w:val="21"/>
                      <w:lang w:bidi="ar"/>
                    </w:rPr>
                  </w:pPr>
                  <w:r>
                    <w:rPr>
                      <w:color w:val="auto"/>
                      <w:kern w:val="0"/>
                      <w:szCs w:val="21"/>
                      <w:lang w:bidi="ar"/>
                    </w:rPr>
                    <w:t>固体</w:t>
                  </w:r>
                </w:p>
              </w:tc>
            </w:tr>
            <w:tr w14:paraId="7BE7AD59">
              <w:tblPrEx>
                <w:tblCellMar>
                  <w:top w:w="0" w:type="dxa"/>
                  <w:left w:w="108" w:type="dxa"/>
                  <w:bottom w:w="0" w:type="dxa"/>
                  <w:right w:w="108" w:type="dxa"/>
                </w:tblCellMar>
              </w:tblPrEx>
              <w:trPr>
                <w:trHeight w:val="488" w:hRule="atLeast"/>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5D8DB67D">
                  <w:pPr>
                    <w:widowControl/>
                    <w:numPr>
                      <w:ilvl w:val="0"/>
                      <w:numId w:val="16"/>
                    </w:numPr>
                    <w:tabs>
                      <w:tab w:val="clear" w:pos="0"/>
                    </w:tabs>
                    <w:spacing w:line="260" w:lineRule="exact"/>
                    <w:jc w:val="center"/>
                    <w:textAlignment w:val="center"/>
                    <w:rPr>
                      <w:color w:val="auto"/>
                      <w:kern w:val="0"/>
                      <w:szCs w:val="21"/>
                      <w:lang w:bidi="ar"/>
                    </w:rPr>
                  </w:pPr>
                </w:p>
              </w:tc>
              <w:tc>
                <w:tcPr>
                  <w:tcW w:w="859" w:type="pct"/>
                  <w:tcBorders>
                    <w:top w:val="single" w:color="000000" w:sz="4" w:space="0"/>
                    <w:left w:val="single" w:color="000000" w:sz="4" w:space="0"/>
                    <w:bottom w:val="single" w:color="000000" w:sz="4" w:space="0"/>
                    <w:right w:val="single" w:color="000000" w:sz="4" w:space="0"/>
                  </w:tcBorders>
                  <w:vAlign w:val="center"/>
                </w:tcPr>
                <w:p w14:paraId="209EB679">
                  <w:pPr>
                    <w:widowControl/>
                    <w:jc w:val="center"/>
                    <w:textAlignment w:val="center"/>
                    <w:rPr>
                      <w:color w:val="auto"/>
                      <w:kern w:val="0"/>
                      <w:szCs w:val="21"/>
                      <w:lang w:bidi="ar"/>
                    </w:rPr>
                  </w:pPr>
                  <w:r>
                    <w:rPr>
                      <w:color w:val="auto"/>
                      <w:kern w:val="0"/>
                      <w:szCs w:val="21"/>
                      <w:lang w:bidi="ar"/>
                    </w:rPr>
                    <w:t>氯氟醚菊酯</w:t>
                  </w:r>
                </w:p>
              </w:tc>
              <w:tc>
                <w:tcPr>
                  <w:tcW w:w="713" w:type="pct"/>
                  <w:tcBorders>
                    <w:top w:val="single" w:color="000000" w:sz="4" w:space="0"/>
                    <w:left w:val="single" w:color="000000" w:sz="4" w:space="0"/>
                    <w:bottom w:val="single" w:color="000000" w:sz="4" w:space="0"/>
                    <w:right w:val="single" w:color="000000" w:sz="4" w:space="0"/>
                  </w:tcBorders>
                  <w:vAlign w:val="center"/>
                </w:tcPr>
                <w:p w14:paraId="03CB0A5D">
                  <w:pPr>
                    <w:widowControl/>
                    <w:jc w:val="center"/>
                    <w:textAlignment w:val="center"/>
                    <w:rPr>
                      <w:color w:val="auto"/>
                      <w:kern w:val="0"/>
                      <w:szCs w:val="21"/>
                      <w:lang w:bidi="ar"/>
                    </w:rPr>
                  </w:pPr>
                  <w:r>
                    <w:rPr>
                      <w:color w:val="auto"/>
                      <w:kern w:val="0"/>
                      <w:szCs w:val="21"/>
                      <w:lang w:bidi="ar"/>
                    </w:rPr>
                    <w:t>1.6</w:t>
                  </w:r>
                </w:p>
              </w:tc>
              <w:tc>
                <w:tcPr>
                  <w:tcW w:w="696" w:type="pct"/>
                  <w:tcBorders>
                    <w:top w:val="single" w:color="000000" w:sz="4" w:space="0"/>
                    <w:left w:val="single" w:color="000000" w:sz="4" w:space="0"/>
                    <w:bottom w:val="single" w:color="000000" w:sz="4" w:space="0"/>
                    <w:right w:val="single" w:color="000000" w:sz="4" w:space="0"/>
                  </w:tcBorders>
                  <w:vAlign w:val="center"/>
                </w:tcPr>
                <w:p w14:paraId="1F59536D">
                  <w:pPr>
                    <w:widowControl/>
                    <w:jc w:val="center"/>
                    <w:textAlignment w:val="center"/>
                    <w:rPr>
                      <w:color w:val="auto"/>
                      <w:kern w:val="0"/>
                      <w:szCs w:val="21"/>
                      <w:lang w:bidi="ar"/>
                    </w:rPr>
                  </w:pPr>
                  <w:r>
                    <w:rPr>
                      <w:color w:val="auto"/>
                      <w:kern w:val="0"/>
                      <w:szCs w:val="21"/>
                      <w:lang w:bidi="ar"/>
                    </w:rPr>
                    <w:t>0.035</w:t>
                  </w:r>
                </w:p>
              </w:tc>
              <w:tc>
                <w:tcPr>
                  <w:tcW w:w="637" w:type="pct"/>
                  <w:tcBorders>
                    <w:top w:val="single" w:color="000000" w:sz="4" w:space="0"/>
                    <w:left w:val="single" w:color="000000" w:sz="4" w:space="0"/>
                    <w:bottom w:val="single" w:color="000000" w:sz="4" w:space="0"/>
                    <w:right w:val="single" w:color="000000" w:sz="4" w:space="0"/>
                  </w:tcBorders>
                  <w:vAlign w:val="center"/>
                </w:tcPr>
                <w:p w14:paraId="40E23492">
                  <w:pPr>
                    <w:widowControl/>
                    <w:jc w:val="center"/>
                    <w:textAlignment w:val="center"/>
                    <w:rPr>
                      <w:color w:val="auto"/>
                      <w:kern w:val="0"/>
                      <w:szCs w:val="21"/>
                      <w:lang w:bidi="ar"/>
                    </w:rPr>
                  </w:pPr>
                  <w:r>
                    <w:rPr>
                      <w:color w:val="auto"/>
                      <w:kern w:val="0"/>
                      <w:szCs w:val="21"/>
                      <w:lang w:bidi="ar"/>
                    </w:rPr>
                    <w:t>1.635</w:t>
                  </w:r>
                </w:p>
              </w:tc>
              <w:tc>
                <w:tcPr>
                  <w:tcW w:w="549" w:type="pct"/>
                  <w:tcBorders>
                    <w:top w:val="single" w:color="000000" w:sz="4" w:space="0"/>
                    <w:left w:val="single" w:color="000000" w:sz="4" w:space="0"/>
                    <w:bottom w:val="single" w:color="000000" w:sz="4" w:space="0"/>
                    <w:right w:val="single" w:color="000000" w:sz="4" w:space="0"/>
                  </w:tcBorders>
                  <w:vAlign w:val="center"/>
                </w:tcPr>
                <w:p w14:paraId="410792D1">
                  <w:pPr>
                    <w:widowControl/>
                    <w:jc w:val="center"/>
                    <w:textAlignment w:val="center"/>
                    <w:rPr>
                      <w:color w:val="auto"/>
                      <w:kern w:val="0"/>
                      <w:szCs w:val="21"/>
                      <w:lang w:bidi="ar"/>
                    </w:rPr>
                  </w:pPr>
                  <w:r>
                    <w:rPr>
                      <w:color w:val="auto"/>
                      <w:kern w:val="0"/>
                      <w:szCs w:val="21"/>
                      <w:lang w:bidi="ar"/>
                    </w:rPr>
                    <w:t>0.05</w:t>
                  </w:r>
                </w:p>
              </w:tc>
              <w:tc>
                <w:tcPr>
                  <w:tcW w:w="629" w:type="pct"/>
                  <w:tcBorders>
                    <w:top w:val="single" w:color="000000" w:sz="4" w:space="0"/>
                    <w:left w:val="single" w:color="000000" w:sz="4" w:space="0"/>
                    <w:bottom w:val="single" w:color="000000" w:sz="4" w:space="0"/>
                    <w:right w:val="single" w:color="000000" w:sz="4" w:space="0"/>
                  </w:tcBorders>
                  <w:vAlign w:val="center"/>
                </w:tcPr>
                <w:p w14:paraId="5A98243B">
                  <w:pPr>
                    <w:widowControl/>
                    <w:jc w:val="center"/>
                    <w:textAlignment w:val="center"/>
                    <w:rPr>
                      <w:color w:val="auto"/>
                      <w:kern w:val="0"/>
                      <w:szCs w:val="21"/>
                      <w:lang w:bidi="ar"/>
                    </w:rPr>
                  </w:pPr>
                  <w:r>
                    <w:rPr>
                      <w:color w:val="auto"/>
                      <w:kern w:val="0"/>
                      <w:szCs w:val="21"/>
                      <w:lang w:bidi="ar"/>
                    </w:rPr>
                    <w:t>原药仓</w:t>
                  </w:r>
                </w:p>
              </w:tc>
              <w:tc>
                <w:tcPr>
                  <w:tcW w:w="455" w:type="pct"/>
                  <w:tcBorders>
                    <w:top w:val="single" w:color="000000" w:sz="4" w:space="0"/>
                    <w:left w:val="single" w:color="000000" w:sz="4" w:space="0"/>
                    <w:bottom w:val="single" w:color="000000" w:sz="4" w:space="0"/>
                    <w:right w:val="single" w:color="000000" w:sz="4" w:space="0"/>
                  </w:tcBorders>
                  <w:vAlign w:val="center"/>
                </w:tcPr>
                <w:p w14:paraId="19B2D024">
                  <w:pPr>
                    <w:widowControl/>
                    <w:jc w:val="center"/>
                    <w:textAlignment w:val="center"/>
                    <w:rPr>
                      <w:color w:val="auto"/>
                      <w:kern w:val="0"/>
                      <w:szCs w:val="21"/>
                      <w:lang w:bidi="ar"/>
                    </w:rPr>
                  </w:pPr>
                  <w:r>
                    <w:rPr>
                      <w:color w:val="auto"/>
                      <w:kern w:val="0"/>
                      <w:szCs w:val="21"/>
                      <w:lang w:bidi="ar"/>
                    </w:rPr>
                    <w:t>液体</w:t>
                  </w:r>
                </w:p>
              </w:tc>
            </w:tr>
            <w:tr w14:paraId="3D2B7A58">
              <w:tblPrEx>
                <w:tblCellMar>
                  <w:top w:w="0" w:type="dxa"/>
                  <w:left w:w="108" w:type="dxa"/>
                  <w:bottom w:w="0" w:type="dxa"/>
                  <w:right w:w="108" w:type="dxa"/>
                </w:tblCellMar>
              </w:tblPrEx>
              <w:trPr>
                <w:trHeight w:val="488" w:hRule="atLeast"/>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01F218FC">
                  <w:pPr>
                    <w:widowControl/>
                    <w:numPr>
                      <w:ilvl w:val="0"/>
                      <w:numId w:val="16"/>
                    </w:numPr>
                    <w:tabs>
                      <w:tab w:val="clear" w:pos="0"/>
                    </w:tabs>
                    <w:spacing w:line="260" w:lineRule="exact"/>
                    <w:jc w:val="center"/>
                    <w:textAlignment w:val="center"/>
                    <w:rPr>
                      <w:color w:val="auto"/>
                      <w:szCs w:val="21"/>
                    </w:rPr>
                  </w:pPr>
                </w:p>
              </w:tc>
              <w:tc>
                <w:tcPr>
                  <w:tcW w:w="859" w:type="pct"/>
                  <w:tcBorders>
                    <w:top w:val="single" w:color="000000" w:sz="4" w:space="0"/>
                    <w:left w:val="single" w:color="000000" w:sz="4" w:space="0"/>
                    <w:bottom w:val="single" w:color="000000" w:sz="4" w:space="0"/>
                    <w:right w:val="single" w:color="000000" w:sz="4" w:space="0"/>
                  </w:tcBorders>
                  <w:vAlign w:val="center"/>
                </w:tcPr>
                <w:p w14:paraId="3FB53385">
                  <w:pPr>
                    <w:widowControl/>
                    <w:jc w:val="center"/>
                    <w:textAlignment w:val="center"/>
                    <w:rPr>
                      <w:color w:val="auto"/>
                      <w:kern w:val="0"/>
                      <w:szCs w:val="21"/>
                      <w:lang w:bidi="ar"/>
                    </w:rPr>
                  </w:pPr>
                  <w:r>
                    <w:rPr>
                      <w:color w:val="auto"/>
                      <w:kern w:val="0"/>
                      <w:szCs w:val="21"/>
                      <w:lang w:bidi="ar"/>
                    </w:rPr>
                    <w:t>煤油（轻质白油）</w:t>
                  </w:r>
                </w:p>
              </w:tc>
              <w:tc>
                <w:tcPr>
                  <w:tcW w:w="713" w:type="pct"/>
                  <w:tcBorders>
                    <w:top w:val="single" w:color="000000" w:sz="4" w:space="0"/>
                    <w:left w:val="single" w:color="000000" w:sz="4" w:space="0"/>
                    <w:bottom w:val="single" w:color="000000" w:sz="4" w:space="0"/>
                    <w:right w:val="single" w:color="000000" w:sz="4" w:space="0"/>
                  </w:tcBorders>
                  <w:vAlign w:val="center"/>
                </w:tcPr>
                <w:p w14:paraId="25864319">
                  <w:pPr>
                    <w:widowControl/>
                    <w:jc w:val="center"/>
                    <w:textAlignment w:val="center"/>
                    <w:rPr>
                      <w:color w:val="auto"/>
                      <w:kern w:val="0"/>
                      <w:szCs w:val="21"/>
                      <w:lang w:bidi="ar"/>
                    </w:rPr>
                  </w:pPr>
                  <w:r>
                    <w:rPr>
                      <w:color w:val="auto"/>
                      <w:kern w:val="0"/>
                      <w:szCs w:val="21"/>
                      <w:lang w:bidi="ar"/>
                    </w:rPr>
                    <w:t>30</w:t>
                  </w:r>
                </w:p>
              </w:tc>
              <w:tc>
                <w:tcPr>
                  <w:tcW w:w="696" w:type="pct"/>
                  <w:tcBorders>
                    <w:top w:val="single" w:color="000000" w:sz="4" w:space="0"/>
                    <w:left w:val="single" w:color="000000" w:sz="4" w:space="0"/>
                    <w:bottom w:val="single" w:color="000000" w:sz="4" w:space="0"/>
                    <w:right w:val="single" w:color="000000" w:sz="4" w:space="0"/>
                  </w:tcBorders>
                  <w:vAlign w:val="center"/>
                </w:tcPr>
                <w:p w14:paraId="2AC8CF07">
                  <w:pPr>
                    <w:widowControl/>
                    <w:jc w:val="center"/>
                    <w:textAlignment w:val="center"/>
                    <w:rPr>
                      <w:color w:val="auto"/>
                      <w:kern w:val="0"/>
                      <w:szCs w:val="21"/>
                      <w:lang w:bidi="ar"/>
                    </w:rPr>
                  </w:pPr>
                  <w:r>
                    <w:rPr>
                      <w:color w:val="auto"/>
                      <w:kern w:val="0"/>
                      <w:szCs w:val="21"/>
                      <w:lang w:bidi="ar"/>
                    </w:rPr>
                    <w:t>3.35</w:t>
                  </w:r>
                </w:p>
              </w:tc>
              <w:tc>
                <w:tcPr>
                  <w:tcW w:w="637" w:type="pct"/>
                  <w:tcBorders>
                    <w:top w:val="single" w:color="000000" w:sz="4" w:space="0"/>
                    <w:left w:val="single" w:color="000000" w:sz="4" w:space="0"/>
                    <w:bottom w:val="single" w:color="000000" w:sz="4" w:space="0"/>
                    <w:right w:val="single" w:color="000000" w:sz="4" w:space="0"/>
                  </w:tcBorders>
                  <w:vAlign w:val="center"/>
                </w:tcPr>
                <w:p w14:paraId="74BB1B2D">
                  <w:pPr>
                    <w:widowControl/>
                    <w:jc w:val="center"/>
                    <w:textAlignment w:val="center"/>
                    <w:rPr>
                      <w:color w:val="auto"/>
                      <w:kern w:val="0"/>
                      <w:szCs w:val="21"/>
                      <w:lang w:bidi="ar"/>
                    </w:rPr>
                  </w:pPr>
                  <w:r>
                    <w:rPr>
                      <w:color w:val="auto"/>
                      <w:kern w:val="0"/>
                      <w:szCs w:val="21"/>
                      <w:lang w:bidi="ar"/>
                    </w:rPr>
                    <w:t>33.35</w:t>
                  </w:r>
                </w:p>
              </w:tc>
              <w:tc>
                <w:tcPr>
                  <w:tcW w:w="549" w:type="pct"/>
                  <w:tcBorders>
                    <w:top w:val="single" w:color="000000" w:sz="4" w:space="0"/>
                    <w:left w:val="single" w:color="000000" w:sz="4" w:space="0"/>
                    <w:bottom w:val="single" w:color="000000" w:sz="4" w:space="0"/>
                    <w:right w:val="single" w:color="000000" w:sz="4" w:space="0"/>
                  </w:tcBorders>
                  <w:vAlign w:val="center"/>
                </w:tcPr>
                <w:p w14:paraId="490E932B">
                  <w:pPr>
                    <w:widowControl/>
                    <w:jc w:val="center"/>
                    <w:textAlignment w:val="center"/>
                    <w:rPr>
                      <w:color w:val="auto"/>
                      <w:kern w:val="0"/>
                      <w:szCs w:val="21"/>
                      <w:lang w:bidi="ar"/>
                    </w:rPr>
                  </w:pPr>
                  <w:r>
                    <w:rPr>
                      <w:color w:val="auto"/>
                      <w:kern w:val="0"/>
                      <w:szCs w:val="21"/>
                      <w:lang w:bidi="ar"/>
                    </w:rPr>
                    <w:t>0.165</w:t>
                  </w:r>
                </w:p>
              </w:tc>
              <w:tc>
                <w:tcPr>
                  <w:tcW w:w="629" w:type="pct"/>
                  <w:tcBorders>
                    <w:top w:val="single" w:color="000000" w:sz="4" w:space="0"/>
                    <w:left w:val="single" w:color="000000" w:sz="4" w:space="0"/>
                    <w:bottom w:val="single" w:color="000000" w:sz="4" w:space="0"/>
                    <w:right w:val="single" w:color="000000" w:sz="4" w:space="0"/>
                  </w:tcBorders>
                  <w:vAlign w:val="center"/>
                </w:tcPr>
                <w:p w14:paraId="4F30C258">
                  <w:pPr>
                    <w:widowControl/>
                    <w:jc w:val="center"/>
                    <w:textAlignment w:val="center"/>
                    <w:rPr>
                      <w:color w:val="auto"/>
                      <w:kern w:val="0"/>
                      <w:szCs w:val="21"/>
                      <w:lang w:bidi="ar"/>
                    </w:rPr>
                  </w:pPr>
                  <w:r>
                    <w:rPr>
                      <w:color w:val="auto"/>
                      <w:kern w:val="0"/>
                      <w:szCs w:val="21"/>
                      <w:lang w:bidi="ar"/>
                    </w:rPr>
                    <w:t>原料仓</w:t>
                  </w:r>
                </w:p>
              </w:tc>
              <w:tc>
                <w:tcPr>
                  <w:tcW w:w="455" w:type="pct"/>
                  <w:tcBorders>
                    <w:top w:val="single" w:color="000000" w:sz="4" w:space="0"/>
                    <w:left w:val="single" w:color="000000" w:sz="4" w:space="0"/>
                    <w:bottom w:val="single" w:color="000000" w:sz="4" w:space="0"/>
                    <w:right w:val="single" w:color="000000" w:sz="4" w:space="0"/>
                  </w:tcBorders>
                  <w:vAlign w:val="center"/>
                </w:tcPr>
                <w:p w14:paraId="1C9C8F20">
                  <w:pPr>
                    <w:widowControl/>
                    <w:jc w:val="center"/>
                    <w:textAlignment w:val="center"/>
                    <w:rPr>
                      <w:color w:val="auto"/>
                      <w:kern w:val="0"/>
                      <w:szCs w:val="21"/>
                      <w:lang w:bidi="ar"/>
                    </w:rPr>
                  </w:pPr>
                  <w:r>
                    <w:rPr>
                      <w:color w:val="auto"/>
                      <w:kern w:val="0"/>
                      <w:szCs w:val="21"/>
                      <w:lang w:bidi="ar"/>
                    </w:rPr>
                    <w:t>液体</w:t>
                  </w:r>
                </w:p>
              </w:tc>
            </w:tr>
            <w:tr w14:paraId="15F0DD7B">
              <w:tblPrEx>
                <w:tblCellMar>
                  <w:top w:w="0" w:type="dxa"/>
                  <w:left w:w="108" w:type="dxa"/>
                  <w:bottom w:w="0" w:type="dxa"/>
                  <w:right w:w="108" w:type="dxa"/>
                </w:tblCellMar>
              </w:tblPrEx>
              <w:trPr>
                <w:trHeight w:val="488" w:hRule="atLeast"/>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480152E4">
                  <w:pPr>
                    <w:widowControl/>
                    <w:numPr>
                      <w:ilvl w:val="0"/>
                      <w:numId w:val="16"/>
                    </w:numPr>
                    <w:tabs>
                      <w:tab w:val="clear" w:pos="0"/>
                    </w:tabs>
                    <w:spacing w:line="260" w:lineRule="exact"/>
                    <w:jc w:val="center"/>
                    <w:textAlignment w:val="center"/>
                    <w:rPr>
                      <w:color w:val="auto"/>
                      <w:szCs w:val="21"/>
                    </w:rPr>
                  </w:pPr>
                </w:p>
              </w:tc>
              <w:tc>
                <w:tcPr>
                  <w:tcW w:w="859" w:type="pct"/>
                  <w:tcBorders>
                    <w:top w:val="single" w:color="000000" w:sz="4" w:space="0"/>
                    <w:left w:val="single" w:color="000000" w:sz="4" w:space="0"/>
                    <w:bottom w:val="single" w:color="000000" w:sz="4" w:space="0"/>
                    <w:right w:val="single" w:color="000000" w:sz="4" w:space="0"/>
                  </w:tcBorders>
                  <w:vAlign w:val="center"/>
                </w:tcPr>
                <w:p w14:paraId="75D5D542">
                  <w:pPr>
                    <w:widowControl/>
                    <w:jc w:val="center"/>
                    <w:textAlignment w:val="center"/>
                    <w:rPr>
                      <w:color w:val="auto"/>
                      <w:kern w:val="0"/>
                      <w:szCs w:val="21"/>
                      <w:lang w:bidi="ar"/>
                    </w:rPr>
                  </w:pPr>
                  <w:r>
                    <w:rPr>
                      <w:color w:val="auto"/>
                      <w:kern w:val="0"/>
                      <w:szCs w:val="21"/>
                      <w:lang w:bidi="ar"/>
                    </w:rPr>
                    <w:t>分装空瓶</w:t>
                  </w:r>
                </w:p>
              </w:tc>
              <w:tc>
                <w:tcPr>
                  <w:tcW w:w="713" w:type="pct"/>
                  <w:tcBorders>
                    <w:top w:val="single" w:color="000000" w:sz="4" w:space="0"/>
                    <w:left w:val="single" w:color="000000" w:sz="4" w:space="0"/>
                    <w:bottom w:val="single" w:color="000000" w:sz="4" w:space="0"/>
                    <w:right w:val="single" w:color="000000" w:sz="4" w:space="0"/>
                  </w:tcBorders>
                  <w:vAlign w:val="center"/>
                </w:tcPr>
                <w:p w14:paraId="27633C6A">
                  <w:pPr>
                    <w:widowControl/>
                    <w:jc w:val="center"/>
                    <w:textAlignment w:val="center"/>
                    <w:rPr>
                      <w:color w:val="auto"/>
                      <w:kern w:val="0"/>
                      <w:szCs w:val="21"/>
                      <w:lang w:bidi="ar"/>
                    </w:rPr>
                  </w:pPr>
                  <w:r>
                    <w:rPr>
                      <w:color w:val="auto"/>
                      <w:kern w:val="0"/>
                      <w:szCs w:val="21"/>
                      <w:lang w:bidi="ar"/>
                    </w:rPr>
                    <w:t>/</w:t>
                  </w:r>
                </w:p>
              </w:tc>
              <w:tc>
                <w:tcPr>
                  <w:tcW w:w="696" w:type="pct"/>
                  <w:tcBorders>
                    <w:top w:val="single" w:color="000000" w:sz="4" w:space="0"/>
                    <w:left w:val="single" w:color="000000" w:sz="4" w:space="0"/>
                    <w:bottom w:val="single" w:color="000000" w:sz="4" w:space="0"/>
                    <w:right w:val="single" w:color="000000" w:sz="4" w:space="0"/>
                  </w:tcBorders>
                  <w:vAlign w:val="center"/>
                </w:tcPr>
                <w:p w14:paraId="251176AA">
                  <w:pPr>
                    <w:widowControl/>
                    <w:jc w:val="center"/>
                    <w:textAlignment w:val="center"/>
                    <w:rPr>
                      <w:color w:val="auto"/>
                      <w:kern w:val="0"/>
                      <w:szCs w:val="21"/>
                      <w:lang w:bidi="ar"/>
                    </w:rPr>
                  </w:pPr>
                  <w:r>
                    <w:rPr>
                      <w:color w:val="auto"/>
                      <w:kern w:val="0"/>
                      <w:szCs w:val="21"/>
                      <w:lang w:bidi="ar"/>
                    </w:rPr>
                    <w:t>10万瓶</w:t>
                  </w:r>
                </w:p>
              </w:tc>
              <w:tc>
                <w:tcPr>
                  <w:tcW w:w="637" w:type="pct"/>
                  <w:tcBorders>
                    <w:top w:val="single" w:color="000000" w:sz="4" w:space="0"/>
                    <w:left w:val="single" w:color="000000" w:sz="4" w:space="0"/>
                    <w:bottom w:val="single" w:color="000000" w:sz="4" w:space="0"/>
                    <w:right w:val="single" w:color="000000" w:sz="4" w:space="0"/>
                  </w:tcBorders>
                  <w:vAlign w:val="center"/>
                </w:tcPr>
                <w:p w14:paraId="2A022E87">
                  <w:pPr>
                    <w:widowControl/>
                    <w:jc w:val="center"/>
                    <w:textAlignment w:val="center"/>
                    <w:rPr>
                      <w:color w:val="auto"/>
                      <w:kern w:val="0"/>
                      <w:szCs w:val="21"/>
                      <w:lang w:bidi="ar"/>
                    </w:rPr>
                  </w:pPr>
                  <w:r>
                    <w:rPr>
                      <w:color w:val="auto"/>
                      <w:kern w:val="0"/>
                      <w:szCs w:val="21"/>
                      <w:lang w:bidi="ar"/>
                    </w:rPr>
                    <w:t>10万瓶</w:t>
                  </w:r>
                </w:p>
              </w:tc>
              <w:tc>
                <w:tcPr>
                  <w:tcW w:w="549" w:type="pct"/>
                  <w:tcBorders>
                    <w:top w:val="single" w:color="000000" w:sz="4" w:space="0"/>
                    <w:left w:val="single" w:color="000000" w:sz="4" w:space="0"/>
                    <w:bottom w:val="single" w:color="000000" w:sz="4" w:space="0"/>
                    <w:right w:val="single" w:color="000000" w:sz="4" w:space="0"/>
                  </w:tcBorders>
                  <w:vAlign w:val="center"/>
                </w:tcPr>
                <w:p w14:paraId="30BFB18F">
                  <w:pPr>
                    <w:widowControl/>
                    <w:jc w:val="center"/>
                    <w:textAlignment w:val="center"/>
                    <w:rPr>
                      <w:color w:val="auto"/>
                      <w:kern w:val="0"/>
                      <w:szCs w:val="21"/>
                      <w:lang w:bidi="ar"/>
                    </w:rPr>
                  </w:pPr>
                  <w:r>
                    <w:rPr>
                      <w:color w:val="auto"/>
                      <w:kern w:val="0"/>
                      <w:szCs w:val="21"/>
                      <w:lang w:bidi="ar"/>
                    </w:rPr>
                    <w:t>1000瓶</w:t>
                  </w:r>
                </w:p>
              </w:tc>
              <w:tc>
                <w:tcPr>
                  <w:tcW w:w="629" w:type="pct"/>
                  <w:tcBorders>
                    <w:top w:val="single" w:color="000000" w:sz="4" w:space="0"/>
                    <w:left w:val="single" w:color="000000" w:sz="4" w:space="0"/>
                    <w:bottom w:val="single" w:color="000000" w:sz="4" w:space="0"/>
                    <w:right w:val="single" w:color="000000" w:sz="4" w:space="0"/>
                  </w:tcBorders>
                  <w:vAlign w:val="center"/>
                </w:tcPr>
                <w:p w14:paraId="450B7D7C">
                  <w:pPr>
                    <w:widowControl/>
                    <w:jc w:val="center"/>
                    <w:textAlignment w:val="center"/>
                    <w:rPr>
                      <w:color w:val="auto"/>
                      <w:kern w:val="0"/>
                      <w:szCs w:val="21"/>
                      <w:lang w:bidi="ar"/>
                    </w:rPr>
                  </w:pPr>
                  <w:r>
                    <w:rPr>
                      <w:rFonts w:hint="eastAsia"/>
                      <w:color w:val="auto"/>
                      <w:kern w:val="0"/>
                      <w:szCs w:val="21"/>
                      <w:lang w:val="en-US" w:eastAsia="zh-CN" w:bidi="ar"/>
                    </w:rPr>
                    <w:t>仓库区</w:t>
                  </w:r>
                </w:p>
              </w:tc>
              <w:tc>
                <w:tcPr>
                  <w:tcW w:w="455" w:type="pct"/>
                  <w:tcBorders>
                    <w:top w:val="single" w:color="000000" w:sz="4" w:space="0"/>
                    <w:left w:val="single" w:color="000000" w:sz="4" w:space="0"/>
                    <w:bottom w:val="single" w:color="000000" w:sz="4" w:space="0"/>
                    <w:right w:val="single" w:color="000000" w:sz="4" w:space="0"/>
                  </w:tcBorders>
                  <w:vAlign w:val="center"/>
                </w:tcPr>
                <w:p w14:paraId="64D9E346">
                  <w:pPr>
                    <w:widowControl/>
                    <w:jc w:val="center"/>
                    <w:textAlignment w:val="center"/>
                    <w:rPr>
                      <w:color w:val="auto"/>
                      <w:kern w:val="0"/>
                      <w:szCs w:val="21"/>
                      <w:lang w:bidi="ar"/>
                    </w:rPr>
                  </w:pPr>
                  <w:r>
                    <w:rPr>
                      <w:color w:val="auto"/>
                      <w:kern w:val="0"/>
                      <w:szCs w:val="21"/>
                      <w:lang w:bidi="ar"/>
                    </w:rPr>
                    <w:t>固体</w:t>
                  </w:r>
                </w:p>
              </w:tc>
            </w:tr>
            <w:tr w14:paraId="3C2E28E0">
              <w:tblPrEx>
                <w:tblCellMar>
                  <w:top w:w="0" w:type="dxa"/>
                  <w:left w:w="108" w:type="dxa"/>
                  <w:bottom w:w="0" w:type="dxa"/>
                  <w:right w:w="108" w:type="dxa"/>
                </w:tblCellMar>
              </w:tblPrEx>
              <w:trPr>
                <w:trHeight w:val="488" w:hRule="atLeast"/>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546D847C">
                  <w:pPr>
                    <w:widowControl/>
                    <w:numPr>
                      <w:ilvl w:val="0"/>
                      <w:numId w:val="16"/>
                    </w:numPr>
                    <w:tabs>
                      <w:tab w:val="clear" w:pos="0"/>
                    </w:tabs>
                    <w:spacing w:line="260" w:lineRule="exact"/>
                    <w:jc w:val="center"/>
                    <w:textAlignment w:val="center"/>
                    <w:rPr>
                      <w:color w:val="auto"/>
                      <w:szCs w:val="21"/>
                    </w:rPr>
                  </w:pPr>
                </w:p>
              </w:tc>
              <w:tc>
                <w:tcPr>
                  <w:tcW w:w="859" w:type="pct"/>
                  <w:tcBorders>
                    <w:top w:val="single" w:color="000000" w:sz="4" w:space="0"/>
                    <w:left w:val="single" w:color="000000" w:sz="4" w:space="0"/>
                    <w:bottom w:val="single" w:color="000000" w:sz="4" w:space="0"/>
                    <w:right w:val="single" w:color="000000" w:sz="4" w:space="0"/>
                  </w:tcBorders>
                  <w:vAlign w:val="center"/>
                </w:tcPr>
                <w:p w14:paraId="088069DC">
                  <w:pPr>
                    <w:widowControl/>
                    <w:jc w:val="center"/>
                    <w:textAlignment w:val="center"/>
                    <w:rPr>
                      <w:color w:val="auto"/>
                      <w:kern w:val="0"/>
                      <w:szCs w:val="21"/>
                      <w:lang w:bidi="ar"/>
                    </w:rPr>
                  </w:pPr>
                  <w:r>
                    <w:rPr>
                      <w:color w:val="auto"/>
                      <w:kern w:val="0"/>
                      <w:szCs w:val="21"/>
                      <w:lang w:bidi="ar"/>
                    </w:rPr>
                    <w:t>芯棒</w:t>
                  </w:r>
                </w:p>
              </w:tc>
              <w:tc>
                <w:tcPr>
                  <w:tcW w:w="713" w:type="pct"/>
                  <w:tcBorders>
                    <w:top w:val="single" w:color="000000" w:sz="4" w:space="0"/>
                    <w:left w:val="single" w:color="000000" w:sz="4" w:space="0"/>
                    <w:bottom w:val="single" w:color="000000" w:sz="4" w:space="0"/>
                    <w:right w:val="single" w:color="000000" w:sz="4" w:space="0"/>
                  </w:tcBorders>
                  <w:vAlign w:val="center"/>
                </w:tcPr>
                <w:p w14:paraId="4169C41C">
                  <w:pPr>
                    <w:widowControl/>
                    <w:jc w:val="center"/>
                    <w:textAlignment w:val="center"/>
                    <w:rPr>
                      <w:color w:val="auto"/>
                      <w:kern w:val="0"/>
                      <w:szCs w:val="21"/>
                      <w:lang w:bidi="ar"/>
                    </w:rPr>
                  </w:pPr>
                  <w:r>
                    <w:rPr>
                      <w:color w:val="auto"/>
                      <w:kern w:val="0"/>
                      <w:szCs w:val="21"/>
                      <w:lang w:bidi="ar"/>
                    </w:rPr>
                    <w:t>/</w:t>
                  </w:r>
                </w:p>
              </w:tc>
              <w:tc>
                <w:tcPr>
                  <w:tcW w:w="696" w:type="pct"/>
                  <w:tcBorders>
                    <w:top w:val="single" w:color="000000" w:sz="4" w:space="0"/>
                    <w:left w:val="single" w:color="000000" w:sz="4" w:space="0"/>
                    <w:bottom w:val="single" w:color="000000" w:sz="4" w:space="0"/>
                    <w:right w:val="single" w:color="000000" w:sz="4" w:space="0"/>
                  </w:tcBorders>
                  <w:vAlign w:val="center"/>
                </w:tcPr>
                <w:p w14:paraId="11953FF0">
                  <w:pPr>
                    <w:widowControl/>
                    <w:jc w:val="center"/>
                    <w:textAlignment w:val="center"/>
                    <w:rPr>
                      <w:color w:val="auto"/>
                      <w:kern w:val="0"/>
                      <w:szCs w:val="21"/>
                      <w:lang w:bidi="ar"/>
                    </w:rPr>
                  </w:pPr>
                  <w:r>
                    <w:rPr>
                      <w:color w:val="auto"/>
                      <w:kern w:val="0"/>
                      <w:szCs w:val="21"/>
                      <w:lang w:bidi="ar"/>
                    </w:rPr>
                    <w:t>10万只</w:t>
                  </w:r>
                </w:p>
              </w:tc>
              <w:tc>
                <w:tcPr>
                  <w:tcW w:w="637" w:type="pct"/>
                  <w:tcBorders>
                    <w:top w:val="single" w:color="000000" w:sz="4" w:space="0"/>
                    <w:left w:val="single" w:color="000000" w:sz="4" w:space="0"/>
                    <w:bottom w:val="single" w:color="000000" w:sz="4" w:space="0"/>
                    <w:right w:val="single" w:color="000000" w:sz="4" w:space="0"/>
                  </w:tcBorders>
                  <w:vAlign w:val="center"/>
                </w:tcPr>
                <w:p w14:paraId="25C2A4E5">
                  <w:pPr>
                    <w:widowControl/>
                    <w:jc w:val="center"/>
                    <w:textAlignment w:val="center"/>
                    <w:rPr>
                      <w:color w:val="auto"/>
                      <w:kern w:val="0"/>
                      <w:szCs w:val="21"/>
                      <w:lang w:bidi="ar"/>
                    </w:rPr>
                  </w:pPr>
                  <w:r>
                    <w:rPr>
                      <w:color w:val="auto"/>
                      <w:kern w:val="0"/>
                      <w:szCs w:val="21"/>
                      <w:lang w:bidi="ar"/>
                    </w:rPr>
                    <w:t>10万只</w:t>
                  </w:r>
                </w:p>
              </w:tc>
              <w:tc>
                <w:tcPr>
                  <w:tcW w:w="549" w:type="pct"/>
                  <w:tcBorders>
                    <w:top w:val="single" w:color="000000" w:sz="4" w:space="0"/>
                    <w:left w:val="single" w:color="000000" w:sz="4" w:space="0"/>
                    <w:bottom w:val="single" w:color="000000" w:sz="4" w:space="0"/>
                    <w:right w:val="single" w:color="000000" w:sz="4" w:space="0"/>
                  </w:tcBorders>
                  <w:vAlign w:val="center"/>
                </w:tcPr>
                <w:p w14:paraId="373C9C57">
                  <w:pPr>
                    <w:widowControl/>
                    <w:jc w:val="center"/>
                    <w:textAlignment w:val="center"/>
                    <w:rPr>
                      <w:rFonts w:hint="eastAsia" w:eastAsia="宋体"/>
                      <w:color w:val="auto"/>
                      <w:kern w:val="0"/>
                      <w:szCs w:val="21"/>
                      <w:lang w:eastAsia="zh-CN" w:bidi="ar"/>
                    </w:rPr>
                  </w:pPr>
                  <w:r>
                    <w:rPr>
                      <w:color w:val="auto"/>
                      <w:kern w:val="0"/>
                      <w:szCs w:val="21"/>
                      <w:lang w:bidi="ar"/>
                    </w:rPr>
                    <w:t>1000</w:t>
                  </w:r>
                  <w:r>
                    <w:rPr>
                      <w:rFonts w:hint="eastAsia"/>
                      <w:color w:val="auto"/>
                      <w:kern w:val="0"/>
                      <w:szCs w:val="21"/>
                      <w:lang w:val="en-US" w:eastAsia="zh-CN" w:bidi="ar"/>
                    </w:rPr>
                    <w:t>只</w:t>
                  </w:r>
                </w:p>
              </w:tc>
              <w:tc>
                <w:tcPr>
                  <w:tcW w:w="629" w:type="pct"/>
                  <w:tcBorders>
                    <w:top w:val="single" w:color="000000" w:sz="4" w:space="0"/>
                    <w:left w:val="single" w:color="000000" w:sz="4" w:space="0"/>
                    <w:bottom w:val="single" w:color="000000" w:sz="4" w:space="0"/>
                    <w:right w:val="single" w:color="000000" w:sz="4" w:space="0"/>
                  </w:tcBorders>
                  <w:vAlign w:val="center"/>
                </w:tcPr>
                <w:p w14:paraId="2B468375">
                  <w:pPr>
                    <w:widowControl/>
                    <w:jc w:val="center"/>
                    <w:textAlignment w:val="center"/>
                    <w:rPr>
                      <w:color w:val="auto"/>
                      <w:kern w:val="0"/>
                      <w:szCs w:val="21"/>
                      <w:lang w:bidi="ar"/>
                    </w:rPr>
                  </w:pPr>
                  <w:r>
                    <w:rPr>
                      <w:rFonts w:hint="eastAsia"/>
                      <w:color w:val="auto"/>
                      <w:kern w:val="0"/>
                      <w:szCs w:val="21"/>
                      <w:lang w:val="en-US" w:eastAsia="zh-CN" w:bidi="ar"/>
                    </w:rPr>
                    <w:t>仓库区</w:t>
                  </w:r>
                </w:p>
              </w:tc>
              <w:tc>
                <w:tcPr>
                  <w:tcW w:w="455" w:type="pct"/>
                  <w:tcBorders>
                    <w:top w:val="single" w:color="000000" w:sz="4" w:space="0"/>
                    <w:left w:val="single" w:color="000000" w:sz="4" w:space="0"/>
                    <w:bottom w:val="single" w:color="000000" w:sz="4" w:space="0"/>
                    <w:right w:val="single" w:color="000000" w:sz="4" w:space="0"/>
                  </w:tcBorders>
                  <w:vAlign w:val="center"/>
                </w:tcPr>
                <w:p w14:paraId="4B2DEEC7">
                  <w:pPr>
                    <w:widowControl/>
                    <w:jc w:val="center"/>
                    <w:textAlignment w:val="center"/>
                    <w:rPr>
                      <w:color w:val="auto"/>
                      <w:kern w:val="0"/>
                      <w:szCs w:val="21"/>
                      <w:lang w:bidi="ar"/>
                    </w:rPr>
                  </w:pPr>
                  <w:r>
                    <w:rPr>
                      <w:color w:val="auto"/>
                      <w:kern w:val="0"/>
                      <w:szCs w:val="21"/>
                      <w:lang w:bidi="ar"/>
                    </w:rPr>
                    <w:t>固体</w:t>
                  </w:r>
                </w:p>
              </w:tc>
            </w:tr>
          </w:tbl>
          <w:p w14:paraId="51E2F862">
            <w:pPr>
              <w:widowControl/>
              <w:adjustRightInd w:val="0"/>
              <w:snapToGrid w:val="0"/>
              <w:spacing w:line="360" w:lineRule="auto"/>
              <w:ind w:firstLine="480" w:firstLineChars="200"/>
              <w:jc w:val="left"/>
              <w:rPr>
                <w:color w:val="auto"/>
                <w:sz w:val="24"/>
                <w:szCs w:val="24"/>
              </w:rPr>
            </w:pPr>
            <w:r>
              <w:rPr>
                <w:color w:val="auto"/>
                <w:sz w:val="24"/>
                <w:szCs w:val="24"/>
              </w:rPr>
              <w:t xml:space="preserve">本项目原辅料的理化性质如下： </w:t>
            </w:r>
          </w:p>
          <w:p w14:paraId="0B5FADBB">
            <w:pPr>
              <w:widowControl/>
              <w:adjustRightInd w:val="0"/>
              <w:snapToGrid w:val="0"/>
              <w:spacing w:line="360" w:lineRule="auto"/>
              <w:ind w:firstLine="482" w:firstLineChars="200"/>
              <w:jc w:val="left"/>
              <w:rPr>
                <w:color w:val="auto"/>
                <w:sz w:val="24"/>
                <w:szCs w:val="24"/>
              </w:rPr>
            </w:pPr>
            <w:r>
              <w:rPr>
                <w:b/>
                <w:bCs/>
                <w:color w:val="auto"/>
                <w:sz w:val="24"/>
                <w:szCs w:val="24"/>
              </w:rPr>
              <w:t>氯氟醚菊酯：</w:t>
            </w:r>
          </w:p>
          <w:p w14:paraId="7098A883">
            <w:pPr>
              <w:widowControl/>
              <w:adjustRightInd w:val="0"/>
              <w:snapToGrid w:val="0"/>
              <w:spacing w:line="360" w:lineRule="auto"/>
              <w:ind w:firstLine="480" w:firstLineChars="200"/>
              <w:jc w:val="left"/>
              <w:rPr>
                <w:color w:val="auto"/>
                <w:sz w:val="24"/>
                <w:szCs w:val="24"/>
              </w:rPr>
            </w:pPr>
            <w:r>
              <w:rPr>
                <w:color w:val="auto"/>
                <w:sz w:val="24"/>
                <w:szCs w:val="24"/>
              </w:rPr>
              <w:t>氯氟醚菊酯，CAS号352271-52-4；化学名称是2,3,5,6-四氟-4 -甲氧甲基苄基（1R,3S）-3- (2,2-二氯乙烯基)-2,2-二甲基环丙烷羧酸酯，分子式C</w:t>
            </w:r>
            <w:r>
              <w:rPr>
                <w:color w:val="auto"/>
                <w:sz w:val="24"/>
                <w:szCs w:val="24"/>
                <w:vertAlign w:val="subscript"/>
              </w:rPr>
              <w:t>17</w:t>
            </w:r>
            <w:r>
              <w:rPr>
                <w:color w:val="auto"/>
                <w:sz w:val="24"/>
                <w:szCs w:val="24"/>
              </w:rPr>
              <w:t>H</w:t>
            </w:r>
            <w:r>
              <w:rPr>
                <w:color w:val="auto"/>
                <w:sz w:val="24"/>
                <w:szCs w:val="24"/>
                <w:vertAlign w:val="subscript"/>
              </w:rPr>
              <w:t>16</w:t>
            </w:r>
            <w:r>
              <w:rPr>
                <w:color w:val="auto"/>
                <w:sz w:val="24"/>
                <w:szCs w:val="24"/>
              </w:rPr>
              <w:t>Cl</w:t>
            </w:r>
            <w:r>
              <w:rPr>
                <w:color w:val="auto"/>
                <w:sz w:val="24"/>
                <w:szCs w:val="24"/>
                <w:vertAlign w:val="subscript"/>
              </w:rPr>
              <w:t>2</w:t>
            </w:r>
            <w:r>
              <w:rPr>
                <w:color w:val="auto"/>
                <w:sz w:val="24"/>
                <w:szCs w:val="24"/>
              </w:rPr>
              <w:t>F</w:t>
            </w:r>
            <w:r>
              <w:rPr>
                <w:color w:val="auto"/>
                <w:sz w:val="24"/>
                <w:szCs w:val="24"/>
                <w:vertAlign w:val="subscript"/>
              </w:rPr>
              <w:t>4</w:t>
            </w:r>
            <w:r>
              <w:rPr>
                <w:color w:val="auto"/>
                <w:sz w:val="24"/>
                <w:szCs w:val="24"/>
              </w:rPr>
              <w:t>O</w:t>
            </w:r>
            <w:r>
              <w:rPr>
                <w:color w:val="auto"/>
                <w:sz w:val="24"/>
                <w:szCs w:val="24"/>
                <w:vertAlign w:val="subscript"/>
              </w:rPr>
              <w:t>3</w:t>
            </w:r>
            <w:r>
              <w:rPr>
                <w:color w:val="auto"/>
                <w:sz w:val="24"/>
                <w:szCs w:val="24"/>
              </w:rPr>
              <w:t>，分子量415.2，属于含氟拟除虫菊酯类化合物。常温下液体状，熔点72-75</w:t>
            </w:r>
            <w:r>
              <w:rPr>
                <w:rFonts w:hint="eastAsia" w:ascii="宋体" w:hAnsi="宋体" w:cs="宋体"/>
                <w:color w:val="auto"/>
                <w:sz w:val="24"/>
                <w:szCs w:val="24"/>
              </w:rPr>
              <w:t>℃</w:t>
            </w:r>
            <w:r>
              <w:rPr>
                <w:color w:val="auto"/>
                <w:sz w:val="24"/>
                <w:szCs w:val="24"/>
              </w:rPr>
              <w:t>，200</w:t>
            </w:r>
            <w:r>
              <w:rPr>
                <w:rFonts w:hint="eastAsia" w:ascii="宋体" w:hAnsi="宋体" w:cs="宋体"/>
                <w:color w:val="auto"/>
                <w:sz w:val="24"/>
                <w:szCs w:val="24"/>
              </w:rPr>
              <w:t>℃</w:t>
            </w:r>
            <w:r>
              <w:rPr>
                <w:color w:val="auto"/>
                <w:sz w:val="24"/>
                <w:szCs w:val="24"/>
              </w:rPr>
              <w:t>时蒸气压686.2Pa，密度约1.442g/cm</w:t>
            </w:r>
            <w:r>
              <w:rPr>
                <w:color w:val="auto"/>
                <w:sz w:val="24"/>
                <w:szCs w:val="24"/>
                <w:vertAlign w:val="superscript"/>
              </w:rPr>
              <w:t>3</w:t>
            </w:r>
            <w:r>
              <w:rPr>
                <w:color w:val="auto"/>
                <w:sz w:val="24"/>
                <w:szCs w:val="24"/>
              </w:rPr>
              <w:t>（20</w:t>
            </w:r>
            <w:r>
              <w:rPr>
                <w:rFonts w:hint="eastAsia" w:ascii="宋体" w:hAnsi="宋体" w:cs="宋体"/>
                <w:color w:val="auto"/>
                <w:sz w:val="24"/>
                <w:szCs w:val="24"/>
              </w:rPr>
              <w:t>℃</w:t>
            </w:r>
            <w:r>
              <w:rPr>
                <w:color w:val="auto"/>
                <w:sz w:val="24"/>
                <w:szCs w:val="24"/>
              </w:rPr>
              <w:t>）。难溶于水，易溶于甲苯、氯仿、丙酮等有机溶剂；酸性和中性条件下稳定，遇强碱易水解，常温下可稳定贮存两年。氯氟醚菊酯</w:t>
            </w:r>
            <w:r>
              <w:rPr>
                <w:rFonts w:hint="eastAsia"/>
                <w:color w:val="auto"/>
                <w:sz w:val="24"/>
                <w:szCs w:val="24"/>
                <w:lang w:val="en-US" w:eastAsia="zh-CN"/>
              </w:rPr>
              <w:t>不属于高毒、高残留</w:t>
            </w:r>
            <w:r>
              <w:rPr>
                <w:rFonts w:hint="eastAsia" w:cs="Times New Roman"/>
                <w:color w:val="auto"/>
                <w:sz w:val="24"/>
                <w:szCs w:val="24"/>
              </w:rPr>
              <w:t>以及对环境或农产品质量安全影响大的农药</w:t>
            </w:r>
            <w:r>
              <w:rPr>
                <w:rFonts w:hint="eastAsia" w:cs="Times New Roman"/>
                <w:color w:val="auto"/>
                <w:sz w:val="24"/>
                <w:szCs w:val="24"/>
                <w:lang w:eastAsia="zh-CN"/>
              </w:rPr>
              <w:t>，</w:t>
            </w:r>
            <w:r>
              <w:rPr>
                <w:color w:val="auto"/>
                <w:sz w:val="24"/>
                <w:szCs w:val="24"/>
              </w:rPr>
              <w:t>对人畜属低毒，大鼠急性经口LD</w:t>
            </w:r>
            <w:r>
              <w:rPr>
                <w:color w:val="auto"/>
                <w:sz w:val="24"/>
                <w:szCs w:val="24"/>
                <w:vertAlign w:val="subscript"/>
              </w:rPr>
              <w:t>50</w:t>
            </w:r>
            <w:r>
              <w:rPr>
                <w:color w:val="auto"/>
                <w:sz w:val="24"/>
                <w:szCs w:val="24"/>
              </w:rPr>
              <w:t>＞500mg/kg，急性经皮LD</w:t>
            </w:r>
            <w:r>
              <w:rPr>
                <w:color w:val="auto"/>
                <w:sz w:val="24"/>
                <w:szCs w:val="24"/>
                <w:vertAlign w:val="subscript"/>
              </w:rPr>
              <w:t>50</w:t>
            </w:r>
            <w:r>
              <w:rPr>
                <w:color w:val="auto"/>
                <w:sz w:val="24"/>
                <w:szCs w:val="24"/>
              </w:rPr>
              <w:t>＞5000mg/kg。其作用机制是与昆虫神经细胞钠离子通道结合，干扰离子流动，造成昆虫神经系统紊乱，最终麻痹死亡，是兼具吸入和触杀作用的杀虫剂。核心用于家用卫生杀虫剂，是蚊香、电蚊香液、杀虫气雾剂等产品的常见有效成分，对蚊、蝇等卫生害虫击倒和杀灭活性强；也可与其他菊酯类成分复配，用于防治蟑螂、跳蚤等爬虫。</w:t>
            </w:r>
          </w:p>
          <w:p w14:paraId="2B8591AB">
            <w:pPr>
              <w:widowControl/>
              <w:adjustRightInd w:val="0"/>
              <w:snapToGrid w:val="0"/>
              <w:spacing w:line="360" w:lineRule="auto"/>
              <w:ind w:firstLine="482" w:firstLineChars="200"/>
              <w:jc w:val="left"/>
              <w:rPr>
                <w:b/>
                <w:bCs/>
                <w:color w:val="auto"/>
                <w:sz w:val="24"/>
                <w:szCs w:val="24"/>
              </w:rPr>
            </w:pPr>
            <w:r>
              <w:rPr>
                <w:b/>
                <w:bCs/>
                <w:color w:val="auto"/>
                <w:sz w:val="24"/>
                <w:szCs w:val="24"/>
              </w:rPr>
              <w:t>煤油（又称液蜡、轻质白油）：</w:t>
            </w:r>
          </w:p>
          <w:p w14:paraId="3E320C23">
            <w:pPr>
              <w:widowControl/>
              <w:adjustRightInd w:val="0"/>
              <w:snapToGrid w:val="0"/>
              <w:spacing w:line="360" w:lineRule="auto"/>
              <w:ind w:firstLine="480" w:firstLineChars="200"/>
              <w:jc w:val="left"/>
              <w:rPr>
                <w:color w:val="auto"/>
                <w:sz w:val="24"/>
                <w:szCs w:val="24"/>
              </w:rPr>
            </w:pPr>
            <w:r>
              <w:rPr>
                <w:color w:val="auto"/>
                <w:sz w:val="24"/>
                <w:szCs w:val="24"/>
              </w:rPr>
              <w:t>轻质石油产品的一类，是低黏度精制矿物油。常温下为无色、透明、无异味的液体，流动性好。运动黏度（40</w:t>
            </w:r>
            <w:r>
              <w:rPr>
                <w:rFonts w:hint="eastAsia" w:ascii="宋体" w:hAnsi="宋体" w:cs="宋体"/>
                <w:color w:val="auto"/>
                <w:sz w:val="24"/>
                <w:szCs w:val="24"/>
              </w:rPr>
              <w:t>℃</w:t>
            </w:r>
            <w:r>
              <w:rPr>
                <w:color w:val="auto"/>
                <w:sz w:val="24"/>
                <w:szCs w:val="24"/>
              </w:rPr>
              <w:t>）：约4.5-5.5 mm</w:t>
            </w:r>
            <w:r>
              <w:rPr>
                <w:color w:val="auto"/>
                <w:sz w:val="24"/>
                <w:szCs w:val="24"/>
                <w:vertAlign w:val="superscript"/>
              </w:rPr>
              <w:t>2</w:t>
            </w:r>
            <w:r>
              <w:rPr>
                <w:color w:val="auto"/>
                <w:sz w:val="24"/>
                <w:szCs w:val="24"/>
              </w:rPr>
              <w:t>/s，凝固点：≤-10</w:t>
            </w:r>
            <w:r>
              <w:rPr>
                <w:rFonts w:hint="eastAsia" w:ascii="宋体" w:hAnsi="宋体" w:cs="宋体"/>
                <w:color w:val="auto"/>
                <w:sz w:val="24"/>
                <w:szCs w:val="24"/>
              </w:rPr>
              <w:t>℃</w:t>
            </w:r>
            <w:r>
              <w:rPr>
                <w:color w:val="auto"/>
                <w:sz w:val="24"/>
                <w:szCs w:val="24"/>
              </w:rPr>
              <w:t>，低温下仍能保持良好流动性，闪点</w:t>
            </w:r>
            <w:r>
              <w:rPr>
                <w:rFonts w:hint="eastAsia"/>
                <w:color w:val="auto"/>
                <w:sz w:val="24"/>
                <w:szCs w:val="24"/>
                <w:lang w:val="en-US" w:eastAsia="zh-CN"/>
              </w:rPr>
              <w:t>103.5</w:t>
            </w:r>
            <w:r>
              <w:rPr>
                <w:rFonts w:hint="eastAsia" w:ascii="宋体" w:hAnsi="宋体" w:cs="宋体"/>
                <w:color w:val="auto"/>
                <w:sz w:val="24"/>
                <w:szCs w:val="24"/>
              </w:rPr>
              <w:t>℃</w:t>
            </w:r>
            <w:r>
              <w:rPr>
                <w:color w:val="auto"/>
                <w:sz w:val="24"/>
                <w:szCs w:val="24"/>
              </w:rPr>
              <w:t>，属于可燃液体，不属于易燃品。平均分子量在200～250之间。密度0.8g/cm</w:t>
            </w:r>
            <w:r>
              <w:rPr>
                <w:color w:val="auto"/>
                <w:sz w:val="24"/>
                <w:szCs w:val="24"/>
                <w:vertAlign w:val="superscript"/>
              </w:rPr>
              <w:t>3</w:t>
            </w:r>
            <w:r>
              <w:rPr>
                <w:color w:val="auto"/>
                <w:sz w:val="24"/>
                <w:szCs w:val="24"/>
              </w:rPr>
              <w:t>。运动黏度40</w:t>
            </w:r>
            <w:r>
              <w:rPr>
                <w:rFonts w:hint="eastAsia" w:ascii="宋体" w:hAnsi="宋体" w:cs="宋体"/>
                <w:color w:val="auto"/>
                <w:sz w:val="24"/>
                <w:szCs w:val="24"/>
              </w:rPr>
              <w:t>℃</w:t>
            </w:r>
            <w:r>
              <w:rPr>
                <w:color w:val="auto"/>
                <w:sz w:val="24"/>
                <w:szCs w:val="24"/>
              </w:rPr>
              <w:t>为1.0～2.0mm</w:t>
            </w:r>
            <w:r>
              <w:rPr>
                <w:color w:val="auto"/>
                <w:sz w:val="24"/>
                <w:szCs w:val="24"/>
                <w:vertAlign w:val="superscript"/>
              </w:rPr>
              <w:t>2</w:t>
            </w:r>
            <w:r>
              <w:rPr>
                <w:color w:val="auto"/>
                <w:sz w:val="24"/>
                <w:szCs w:val="24"/>
              </w:rPr>
              <w:t>/s。几乎不溶于水和乙醇，易溶于苯、甲苯、二甲苯、汽油、柴油等有机溶剂，也可与多数油脂、蜡类混溶。化学性质稳定，不易氧化、燃烧（闪点较高），对光、热、酸、碱（中性至弱碱性）均不敏感，长期储存不易变质。 毒性与安全性：对人体低毒、无刺激性，符合食品级标准的5号液蜡可用于食品加工（如脱模、润滑），也常用于化妆品、塑料助剂、蚊香黏合/助燃等领域，本项目煤油用于原药的稀释剂，原药溶入煤油后喷于蚊香上或制成蚊香液产品。</w:t>
            </w:r>
          </w:p>
          <w:p w14:paraId="21086B57">
            <w:pPr>
              <w:widowControl/>
              <w:adjustRightInd w:val="0"/>
              <w:snapToGrid w:val="0"/>
              <w:spacing w:line="360" w:lineRule="auto"/>
              <w:ind w:firstLine="482" w:firstLineChars="200"/>
              <w:jc w:val="left"/>
              <w:rPr>
                <w:b/>
                <w:bCs/>
                <w:color w:val="auto"/>
                <w:sz w:val="24"/>
                <w:szCs w:val="24"/>
              </w:rPr>
            </w:pPr>
            <w:r>
              <w:rPr>
                <w:b/>
                <w:bCs/>
                <w:color w:val="auto"/>
                <w:sz w:val="24"/>
                <w:szCs w:val="24"/>
              </w:rPr>
              <w:t>香坯：</w:t>
            </w:r>
          </w:p>
          <w:p w14:paraId="5B0AAD2A">
            <w:pPr>
              <w:widowControl/>
              <w:adjustRightInd w:val="0"/>
              <w:snapToGrid w:val="0"/>
              <w:spacing w:line="360" w:lineRule="auto"/>
              <w:ind w:firstLine="480" w:firstLineChars="200"/>
              <w:jc w:val="left"/>
              <w:rPr>
                <w:color w:val="auto"/>
                <w:sz w:val="24"/>
                <w:szCs w:val="24"/>
              </w:rPr>
            </w:pPr>
            <w:r>
              <w:rPr>
                <w:color w:val="auto"/>
                <w:sz w:val="24"/>
                <w:szCs w:val="24"/>
              </w:rPr>
              <w:t>多为螺旋盘状，颜色是淡黄色至浅褐色，优质白坯表面平整光滑、结构密实无明显孔隙。质地坚韧抗折力强，不易断裂破碎，干燥后无刺鼻异味，部分含艾叶粉、柏木粉的白坯会带淡淡的植物清香。燃烧特性：可燃且燃烧稳定，主要成分为木粉、碳粉、黏粉。 物理与化学稳定性：干燥状态下稳定性好，水分含量低，置于阴凉干燥处不易变质；但受潮后易变软、发霉，干燥后会变脆易裂。化学性质稳定，在常温下不与常见物质发生反应，也不会自行分解。</w:t>
            </w:r>
          </w:p>
          <w:p w14:paraId="43A205D1">
            <w:pPr>
              <w:adjustRightInd w:val="0"/>
              <w:snapToGrid w:val="0"/>
              <w:spacing w:line="360" w:lineRule="auto"/>
              <w:ind w:firstLine="482" w:firstLineChars="200"/>
              <w:rPr>
                <w:b/>
                <w:bCs/>
                <w:color w:val="auto"/>
                <w:sz w:val="24"/>
                <w:szCs w:val="24"/>
              </w:rPr>
            </w:pPr>
            <w:r>
              <w:rPr>
                <w:b/>
                <w:bCs/>
                <w:color w:val="auto"/>
                <w:sz w:val="24"/>
                <w:szCs w:val="24"/>
              </w:rPr>
              <w:t>4、主要原辅材料及用量</w:t>
            </w:r>
          </w:p>
          <w:p w14:paraId="39C5E96F">
            <w:pPr>
              <w:jc w:val="center"/>
              <w:rPr>
                <w:b/>
                <w:bCs/>
                <w:color w:val="auto"/>
                <w:sz w:val="24"/>
                <w:szCs w:val="24"/>
              </w:rPr>
            </w:pPr>
            <w:r>
              <w:rPr>
                <w:b/>
                <w:bCs/>
                <w:color w:val="auto"/>
                <w:sz w:val="24"/>
                <w:szCs w:val="24"/>
              </w:rPr>
              <w:t>表</w:t>
            </w:r>
            <w:r>
              <w:rPr>
                <w:b/>
                <w:bCs/>
                <w:color w:val="auto"/>
                <w:sz w:val="24"/>
                <w:szCs w:val="24"/>
              </w:rPr>
              <w:fldChar w:fldCharType="begin"/>
            </w:r>
            <w:r>
              <w:rPr>
                <w:b/>
                <w:bCs/>
                <w:color w:val="auto"/>
                <w:sz w:val="24"/>
                <w:szCs w:val="24"/>
              </w:rPr>
              <w:instrText xml:space="preserve"> SEQ 表 \* ARABIC </w:instrText>
            </w:r>
            <w:r>
              <w:rPr>
                <w:b/>
                <w:bCs/>
                <w:color w:val="auto"/>
                <w:sz w:val="24"/>
                <w:szCs w:val="24"/>
              </w:rPr>
              <w:fldChar w:fldCharType="separate"/>
            </w:r>
            <w:r>
              <w:rPr>
                <w:b/>
                <w:bCs/>
                <w:color w:val="auto"/>
                <w:sz w:val="24"/>
                <w:szCs w:val="24"/>
              </w:rPr>
              <w:t>11</w:t>
            </w:r>
            <w:r>
              <w:rPr>
                <w:b/>
                <w:bCs/>
                <w:color w:val="auto"/>
                <w:sz w:val="24"/>
                <w:szCs w:val="24"/>
              </w:rPr>
              <w:fldChar w:fldCharType="end"/>
            </w:r>
            <w:r>
              <w:rPr>
                <w:b/>
                <w:bCs/>
                <w:color w:val="auto"/>
                <w:sz w:val="24"/>
                <w:szCs w:val="24"/>
              </w:rPr>
              <w:t xml:space="preserve"> 本项目物料平衡表</w:t>
            </w:r>
          </w:p>
          <w:tbl>
            <w:tblPr>
              <w:tblStyle w:val="37"/>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521"/>
              <w:gridCol w:w="1836"/>
              <w:gridCol w:w="2619"/>
              <w:gridCol w:w="2167"/>
            </w:tblGrid>
            <w:tr w14:paraId="2529F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70" w:hRule="atLeast"/>
                <w:jc w:val="center"/>
              </w:trPr>
              <w:tc>
                <w:tcPr>
                  <w:tcW w:w="5000" w:type="pct"/>
                  <w:gridSpan w:val="4"/>
                  <w:tcBorders>
                    <w:top w:val="single" w:color="auto" w:sz="4" w:space="0"/>
                    <w:right w:val="single" w:color="auto" w:sz="4" w:space="0"/>
                  </w:tcBorders>
                  <w:vAlign w:val="center"/>
                </w:tcPr>
                <w:p w14:paraId="78991E3D">
                  <w:pPr>
                    <w:jc w:val="center"/>
                    <w:rPr>
                      <w:b/>
                      <w:bCs/>
                      <w:color w:val="auto"/>
                      <w:szCs w:val="21"/>
                    </w:rPr>
                  </w:pPr>
                  <w:r>
                    <w:rPr>
                      <w:b/>
                      <w:bCs/>
                      <w:color w:val="auto"/>
                      <w:szCs w:val="21"/>
                    </w:rPr>
                    <w:t>盘式蚊香</w:t>
                  </w:r>
                </w:p>
              </w:tc>
            </w:tr>
            <w:tr w14:paraId="47B5E2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383" w:type="pct"/>
                  <w:gridSpan w:val="2"/>
                  <w:tcBorders>
                    <w:left w:val="single" w:color="auto" w:sz="4" w:space="0"/>
                  </w:tcBorders>
                  <w:vAlign w:val="center"/>
                </w:tcPr>
                <w:p w14:paraId="57277730">
                  <w:pPr>
                    <w:jc w:val="center"/>
                    <w:rPr>
                      <w:b/>
                      <w:bCs/>
                      <w:color w:val="auto"/>
                      <w:szCs w:val="21"/>
                    </w:rPr>
                  </w:pPr>
                  <w:r>
                    <w:rPr>
                      <w:b/>
                      <w:bCs/>
                      <w:color w:val="auto"/>
                      <w:szCs w:val="21"/>
                    </w:rPr>
                    <w:t>投入</w:t>
                  </w:r>
                </w:p>
              </w:tc>
              <w:tc>
                <w:tcPr>
                  <w:tcW w:w="2616" w:type="pct"/>
                  <w:gridSpan w:val="2"/>
                  <w:tcBorders>
                    <w:right w:val="single" w:color="auto" w:sz="4" w:space="0"/>
                  </w:tcBorders>
                  <w:vAlign w:val="center"/>
                </w:tcPr>
                <w:p w14:paraId="20145963">
                  <w:pPr>
                    <w:jc w:val="center"/>
                    <w:rPr>
                      <w:b/>
                      <w:bCs/>
                      <w:color w:val="auto"/>
                      <w:szCs w:val="21"/>
                    </w:rPr>
                  </w:pPr>
                  <w:r>
                    <w:rPr>
                      <w:b/>
                      <w:bCs/>
                      <w:color w:val="auto"/>
                      <w:szCs w:val="21"/>
                    </w:rPr>
                    <w:t>产出</w:t>
                  </w:r>
                </w:p>
              </w:tc>
            </w:tr>
            <w:tr w14:paraId="7775FC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379" w:type="pct"/>
                  <w:tcBorders>
                    <w:left w:val="single" w:color="auto" w:sz="4" w:space="0"/>
                  </w:tcBorders>
                  <w:vAlign w:val="center"/>
                </w:tcPr>
                <w:p w14:paraId="27BE9FBE">
                  <w:pPr>
                    <w:jc w:val="center"/>
                    <w:rPr>
                      <w:b/>
                      <w:bCs/>
                      <w:color w:val="auto"/>
                      <w:szCs w:val="21"/>
                    </w:rPr>
                  </w:pPr>
                  <w:r>
                    <w:rPr>
                      <w:b/>
                      <w:bCs/>
                      <w:color w:val="auto"/>
                      <w:szCs w:val="21"/>
                    </w:rPr>
                    <w:t>物料名称</w:t>
                  </w:r>
                </w:p>
              </w:tc>
              <w:tc>
                <w:tcPr>
                  <w:tcW w:w="1004" w:type="pct"/>
                  <w:vAlign w:val="center"/>
                </w:tcPr>
                <w:p w14:paraId="5702F6B1">
                  <w:pPr>
                    <w:jc w:val="center"/>
                    <w:rPr>
                      <w:b/>
                      <w:bCs/>
                      <w:color w:val="auto"/>
                      <w:szCs w:val="21"/>
                    </w:rPr>
                  </w:pPr>
                  <w:r>
                    <w:rPr>
                      <w:b/>
                      <w:bCs/>
                      <w:color w:val="auto"/>
                      <w:szCs w:val="21"/>
                    </w:rPr>
                    <w:t>数量（t/a）</w:t>
                  </w:r>
                </w:p>
              </w:tc>
              <w:tc>
                <w:tcPr>
                  <w:tcW w:w="1432" w:type="pct"/>
                  <w:vAlign w:val="center"/>
                </w:tcPr>
                <w:p w14:paraId="27BEC6C2">
                  <w:pPr>
                    <w:jc w:val="center"/>
                    <w:rPr>
                      <w:b/>
                      <w:bCs/>
                      <w:color w:val="auto"/>
                      <w:szCs w:val="21"/>
                    </w:rPr>
                  </w:pPr>
                  <w:r>
                    <w:rPr>
                      <w:b/>
                      <w:bCs/>
                      <w:color w:val="auto"/>
                      <w:szCs w:val="21"/>
                    </w:rPr>
                    <w:t>物料名称</w:t>
                  </w:r>
                </w:p>
              </w:tc>
              <w:tc>
                <w:tcPr>
                  <w:tcW w:w="1183" w:type="pct"/>
                  <w:tcBorders>
                    <w:right w:val="single" w:color="auto" w:sz="4" w:space="0"/>
                  </w:tcBorders>
                  <w:vAlign w:val="center"/>
                </w:tcPr>
                <w:p w14:paraId="5CDBCDE0">
                  <w:pPr>
                    <w:jc w:val="center"/>
                    <w:rPr>
                      <w:b/>
                      <w:bCs/>
                      <w:color w:val="auto"/>
                      <w:szCs w:val="21"/>
                    </w:rPr>
                  </w:pPr>
                  <w:r>
                    <w:rPr>
                      <w:b/>
                      <w:bCs/>
                      <w:color w:val="auto"/>
                      <w:szCs w:val="21"/>
                    </w:rPr>
                    <w:t>数量（t/a）</w:t>
                  </w:r>
                </w:p>
              </w:tc>
            </w:tr>
            <w:tr w14:paraId="0A99F7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379" w:type="pct"/>
                  <w:tcBorders>
                    <w:left w:val="single" w:color="auto" w:sz="4" w:space="0"/>
                  </w:tcBorders>
                  <w:shd w:val="clear" w:color="auto" w:fill="auto"/>
                  <w:vAlign w:val="center"/>
                </w:tcPr>
                <w:p w14:paraId="046719A0">
                  <w:pPr>
                    <w:widowControl/>
                    <w:jc w:val="center"/>
                    <w:textAlignment w:val="center"/>
                    <w:rPr>
                      <w:color w:val="auto"/>
                      <w:kern w:val="0"/>
                      <w:szCs w:val="21"/>
                      <w:lang w:bidi="ar"/>
                    </w:rPr>
                  </w:pPr>
                  <w:r>
                    <w:rPr>
                      <w:color w:val="auto"/>
                      <w:kern w:val="0"/>
                      <w:szCs w:val="21"/>
                      <w:lang w:bidi="ar"/>
                    </w:rPr>
                    <w:t>香坯</w:t>
                  </w:r>
                </w:p>
              </w:tc>
              <w:tc>
                <w:tcPr>
                  <w:tcW w:w="1004" w:type="pct"/>
                  <w:shd w:val="clear" w:color="auto" w:fill="auto"/>
                  <w:vAlign w:val="center"/>
                </w:tcPr>
                <w:p w14:paraId="024EC59A">
                  <w:pPr>
                    <w:widowControl/>
                    <w:jc w:val="center"/>
                    <w:textAlignment w:val="center"/>
                    <w:rPr>
                      <w:rFonts w:hint="default" w:eastAsia="宋体"/>
                      <w:color w:val="auto"/>
                      <w:kern w:val="0"/>
                      <w:szCs w:val="21"/>
                      <w:lang w:val="en-US" w:eastAsia="zh-CN" w:bidi="ar"/>
                    </w:rPr>
                  </w:pPr>
                  <w:r>
                    <w:rPr>
                      <w:color w:val="auto"/>
                      <w:kern w:val="0"/>
                      <w:szCs w:val="21"/>
                      <w:lang w:bidi="ar"/>
                    </w:rPr>
                    <w:t>1968.4</w:t>
                  </w:r>
                  <w:r>
                    <w:rPr>
                      <w:rFonts w:hint="eastAsia"/>
                      <w:color w:val="auto"/>
                      <w:kern w:val="0"/>
                      <w:szCs w:val="21"/>
                      <w:lang w:val="en-US" w:eastAsia="zh-CN" w:bidi="ar"/>
                    </w:rPr>
                    <w:t>616</w:t>
                  </w:r>
                </w:p>
              </w:tc>
              <w:tc>
                <w:tcPr>
                  <w:tcW w:w="1432" w:type="pct"/>
                  <w:vAlign w:val="center"/>
                </w:tcPr>
                <w:p w14:paraId="22FF5A72">
                  <w:pPr>
                    <w:pStyle w:val="177"/>
                    <w:spacing w:line="360" w:lineRule="exact"/>
                    <w:rPr>
                      <w:color w:val="auto"/>
                      <w:szCs w:val="21"/>
                    </w:rPr>
                  </w:pPr>
                  <w:r>
                    <w:rPr>
                      <w:color w:val="auto"/>
                      <w:szCs w:val="21"/>
                    </w:rPr>
                    <w:t>盘式蚊香</w:t>
                  </w:r>
                </w:p>
              </w:tc>
              <w:tc>
                <w:tcPr>
                  <w:tcW w:w="1183" w:type="pct"/>
                  <w:tcBorders>
                    <w:right w:val="single" w:color="auto" w:sz="4" w:space="0"/>
                  </w:tcBorders>
                  <w:vAlign w:val="center"/>
                </w:tcPr>
                <w:p w14:paraId="393D956B">
                  <w:pPr>
                    <w:jc w:val="center"/>
                    <w:rPr>
                      <w:color w:val="auto"/>
                      <w:szCs w:val="21"/>
                    </w:rPr>
                  </w:pPr>
                  <w:r>
                    <w:rPr>
                      <w:color w:val="auto"/>
                      <w:szCs w:val="21"/>
                    </w:rPr>
                    <w:t>2000</w:t>
                  </w:r>
                </w:p>
              </w:tc>
            </w:tr>
            <w:tr w14:paraId="44753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379" w:type="pct"/>
                  <w:tcBorders>
                    <w:left w:val="single" w:color="auto" w:sz="4" w:space="0"/>
                  </w:tcBorders>
                  <w:shd w:val="clear" w:color="auto" w:fill="auto"/>
                  <w:vAlign w:val="center"/>
                </w:tcPr>
                <w:p w14:paraId="4FC1437B">
                  <w:pPr>
                    <w:widowControl/>
                    <w:jc w:val="center"/>
                    <w:textAlignment w:val="center"/>
                    <w:rPr>
                      <w:color w:val="auto"/>
                      <w:kern w:val="0"/>
                      <w:szCs w:val="21"/>
                      <w:lang w:bidi="ar"/>
                    </w:rPr>
                  </w:pPr>
                  <w:r>
                    <w:rPr>
                      <w:color w:val="auto"/>
                      <w:kern w:val="0"/>
                      <w:szCs w:val="21"/>
                      <w:lang w:bidi="ar"/>
                    </w:rPr>
                    <w:t>氯氟醚菊酯</w:t>
                  </w:r>
                </w:p>
              </w:tc>
              <w:tc>
                <w:tcPr>
                  <w:tcW w:w="1004" w:type="pct"/>
                  <w:shd w:val="clear" w:color="auto" w:fill="auto"/>
                  <w:vAlign w:val="center"/>
                </w:tcPr>
                <w:p w14:paraId="4446A644">
                  <w:pPr>
                    <w:widowControl/>
                    <w:jc w:val="center"/>
                    <w:textAlignment w:val="center"/>
                    <w:rPr>
                      <w:color w:val="auto"/>
                      <w:kern w:val="0"/>
                      <w:szCs w:val="21"/>
                      <w:lang w:bidi="ar"/>
                    </w:rPr>
                  </w:pPr>
                  <w:r>
                    <w:rPr>
                      <w:color w:val="auto"/>
                      <w:kern w:val="0"/>
                      <w:szCs w:val="21"/>
                      <w:lang w:bidi="ar"/>
                    </w:rPr>
                    <w:t>1.6</w:t>
                  </w:r>
                </w:p>
              </w:tc>
              <w:tc>
                <w:tcPr>
                  <w:tcW w:w="1432" w:type="pct"/>
                  <w:vAlign w:val="center"/>
                </w:tcPr>
                <w:p w14:paraId="65655DB6">
                  <w:pPr>
                    <w:pStyle w:val="177"/>
                    <w:spacing w:line="360" w:lineRule="exact"/>
                    <w:rPr>
                      <w:color w:val="auto"/>
                      <w:szCs w:val="21"/>
                    </w:rPr>
                  </w:pPr>
                  <w:r>
                    <w:rPr>
                      <w:color w:val="auto"/>
                      <w:szCs w:val="21"/>
                    </w:rPr>
                    <w:t>有机废气</w:t>
                  </w:r>
                </w:p>
              </w:tc>
              <w:tc>
                <w:tcPr>
                  <w:tcW w:w="1183" w:type="pct"/>
                  <w:tcBorders>
                    <w:right w:val="single" w:color="auto" w:sz="4" w:space="0"/>
                  </w:tcBorders>
                  <w:vAlign w:val="center"/>
                </w:tcPr>
                <w:p w14:paraId="7CC8F53E">
                  <w:pPr>
                    <w:jc w:val="center"/>
                    <w:rPr>
                      <w:rFonts w:hint="default" w:eastAsia="宋体"/>
                      <w:color w:val="auto"/>
                      <w:szCs w:val="21"/>
                      <w:lang w:val="en-US" w:eastAsia="zh-CN"/>
                    </w:rPr>
                  </w:pPr>
                  <w:r>
                    <w:rPr>
                      <w:rFonts w:hint="eastAsia"/>
                      <w:color w:val="auto"/>
                      <w:szCs w:val="21"/>
                      <w:lang w:val="en-US" w:eastAsia="zh-CN"/>
                    </w:rPr>
                    <w:t>0.0616</w:t>
                  </w:r>
                </w:p>
              </w:tc>
            </w:tr>
            <w:tr w14:paraId="428EA0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379" w:type="pct"/>
                  <w:tcBorders>
                    <w:left w:val="single" w:color="auto" w:sz="4" w:space="0"/>
                  </w:tcBorders>
                  <w:shd w:val="clear" w:color="auto" w:fill="auto"/>
                  <w:vAlign w:val="center"/>
                </w:tcPr>
                <w:p w14:paraId="60772C74">
                  <w:pPr>
                    <w:widowControl/>
                    <w:jc w:val="center"/>
                    <w:textAlignment w:val="center"/>
                    <w:rPr>
                      <w:color w:val="auto"/>
                      <w:kern w:val="0"/>
                      <w:szCs w:val="21"/>
                      <w:lang w:bidi="ar"/>
                    </w:rPr>
                  </w:pPr>
                  <w:r>
                    <w:rPr>
                      <w:color w:val="auto"/>
                      <w:kern w:val="0"/>
                      <w:szCs w:val="21"/>
                      <w:lang w:bidi="ar"/>
                    </w:rPr>
                    <w:t>煤油（轻质白油）</w:t>
                  </w:r>
                </w:p>
              </w:tc>
              <w:tc>
                <w:tcPr>
                  <w:tcW w:w="1004" w:type="pct"/>
                  <w:shd w:val="clear" w:color="auto" w:fill="auto"/>
                  <w:vAlign w:val="center"/>
                </w:tcPr>
                <w:p w14:paraId="56F15161">
                  <w:pPr>
                    <w:widowControl/>
                    <w:jc w:val="center"/>
                    <w:textAlignment w:val="center"/>
                    <w:rPr>
                      <w:color w:val="auto"/>
                      <w:kern w:val="0"/>
                      <w:szCs w:val="21"/>
                      <w:lang w:bidi="ar"/>
                    </w:rPr>
                  </w:pPr>
                  <w:r>
                    <w:rPr>
                      <w:color w:val="auto"/>
                      <w:kern w:val="0"/>
                      <w:szCs w:val="21"/>
                      <w:lang w:bidi="ar"/>
                    </w:rPr>
                    <w:t>30</w:t>
                  </w:r>
                </w:p>
              </w:tc>
              <w:tc>
                <w:tcPr>
                  <w:tcW w:w="1432" w:type="pct"/>
                  <w:vAlign w:val="center"/>
                </w:tcPr>
                <w:p w14:paraId="02CBDE05">
                  <w:pPr>
                    <w:pStyle w:val="177"/>
                    <w:spacing w:line="360" w:lineRule="exact"/>
                    <w:rPr>
                      <w:color w:val="auto"/>
                      <w:szCs w:val="21"/>
                    </w:rPr>
                  </w:pPr>
                </w:p>
              </w:tc>
              <w:tc>
                <w:tcPr>
                  <w:tcW w:w="1183" w:type="pct"/>
                  <w:tcBorders>
                    <w:right w:val="single" w:color="auto" w:sz="4" w:space="0"/>
                  </w:tcBorders>
                  <w:vAlign w:val="center"/>
                </w:tcPr>
                <w:p w14:paraId="621108E2">
                  <w:pPr>
                    <w:jc w:val="center"/>
                    <w:rPr>
                      <w:color w:val="auto"/>
                      <w:szCs w:val="21"/>
                    </w:rPr>
                  </w:pPr>
                </w:p>
              </w:tc>
            </w:tr>
            <w:tr w14:paraId="342455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9" w:type="pct"/>
                  <w:tcBorders>
                    <w:left w:val="single" w:color="auto" w:sz="4" w:space="0"/>
                  </w:tcBorders>
                  <w:shd w:val="clear" w:color="auto" w:fill="auto"/>
                  <w:vAlign w:val="center"/>
                </w:tcPr>
                <w:p w14:paraId="74A648B5">
                  <w:pPr>
                    <w:jc w:val="center"/>
                    <w:rPr>
                      <w:color w:val="auto"/>
                      <w:szCs w:val="21"/>
                    </w:rPr>
                  </w:pPr>
                  <w:r>
                    <w:rPr>
                      <w:color w:val="auto"/>
                      <w:szCs w:val="21"/>
                    </w:rPr>
                    <w:t>合计</w:t>
                  </w:r>
                </w:p>
              </w:tc>
              <w:tc>
                <w:tcPr>
                  <w:tcW w:w="1004" w:type="pct"/>
                  <w:shd w:val="clear" w:color="auto" w:fill="auto"/>
                  <w:vAlign w:val="center"/>
                </w:tcPr>
                <w:p w14:paraId="2A402DF5">
                  <w:pPr>
                    <w:pStyle w:val="177"/>
                    <w:spacing w:line="360" w:lineRule="exact"/>
                    <w:rPr>
                      <w:color w:val="auto"/>
                      <w:szCs w:val="21"/>
                    </w:rPr>
                  </w:pPr>
                  <w:r>
                    <w:rPr>
                      <w:rFonts w:hint="eastAsia"/>
                      <w:color w:val="auto"/>
                      <w:szCs w:val="21"/>
                      <w:lang w:val="en-US" w:eastAsia="zh-CN"/>
                    </w:rPr>
                    <w:t>2000.0616</w:t>
                  </w:r>
                </w:p>
              </w:tc>
              <w:tc>
                <w:tcPr>
                  <w:tcW w:w="1432" w:type="pct"/>
                  <w:shd w:val="clear" w:color="auto" w:fill="auto"/>
                  <w:vAlign w:val="center"/>
                </w:tcPr>
                <w:p w14:paraId="7B2FE08C">
                  <w:pPr>
                    <w:pStyle w:val="177"/>
                    <w:spacing w:line="360" w:lineRule="exact"/>
                    <w:rPr>
                      <w:color w:val="auto"/>
                      <w:szCs w:val="21"/>
                    </w:rPr>
                  </w:pPr>
                  <w:r>
                    <w:rPr>
                      <w:color w:val="auto"/>
                      <w:szCs w:val="21"/>
                    </w:rPr>
                    <w:t>合计</w:t>
                  </w:r>
                </w:p>
              </w:tc>
              <w:tc>
                <w:tcPr>
                  <w:tcW w:w="1183" w:type="pct"/>
                  <w:tcBorders>
                    <w:right w:val="single" w:color="auto" w:sz="4" w:space="0"/>
                  </w:tcBorders>
                  <w:shd w:val="clear" w:color="auto" w:fill="auto"/>
                  <w:vAlign w:val="center"/>
                </w:tcPr>
                <w:p w14:paraId="76C6652D">
                  <w:pPr>
                    <w:jc w:val="center"/>
                    <w:rPr>
                      <w:rFonts w:hint="default" w:eastAsia="宋体"/>
                      <w:color w:val="auto"/>
                      <w:szCs w:val="21"/>
                      <w:lang w:val="en-US" w:eastAsia="zh-CN"/>
                    </w:rPr>
                  </w:pPr>
                  <w:r>
                    <w:rPr>
                      <w:rFonts w:hint="eastAsia"/>
                      <w:color w:val="auto"/>
                      <w:szCs w:val="21"/>
                      <w:lang w:val="en-US" w:eastAsia="zh-CN"/>
                    </w:rPr>
                    <w:t>2000.0616</w:t>
                  </w:r>
                </w:p>
              </w:tc>
            </w:tr>
            <w:tr w14:paraId="072F81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5000" w:type="pct"/>
                  <w:gridSpan w:val="4"/>
                  <w:tcBorders>
                    <w:left w:val="single" w:color="auto" w:sz="4" w:space="0"/>
                    <w:right w:val="single" w:color="auto" w:sz="4" w:space="0"/>
                  </w:tcBorders>
                  <w:vAlign w:val="center"/>
                </w:tcPr>
                <w:p w14:paraId="70E4737D">
                  <w:pPr>
                    <w:pStyle w:val="177"/>
                    <w:spacing w:line="360" w:lineRule="exact"/>
                    <w:rPr>
                      <w:color w:val="auto"/>
                      <w:szCs w:val="21"/>
                    </w:rPr>
                  </w:pPr>
                  <w:r>
                    <w:rPr>
                      <w:b/>
                      <w:bCs/>
                      <w:color w:val="auto"/>
                      <w:szCs w:val="21"/>
                    </w:rPr>
                    <w:t>电热蚊香液</w:t>
                  </w:r>
                </w:p>
              </w:tc>
            </w:tr>
            <w:tr w14:paraId="5A6A72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3" w:type="pct"/>
                  <w:gridSpan w:val="2"/>
                  <w:tcBorders>
                    <w:left w:val="single" w:color="auto" w:sz="4" w:space="0"/>
                  </w:tcBorders>
                  <w:shd w:val="clear" w:color="auto" w:fill="auto"/>
                  <w:vAlign w:val="center"/>
                </w:tcPr>
                <w:p w14:paraId="4498B405">
                  <w:pPr>
                    <w:jc w:val="center"/>
                    <w:rPr>
                      <w:b/>
                      <w:bCs/>
                      <w:color w:val="auto"/>
                      <w:szCs w:val="21"/>
                    </w:rPr>
                  </w:pPr>
                  <w:r>
                    <w:rPr>
                      <w:b/>
                      <w:bCs/>
                      <w:color w:val="auto"/>
                      <w:szCs w:val="21"/>
                    </w:rPr>
                    <w:t>投入</w:t>
                  </w:r>
                </w:p>
              </w:tc>
              <w:tc>
                <w:tcPr>
                  <w:tcW w:w="2616" w:type="pct"/>
                  <w:gridSpan w:val="2"/>
                  <w:tcBorders>
                    <w:right w:val="single" w:color="auto" w:sz="4" w:space="0"/>
                  </w:tcBorders>
                  <w:shd w:val="clear" w:color="auto" w:fill="auto"/>
                  <w:vAlign w:val="center"/>
                </w:tcPr>
                <w:p w14:paraId="313F09DF">
                  <w:pPr>
                    <w:jc w:val="center"/>
                    <w:rPr>
                      <w:b/>
                      <w:bCs/>
                      <w:color w:val="auto"/>
                      <w:szCs w:val="21"/>
                    </w:rPr>
                  </w:pPr>
                  <w:r>
                    <w:rPr>
                      <w:b/>
                      <w:bCs/>
                      <w:color w:val="auto"/>
                      <w:szCs w:val="21"/>
                    </w:rPr>
                    <w:t>产出</w:t>
                  </w:r>
                </w:p>
              </w:tc>
            </w:tr>
            <w:tr w14:paraId="4A71FB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79" w:type="pct"/>
                  <w:tcBorders>
                    <w:left w:val="single" w:color="auto" w:sz="4" w:space="0"/>
                  </w:tcBorders>
                  <w:shd w:val="clear" w:color="auto" w:fill="auto"/>
                  <w:vAlign w:val="center"/>
                </w:tcPr>
                <w:p w14:paraId="5B5CEEA7">
                  <w:pPr>
                    <w:jc w:val="center"/>
                    <w:rPr>
                      <w:b/>
                      <w:bCs/>
                      <w:color w:val="auto"/>
                      <w:szCs w:val="21"/>
                    </w:rPr>
                  </w:pPr>
                  <w:r>
                    <w:rPr>
                      <w:b/>
                      <w:bCs/>
                      <w:color w:val="auto"/>
                      <w:szCs w:val="21"/>
                    </w:rPr>
                    <w:t>物料名称</w:t>
                  </w:r>
                </w:p>
              </w:tc>
              <w:tc>
                <w:tcPr>
                  <w:tcW w:w="1004" w:type="pct"/>
                  <w:shd w:val="clear" w:color="auto" w:fill="auto"/>
                  <w:vAlign w:val="center"/>
                </w:tcPr>
                <w:p w14:paraId="173C5C21">
                  <w:pPr>
                    <w:jc w:val="center"/>
                    <w:rPr>
                      <w:b/>
                      <w:bCs/>
                      <w:color w:val="auto"/>
                      <w:szCs w:val="21"/>
                    </w:rPr>
                  </w:pPr>
                  <w:r>
                    <w:rPr>
                      <w:b/>
                      <w:bCs/>
                      <w:color w:val="auto"/>
                      <w:szCs w:val="21"/>
                    </w:rPr>
                    <w:t>数量（t/a）</w:t>
                  </w:r>
                </w:p>
              </w:tc>
              <w:tc>
                <w:tcPr>
                  <w:tcW w:w="1432" w:type="pct"/>
                  <w:shd w:val="clear" w:color="auto" w:fill="auto"/>
                  <w:vAlign w:val="center"/>
                </w:tcPr>
                <w:p w14:paraId="01A72134">
                  <w:pPr>
                    <w:jc w:val="center"/>
                    <w:rPr>
                      <w:b/>
                      <w:bCs/>
                      <w:color w:val="auto"/>
                      <w:szCs w:val="21"/>
                    </w:rPr>
                  </w:pPr>
                  <w:r>
                    <w:rPr>
                      <w:b/>
                      <w:bCs/>
                      <w:color w:val="auto"/>
                      <w:szCs w:val="21"/>
                    </w:rPr>
                    <w:t>物料名称</w:t>
                  </w:r>
                </w:p>
              </w:tc>
              <w:tc>
                <w:tcPr>
                  <w:tcW w:w="1183" w:type="pct"/>
                  <w:tcBorders>
                    <w:right w:val="single" w:color="auto" w:sz="4" w:space="0"/>
                  </w:tcBorders>
                  <w:shd w:val="clear" w:color="auto" w:fill="auto"/>
                  <w:vAlign w:val="center"/>
                </w:tcPr>
                <w:p w14:paraId="03B178BF">
                  <w:pPr>
                    <w:jc w:val="center"/>
                    <w:rPr>
                      <w:b/>
                      <w:bCs/>
                      <w:color w:val="auto"/>
                      <w:szCs w:val="21"/>
                    </w:rPr>
                  </w:pPr>
                  <w:r>
                    <w:rPr>
                      <w:b/>
                      <w:bCs/>
                      <w:color w:val="auto"/>
                      <w:szCs w:val="21"/>
                    </w:rPr>
                    <w:t>数量（t/a）</w:t>
                  </w:r>
                </w:p>
              </w:tc>
            </w:tr>
            <w:tr w14:paraId="3A731D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79" w:type="pct"/>
                  <w:tcBorders>
                    <w:left w:val="single" w:color="auto" w:sz="4" w:space="0"/>
                  </w:tcBorders>
                  <w:shd w:val="clear" w:color="auto" w:fill="auto"/>
                  <w:vAlign w:val="center"/>
                </w:tcPr>
                <w:p w14:paraId="11C46101">
                  <w:pPr>
                    <w:widowControl/>
                    <w:jc w:val="center"/>
                    <w:textAlignment w:val="center"/>
                    <w:rPr>
                      <w:color w:val="auto"/>
                      <w:kern w:val="0"/>
                      <w:szCs w:val="21"/>
                      <w:lang w:bidi="ar"/>
                    </w:rPr>
                  </w:pPr>
                  <w:r>
                    <w:rPr>
                      <w:color w:val="auto"/>
                      <w:kern w:val="0"/>
                      <w:szCs w:val="21"/>
                      <w:lang w:bidi="ar"/>
                    </w:rPr>
                    <w:t>氯氟醚菊酯</w:t>
                  </w:r>
                </w:p>
              </w:tc>
              <w:tc>
                <w:tcPr>
                  <w:tcW w:w="1004" w:type="pct"/>
                  <w:shd w:val="clear" w:color="auto" w:fill="auto"/>
                  <w:vAlign w:val="center"/>
                </w:tcPr>
                <w:p w14:paraId="35CA2B85">
                  <w:pPr>
                    <w:widowControl/>
                    <w:jc w:val="center"/>
                    <w:textAlignment w:val="center"/>
                    <w:rPr>
                      <w:color w:val="auto"/>
                      <w:kern w:val="0"/>
                      <w:szCs w:val="21"/>
                      <w:lang w:bidi="ar"/>
                    </w:rPr>
                  </w:pPr>
                  <w:r>
                    <w:rPr>
                      <w:color w:val="auto"/>
                      <w:kern w:val="0"/>
                      <w:szCs w:val="21"/>
                      <w:lang w:bidi="ar"/>
                    </w:rPr>
                    <w:t>0.035</w:t>
                  </w:r>
                </w:p>
              </w:tc>
              <w:tc>
                <w:tcPr>
                  <w:tcW w:w="1432" w:type="pct"/>
                  <w:shd w:val="clear" w:color="auto" w:fill="auto"/>
                  <w:vAlign w:val="center"/>
                </w:tcPr>
                <w:p w14:paraId="27F46416">
                  <w:pPr>
                    <w:pStyle w:val="177"/>
                    <w:spacing w:line="360" w:lineRule="exact"/>
                    <w:rPr>
                      <w:color w:val="auto"/>
                      <w:szCs w:val="21"/>
                    </w:rPr>
                  </w:pPr>
                  <w:r>
                    <w:rPr>
                      <w:color w:val="auto"/>
                      <w:szCs w:val="21"/>
                    </w:rPr>
                    <w:t>电热蚊香液</w:t>
                  </w:r>
                </w:p>
              </w:tc>
              <w:tc>
                <w:tcPr>
                  <w:tcW w:w="1183" w:type="pct"/>
                  <w:tcBorders>
                    <w:right w:val="single" w:color="auto" w:sz="4" w:space="0"/>
                  </w:tcBorders>
                  <w:shd w:val="clear" w:color="auto" w:fill="auto"/>
                  <w:vAlign w:val="center"/>
                </w:tcPr>
                <w:p w14:paraId="65B06081">
                  <w:pPr>
                    <w:jc w:val="center"/>
                    <w:rPr>
                      <w:color w:val="auto"/>
                      <w:szCs w:val="21"/>
                    </w:rPr>
                  </w:pPr>
                  <w:r>
                    <w:rPr>
                      <w:color w:val="auto"/>
                      <w:szCs w:val="21"/>
                    </w:rPr>
                    <w:t>4</w:t>
                  </w:r>
                </w:p>
              </w:tc>
            </w:tr>
            <w:tr w14:paraId="5FDC1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79" w:type="pct"/>
                  <w:tcBorders>
                    <w:left w:val="single" w:color="auto" w:sz="4" w:space="0"/>
                  </w:tcBorders>
                  <w:shd w:val="clear" w:color="auto" w:fill="auto"/>
                  <w:vAlign w:val="center"/>
                </w:tcPr>
                <w:p w14:paraId="6D49A711">
                  <w:pPr>
                    <w:widowControl/>
                    <w:jc w:val="center"/>
                    <w:textAlignment w:val="center"/>
                    <w:rPr>
                      <w:color w:val="auto"/>
                      <w:kern w:val="0"/>
                      <w:szCs w:val="21"/>
                      <w:lang w:bidi="ar"/>
                    </w:rPr>
                  </w:pPr>
                  <w:r>
                    <w:rPr>
                      <w:color w:val="auto"/>
                      <w:kern w:val="0"/>
                      <w:szCs w:val="21"/>
                      <w:lang w:bidi="ar"/>
                    </w:rPr>
                    <w:t>煤油（轻质白油）</w:t>
                  </w:r>
                </w:p>
              </w:tc>
              <w:tc>
                <w:tcPr>
                  <w:tcW w:w="1004" w:type="pct"/>
                  <w:shd w:val="clear" w:color="auto" w:fill="auto"/>
                  <w:vAlign w:val="center"/>
                </w:tcPr>
                <w:p w14:paraId="3D9B203A">
                  <w:pPr>
                    <w:widowControl/>
                    <w:jc w:val="center"/>
                    <w:textAlignment w:val="center"/>
                    <w:rPr>
                      <w:color w:val="auto"/>
                      <w:kern w:val="0"/>
                      <w:szCs w:val="21"/>
                      <w:lang w:bidi="ar"/>
                    </w:rPr>
                  </w:pPr>
                  <w:r>
                    <w:rPr>
                      <w:color w:val="auto"/>
                      <w:kern w:val="0"/>
                      <w:szCs w:val="21"/>
                      <w:lang w:bidi="ar"/>
                    </w:rPr>
                    <w:t>3.35</w:t>
                  </w:r>
                </w:p>
              </w:tc>
              <w:tc>
                <w:tcPr>
                  <w:tcW w:w="1432" w:type="pct"/>
                  <w:shd w:val="clear" w:color="auto" w:fill="auto"/>
                  <w:vAlign w:val="center"/>
                </w:tcPr>
                <w:p w14:paraId="03301E07">
                  <w:pPr>
                    <w:pStyle w:val="177"/>
                    <w:spacing w:line="360" w:lineRule="exact"/>
                    <w:rPr>
                      <w:color w:val="auto"/>
                      <w:szCs w:val="21"/>
                    </w:rPr>
                  </w:pPr>
                  <w:r>
                    <w:rPr>
                      <w:color w:val="auto"/>
                      <w:szCs w:val="21"/>
                    </w:rPr>
                    <w:t>有机废气</w:t>
                  </w:r>
                </w:p>
              </w:tc>
              <w:tc>
                <w:tcPr>
                  <w:tcW w:w="1183" w:type="pct"/>
                  <w:tcBorders>
                    <w:right w:val="single" w:color="auto" w:sz="4" w:space="0"/>
                  </w:tcBorders>
                  <w:shd w:val="clear" w:color="auto" w:fill="auto"/>
                  <w:vAlign w:val="center"/>
                </w:tcPr>
                <w:p w14:paraId="67FC948F">
                  <w:pPr>
                    <w:jc w:val="center"/>
                    <w:rPr>
                      <w:rFonts w:hint="default" w:eastAsia="宋体"/>
                      <w:color w:val="auto"/>
                      <w:szCs w:val="21"/>
                      <w:lang w:val="en-US" w:eastAsia="zh-CN"/>
                    </w:rPr>
                  </w:pPr>
                  <w:r>
                    <w:rPr>
                      <w:rFonts w:hint="eastAsia"/>
                      <w:color w:val="auto"/>
                      <w:szCs w:val="21"/>
                      <w:lang w:val="en-US" w:eastAsia="zh-CN"/>
                    </w:rPr>
                    <w:t>0.0066</w:t>
                  </w:r>
                </w:p>
              </w:tc>
            </w:tr>
            <w:tr w14:paraId="43FBB1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79" w:type="pct"/>
                  <w:tcBorders>
                    <w:left w:val="single" w:color="auto" w:sz="4" w:space="0"/>
                  </w:tcBorders>
                  <w:shd w:val="clear" w:color="auto" w:fill="auto"/>
                  <w:vAlign w:val="center"/>
                </w:tcPr>
                <w:p w14:paraId="1A694E48">
                  <w:pPr>
                    <w:widowControl/>
                    <w:jc w:val="center"/>
                    <w:textAlignment w:val="center"/>
                    <w:rPr>
                      <w:color w:val="auto"/>
                      <w:kern w:val="0"/>
                      <w:szCs w:val="21"/>
                      <w:lang w:bidi="ar"/>
                    </w:rPr>
                  </w:pPr>
                  <w:r>
                    <w:rPr>
                      <w:color w:val="auto"/>
                      <w:kern w:val="0"/>
                      <w:szCs w:val="21"/>
                      <w:lang w:bidi="ar"/>
                    </w:rPr>
                    <w:t>芯棒</w:t>
                  </w:r>
                </w:p>
              </w:tc>
              <w:tc>
                <w:tcPr>
                  <w:tcW w:w="1004" w:type="pct"/>
                  <w:shd w:val="clear" w:color="auto" w:fill="auto"/>
                  <w:vAlign w:val="center"/>
                </w:tcPr>
                <w:p w14:paraId="54ECDAC0">
                  <w:pPr>
                    <w:widowControl/>
                    <w:jc w:val="center"/>
                    <w:textAlignment w:val="center"/>
                    <w:rPr>
                      <w:rFonts w:hint="default" w:eastAsia="宋体"/>
                      <w:color w:val="auto"/>
                      <w:kern w:val="0"/>
                      <w:szCs w:val="21"/>
                      <w:lang w:val="en-US" w:eastAsia="zh-CN" w:bidi="ar"/>
                    </w:rPr>
                  </w:pPr>
                  <w:r>
                    <w:rPr>
                      <w:color w:val="auto"/>
                      <w:kern w:val="0"/>
                      <w:szCs w:val="21"/>
                      <w:lang w:bidi="ar"/>
                    </w:rPr>
                    <w:t>0.6</w:t>
                  </w:r>
                  <w:r>
                    <w:rPr>
                      <w:rFonts w:hint="eastAsia"/>
                      <w:color w:val="auto"/>
                      <w:kern w:val="0"/>
                      <w:szCs w:val="21"/>
                      <w:lang w:val="en-US" w:eastAsia="zh-CN" w:bidi="ar"/>
                    </w:rPr>
                    <w:t>216</w:t>
                  </w:r>
                </w:p>
              </w:tc>
              <w:tc>
                <w:tcPr>
                  <w:tcW w:w="1432" w:type="pct"/>
                  <w:shd w:val="clear" w:color="auto" w:fill="auto"/>
                  <w:vAlign w:val="center"/>
                </w:tcPr>
                <w:p w14:paraId="1D90D33D">
                  <w:pPr>
                    <w:pStyle w:val="177"/>
                    <w:spacing w:line="360" w:lineRule="exact"/>
                    <w:rPr>
                      <w:color w:val="auto"/>
                      <w:szCs w:val="21"/>
                    </w:rPr>
                  </w:pPr>
                </w:p>
              </w:tc>
              <w:tc>
                <w:tcPr>
                  <w:tcW w:w="1183" w:type="pct"/>
                  <w:tcBorders>
                    <w:right w:val="single" w:color="auto" w:sz="4" w:space="0"/>
                  </w:tcBorders>
                  <w:shd w:val="clear" w:color="auto" w:fill="auto"/>
                  <w:vAlign w:val="center"/>
                </w:tcPr>
                <w:p w14:paraId="58049CAE">
                  <w:pPr>
                    <w:jc w:val="center"/>
                    <w:rPr>
                      <w:color w:val="auto"/>
                      <w:szCs w:val="21"/>
                    </w:rPr>
                  </w:pPr>
                </w:p>
              </w:tc>
            </w:tr>
            <w:tr w14:paraId="6557D4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79" w:type="pct"/>
                  <w:tcBorders>
                    <w:left w:val="single" w:color="auto" w:sz="4" w:space="0"/>
                    <w:bottom w:val="single" w:color="auto" w:sz="4" w:space="0"/>
                  </w:tcBorders>
                  <w:shd w:val="clear" w:color="auto" w:fill="auto"/>
                  <w:vAlign w:val="center"/>
                </w:tcPr>
                <w:p w14:paraId="29C33003">
                  <w:pPr>
                    <w:jc w:val="center"/>
                    <w:rPr>
                      <w:color w:val="auto"/>
                      <w:szCs w:val="21"/>
                    </w:rPr>
                  </w:pPr>
                  <w:r>
                    <w:rPr>
                      <w:color w:val="auto"/>
                      <w:szCs w:val="21"/>
                    </w:rPr>
                    <w:t>合计</w:t>
                  </w:r>
                </w:p>
              </w:tc>
              <w:tc>
                <w:tcPr>
                  <w:tcW w:w="1004" w:type="pct"/>
                  <w:tcBorders>
                    <w:bottom w:val="single" w:color="auto" w:sz="4" w:space="0"/>
                  </w:tcBorders>
                  <w:shd w:val="clear" w:color="auto" w:fill="auto"/>
                  <w:vAlign w:val="center"/>
                </w:tcPr>
                <w:p w14:paraId="4015AE18">
                  <w:pPr>
                    <w:pStyle w:val="177"/>
                    <w:spacing w:line="360" w:lineRule="exact"/>
                    <w:rPr>
                      <w:rFonts w:hint="default" w:eastAsia="宋体"/>
                      <w:color w:val="auto"/>
                      <w:szCs w:val="21"/>
                      <w:lang w:val="en-US" w:eastAsia="zh-CN"/>
                    </w:rPr>
                  </w:pPr>
                  <w:r>
                    <w:rPr>
                      <w:color w:val="auto"/>
                      <w:szCs w:val="21"/>
                    </w:rPr>
                    <w:t>4</w:t>
                  </w:r>
                  <w:r>
                    <w:rPr>
                      <w:rFonts w:hint="eastAsia"/>
                      <w:color w:val="auto"/>
                      <w:szCs w:val="21"/>
                      <w:lang w:val="en-US" w:eastAsia="zh-CN"/>
                    </w:rPr>
                    <w:t>.0066</w:t>
                  </w:r>
                </w:p>
              </w:tc>
              <w:tc>
                <w:tcPr>
                  <w:tcW w:w="1432" w:type="pct"/>
                  <w:tcBorders>
                    <w:bottom w:val="single" w:color="auto" w:sz="4" w:space="0"/>
                  </w:tcBorders>
                  <w:shd w:val="clear" w:color="auto" w:fill="auto"/>
                  <w:vAlign w:val="center"/>
                </w:tcPr>
                <w:p w14:paraId="1AC4A1BE">
                  <w:pPr>
                    <w:pStyle w:val="177"/>
                    <w:spacing w:line="360" w:lineRule="exact"/>
                    <w:rPr>
                      <w:color w:val="auto"/>
                      <w:szCs w:val="21"/>
                    </w:rPr>
                  </w:pPr>
                  <w:r>
                    <w:rPr>
                      <w:color w:val="auto"/>
                      <w:szCs w:val="21"/>
                    </w:rPr>
                    <w:t>合计</w:t>
                  </w:r>
                </w:p>
              </w:tc>
              <w:tc>
                <w:tcPr>
                  <w:tcW w:w="1183" w:type="pct"/>
                  <w:tcBorders>
                    <w:bottom w:val="single" w:color="auto" w:sz="4" w:space="0"/>
                    <w:right w:val="single" w:color="auto" w:sz="4" w:space="0"/>
                  </w:tcBorders>
                  <w:shd w:val="clear" w:color="auto" w:fill="auto"/>
                  <w:vAlign w:val="center"/>
                </w:tcPr>
                <w:p w14:paraId="047DB365">
                  <w:pPr>
                    <w:jc w:val="center"/>
                    <w:rPr>
                      <w:rFonts w:hint="default" w:eastAsia="宋体"/>
                      <w:color w:val="auto"/>
                      <w:szCs w:val="21"/>
                      <w:lang w:val="en-US" w:eastAsia="zh-CN"/>
                    </w:rPr>
                  </w:pPr>
                  <w:r>
                    <w:rPr>
                      <w:rFonts w:hint="eastAsia"/>
                      <w:color w:val="auto"/>
                      <w:szCs w:val="21"/>
                      <w:lang w:val="en-US" w:eastAsia="zh-CN"/>
                    </w:rPr>
                    <w:t>4.0066</w:t>
                  </w:r>
                </w:p>
              </w:tc>
            </w:tr>
          </w:tbl>
          <w:p w14:paraId="7570BBF0">
            <w:pPr>
              <w:adjustRightInd w:val="0"/>
              <w:snapToGrid w:val="0"/>
              <w:spacing w:line="360" w:lineRule="auto"/>
              <w:ind w:firstLine="482" w:firstLineChars="200"/>
              <w:rPr>
                <w:color w:val="auto"/>
                <w:sz w:val="24"/>
                <w:szCs w:val="24"/>
              </w:rPr>
            </w:pPr>
            <w:r>
              <w:rPr>
                <w:b/>
                <w:bCs/>
                <w:color w:val="auto"/>
                <w:sz w:val="24"/>
                <w:szCs w:val="24"/>
              </w:rPr>
              <w:t>5、主要生产设备</w:t>
            </w:r>
          </w:p>
          <w:p w14:paraId="00E6E5DF">
            <w:pPr>
              <w:pStyle w:val="89"/>
              <w:adjustRightInd w:val="0"/>
              <w:snapToGrid w:val="0"/>
              <w:spacing w:before="0" w:beforeLines="0"/>
              <w:ind w:firstLine="420"/>
              <w:rPr>
                <w:rFonts w:cs="Times New Roman"/>
                <w:color w:val="auto"/>
                <w:sz w:val="24"/>
                <w:szCs w:val="24"/>
              </w:rPr>
            </w:pPr>
            <w:r>
              <w:rPr>
                <w:rFonts w:cs="Times New Roman"/>
                <w:color w:val="auto"/>
                <w:sz w:val="24"/>
                <w:szCs w:val="24"/>
              </w:rPr>
              <w:t>本项目设备详见下表：</w:t>
            </w:r>
          </w:p>
          <w:p w14:paraId="350D3CE8">
            <w:pPr>
              <w:pStyle w:val="16"/>
              <w:autoSpaceDE w:val="0"/>
              <w:autoSpaceDN w:val="0"/>
              <w:adjustRightInd w:val="0"/>
              <w:snapToGrid w:val="0"/>
              <w:spacing w:line="360" w:lineRule="auto"/>
              <w:jc w:val="center"/>
              <w:rPr>
                <w:rFonts w:ascii="Times New Roman" w:hAnsi="Times New Roman" w:eastAsia="宋体"/>
                <w:b/>
                <w:bCs/>
                <w:color w:val="auto"/>
                <w:sz w:val="24"/>
                <w:szCs w:val="24"/>
              </w:rPr>
            </w:pPr>
            <w:r>
              <w:rPr>
                <w:rFonts w:ascii="Times New Roman" w:hAnsi="Times New Roman" w:eastAsia="宋体"/>
                <w:b/>
                <w:bCs/>
                <w:color w:val="auto"/>
                <w:sz w:val="24"/>
                <w:szCs w:val="24"/>
              </w:rPr>
              <w:t>表</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表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12</w:t>
            </w:r>
            <w:r>
              <w:rPr>
                <w:rFonts w:ascii="Times New Roman" w:hAnsi="Times New Roman" w:eastAsia="宋体"/>
                <w:b/>
                <w:bCs/>
                <w:color w:val="auto"/>
                <w:sz w:val="24"/>
                <w:szCs w:val="24"/>
              </w:rPr>
              <w:fldChar w:fldCharType="end"/>
            </w:r>
            <w:r>
              <w:rPr>
                <w:rFonts w:ascii="Times New Roman" w:hAnsi="Times New Roman" w:eastAsia="宋体"/>
                <w:b/>
                <w:bCs/>
                <w:color w:val="auto"/>
                <w:sz w:val="24"/>
                <w:szCs w:val="24"/>
              </w:rPr>
              <w:t xml:space="preserve"> 本项目主要生产设备一览表</w:t>
            </w:r>
          </w:p>
          <w:tbl>
            <w:tblPr>
              <w:tblStyle w:val="3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83"/>
              <w:gridCol w:w="1944"/>
              <w:gridCol w:w="3035"/>
              <w:gridCol w:w="1617"/>
              <w:gridCol w:w="585"/>
              <w:gridCol w:w="1399"/>
            </w:tblGrid>
            <w:tr w14:paraId="36C7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6" w:hRule="atLeast"/>
                <w:jc w:val="center"/>
              </w:trPr>
              <w:tc>
                <w:tcPr>
                  <w:tcW w:w="318" w:type="pct"/>
                  <w:noWrap/>
                  <w:vAlign w:val="center"/>
                </w:tcPr>
                <w:p w14:paraId="57E66028">
                  <w:pPr>
                    <w:widowControl/>
                    <w:adjustRightInd w:val="0"/>
                    <w:jc w:val="center"/>
                    <w:textAlignment w:val="center"/>
                    <w:rPr>
                      <w:b/>
                      <w:bCs/>
                      <w:color w:val="auto"/>
                      <w:szCs w:val="21"/>
                    </w:rPr>
                  </w:pPr>
                  <w:r>
                    <w:rPr>
                      <w:b/>
                      <w:bCs/>
                      <w:color w:val="auto"/>
                      <w:kern w:val="0"/>
                      <w:szCs w:val="21"/>
                      <w:lang w:bidi="ar"/>
                    </w:rPr>
                    <w:t>序号</w:t>
                  </w:r>
                </w:p>
              </w:tc>
              <w:tc>
                <w:tcPr>
                  <w:tcW w:w="1060" w:type="pct"/>
                  <w:noWrap/>
                  <w:vAlign w:val="center"/>
                </w:tcPr>
                <w:p w14:paraId="3C03B5A3">
                  <w:pPr>
                    <w:widowControl/>
                    <w:adjustRightInd w:val="0"/>
                    <w:jc w:val="center"/>
                    <w:textAlignment w:val="center"/>
                    <w:rPr>
                      <w:b/>
                      <w:bCs/>
                      <w:color w:val="auto"/>
                      <w:szCs w:val="21"/>
                    </w:rPr>
                  </w:pPr>
                  <w:r>
                    <w:rPr>
                      <w:b/>
                      <w:bCs/>
                      <w:color w:val="auto"/>
                      <w:szCs w:val="21"/>
                    </w:rPr>
                    <w:t>产品线</w:t>
                  </w:r>
                </w:p>
              </w:tc>
              <w:tc>
                <w:tcPr>
                  <w:tcW w:w="1655" w:type="pct"/>
                  <w:noWrap/>
                  <w:vAlign w:val="center"/>
                </w:tcPr>
                <w:p w14:paraId="755BFAF0">
                  <w:pPr>
                    <w:widowControl/>
                    <w:adjustRightInd w:val="0"/>
                    <w:jc w:val="center"/>
                    <w:textAlignment w:val="center"/>
                    <w:rPr>
                      <w:b/>
                      <w:bCs/>
                      <w:color w:val="auto"/>
                      <w:kern w:val="0"/>
                      <w:szCs w:val="21"/>
                      <w:lang w:bidi="ar"/>
                    </w:rPr>
                  </w:pPr>
                  <w:r>
                    <w:rPr>
                      <w:b/>
                      <w:bCs/>
                      <w:color w:val="auto"/>
                      <w:kern w:val="0"/>
                      <w:szCs w:val="21"/>
                      <w:lang w:bidi="ar"/>
                    </w:rPr>
                    <w:t>设备名称</w:t>
                  </w:r>
                </w:p>
              </w:tc>
              <w:tc>
                <w:tcPr>
                  <w:tcW w:w="882" w:type="pct"/>
                  <w:noWrap/>
                  <w:vAlign w:val="center"/>
                </w:tcPr>
                <w:p w14:paraId="64B6C963">
                  <w:pPr>
                    <w:widowControl/>
                    <w:adjustRightInd w:val="0"/>
                    <w:jc w:val="center"/>
                    <w:textAlignment w:val="center"/>
                    <w:rPr>
                      <w:b/>
                      <w:bCs/>
                      <w:color w:val="auto"/>
                      <w:szCs w:val="21"/>
                    </w:rPr>
                  </w:pPr>
                  <w:r>
                    <w:rPr>
                      <w:b/>
                      <w:bCs/>
                      <w:color w:val="auto"/>
                      <w:kern w:val="0"/>
                      <w:szCs w:val="21"/>
                      <w:lang w:bidi="ar"/>
                    </w:rPr>
                    <w:t>规格参数</w:t>
                  </w:r>
                </w:p>
              </w:tc>
              <w:tc>
                <w:tcPr>
                  <w:tcW w:w="319" w:type="pct"/>
                  <w:noWrap/>
                  <w:vAlign w:val="center"/>
                </w:tcPr>
                <w:p w14:paraId="5358D313">
                  <w:pPr>
                    <w:widowControl/>
                    <w:adjustRightInd w:val="0"/>
                    <w:jc w:val="center"/>
                    <w:textAlignment w:val="center"/>
                    <w:rPr>
                      <w:b/>
                      <w:bCs/>
                      <w:color w:val="auto"/>
                      <w:szCs w:val="21"/>
                    </w:rPr>
                  </w:pPr>
                  <w:r>
                    <w:rPr>
                      <w:b/>
                      <w:bCs/>
                      <w:color w:val="auto"/>
                      <w:kern w:val="0"/>
                      <w:szCs w:val="21"/>
                      <w:lang w:bidi="ar"/>
                    </w:rPr>
                    <w:t>数量</w:t>
                  </w:r>
                </w:p>
              </w:tc>
              <w:tc>
                <w:tcPr>
                  <w:tcW w:w="763" w:type="pct"/>
                  <w:noWrap/>
                  <w:vAlign w:val="center"/>
                </w:tcPr>
                <w:p w14:paraId="11A66043">
                  <w:pPr>
                    <w:widowControl/>
                    <w:adjustRightInd w:val="0"/>
                    <w:jc w:val="center"/>
                    <w:textAlignment w:val="center"/>
                    <w:rPr>
                      <w:b/>
                      <w:bCs/>
                      <w:color w:val="auto"/>
                      <w:szCs w:val="21"/>
                    </w:rPr>
                  </w:pPr>
                  <w:r>
                    <w:rPr>
                      <w:b/>
                      <w:bCs/>
                      <w:color w:val="auto"/>
                      <w:szCs w:val="21"/>
                    </w:rPr>
                    <w:t>所在工序</w:t>
                  </w:r>
                </w:p>
              </w:tc>
            </w:tr>
            <w:tr w14:paraId="6001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6" w:hRule="atLeast"/>
                <w:jc w:val="center"/>
              </w:trPr>
              <w:tc>
                <w:tcPr>
                  <w:tcW w:w="318" w:type="pct"/>
                  <w:noWrap/>
                  <w:vAlign w:val="center"/>
                </w:tcPr>
                <w:p w14:paraId="2662458B">
                  <w:pPr>
                    <w:widowControl/>
                    <w:numPr>
                      <w:ilvl w:val="0"/>
                      <w:numId w:val="17"/>
                    </w:numPr>
                    <w:adjustRightInd w:val="0"/>
                    <w:jc w:val="center"/>
                    <w:rPr>
                      <w:color w:val="auto"/>
                      <w:szCs w:val="21"/>
                    </w:rPr>
                  </w:pPr>
                </w:p>
              </w:tc>
              <w:tc>
                <w:tcPr>
                  <w:tcW w:w="1060" w:type="pct"/>
                  <w:vMerge w:val="restart"/>
                  <w:shd w:val="clear" w:color="auto" w:fill="auto"/>
                  <w:noWrap/>
                  <w:vAlign w:val="center"/>
                </w:tcPr>
                <w:p w14:paraId="2312ADF4">
                  <w:pPr>
                    <w:widowControl/>
                    <w:adjustRightInd w:val="0"/>
                    <w:jc w:val="center"/>
                    <w:textAlignment w:val="center"/>
                    <w:rPr>
                      <w:color w:val="auto"/>
                      <w:szCs w:val="21"/>
                    </w:rPr>
                  </w:pPr>
                  <w:r>
                    <w:rPr>
                      <w:color w:val="auto"/>
                      <w:szCs w:val="21"/>
                    </w:rPr>
                    <w:t>盘式蚊香生产线</w:t>
                  </w:r>
                </w:p>
              </w:tc>
              <w:tc>
                <w:tcPr>
                  <w:tcW w:w="1655" w:type="pct"/>
                  <w:shd w:val="clear" w:color="auto" w:fill="auto"/>
                  <w:noWrap/>
                  <w:vAlign w:val="center"/>
                </w:tcPr>
                <w:p w14:paraId="1EA835EC">
                  <w:pPr>
                    <w:widowControl/>
                    <w:adjustRightInd w:val="0"/>
                    <w:jc w:val="center"/>
                    <w:textAlignment w:val="center"/>
                    <w:rPr>
                      <w:color w:val="auto"/>
                      <w:szCs w:val="21"/>
                    </w:rPr>
                  </w:pPr>
                  <w:r>
                    <w:rPr>
                      <w:color w:val="auto"/>
                      <w:szCs w:val="21"/>
                    </w:rPr>
                    <w:t>搅拌锅</w:t>
                  </w:r>
                </w:p>
              </w:tc>
              <w:tc>
                <w:tcPr>
                  <w:tcW w:w="882" w:type="pct"/>
                  <w:shd w:val="clear" w:color="auto" w:fill="auto"/>
                  <w:noWrap/>
                  <w:vAlign w:val="center"/>
                </w:tcPr>
                <w:p w14:paraId="36294EC4">
                  <w:pPr>
                    <w:widowControl/>
                    <w:adjustRightInd w:val="0"/>
                    <w:jc w:val="center"/>
                    <w:textAlignment w:val="center"/>
                    <w:rPr>
                      <w:color w:val="auto"/>
                      <w:szCs w:val="21"/>
                    </w:rPr>
                  </w:pPr>
                  <w:r>
                    <w:rPr>
                      <w:color w:val="auto"/>
                      <w:szCs w:val="21"/>
                    </w:rPr>
                    <w:t>Φ1100mm</w:t>
                  </w:r>
                </w:p>
              </w:tc>
              <w:tc>
                <w:tcPr>
                  <w:tcW w:w="319" w:type="pct"/>
                  <w:shd w:val="clear" w:color="auto" w:fill="auto"/>
                  <w:noWrap/>
                  <w:vAlign w:val="center"/>
                </w:tcPr>
                <w:p w14:paraId="69BF793C">
                  <w:pPr>
                    <w:widowControl/>
                    <w:adjustRightInd w:val="0"/>
                    <w:jc w:val="center"/>
                    <w:textAlignment w:val="center"/>
                    <w:rPr>
                      <w:color w:val="auto"/>
                      <w:szCs w:val="21"/>
                    </w:rPr>
                  </w:pPr>
                  <w:r>
                    <w:rPr>
                      <w:color w:val="auto"/>
                      <w:szCs w:val="21"/>
                    </w:rPr>
                    <w:t>1台</w:t>
                  </w:r>
                </w:p>
              </w:tc>
              <w:tc>
                <w:tcPr>
                  <w:tcW w:w="763" w:type="pct"/>
                  <w:shd w:val="clear" w:color="auto" w:fill="auto"/>
                  <w:noWrap/>
                  <w:vAlign w:val="center"/>
                </w:tcPr>
                <w:p w14:paraId="719AF04D">
                  <w:pPr>
                    <w:widowControl/>
                    <w:adjustRightInd w:val="0"/>
                    <w:jc w:val="center"/>
                    <w:textAlignment w:val="center"/>
                    <w:rPr>
                      <w:color w:val="auto"/>
                      <w:szCs w:val="21"/>
                    </w:rPr>
                  </w:pPr>
                  <w:r>
                    <w:rPr>
                      <w:color w:val="auto"/>
                      <w:szCs w:val="21"/>
                    </w:rPr>
                    <w:t>混合</w:t>
                  </w:r>
                </w:p>
              </w:tc>
            </w:tr>
            <w:tr w14:paraId="24EB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6" w:hRule="atLeast"/>
                <w:jc w:val="center"/>
              </w:trPr>
              <w:tc>
                <w:tcPr>
                  <w:tcW w:w="318" w:type="pct"/>
                  <w:noWrap/>
                  <w:vAlign w:val="center"/>
                </w:tcPr>
                <w:p w14:paraId="38FD73F6">
                  <w:pPr>
                    <w:widowControl/>
                    <w:numPr>
                      <w:ilvl w:val="0"/>
                      <w:numId w:val="17"/>
                    </w:numPr>
                    <w:adjustRightInd w:val="0"/>
                    <w:jc w:val="center"/>
                    <w:rPr>
                      <w:color w:val="auto"/>
                      <w:szCs w:val="21"/>
                    </w:rPr>
                  </w:pPr>
                </w:p>
              </w:tc>
              <w:tc>
                <w:tcPr>
                  <w:tcW w:w="1060" w:type="pct"/>
                  <w:vMerge w:val="continue"/>
                  <w:shd w:val="clear" w:color="auto" w:fill="auto"/>
                  <w:noWrap/>
                  <w:vAlign w:val="center"/>
                </w:tcPr>
                <w:p w14:paraId="6E56730A">
                  <w:pPr>
                    <w:widowControl/>
                    <w:adjustRightInd w:val="0"/>
                    <w:jc w:val="center"/>
                    <w:textAlignment w:val="center"/>
                    <w:rPr>
                      <w:color w:val="auto"/>
                      <w:szCs w:val="21"/>
                    </w:rPr>
                  </w:pPr>
                </w:p>
              </w:tc>
              <w:tc>
                <w:tcPr>
                  <w:tcW w:w="1655" w:type="pct"/>
                  <w:shd w:val="clear" w:color="auto" w:fill="auto"/>
                  <w:noWrap/>
                  <w:vAlign w:val="center"/>
                </w:tcPr>
                <w:p w14:paraId="05883C33">
                  <w:pPr>
                    <w:widowControl/>
                    <w:adjustRightInd w:val="0"/>
                    <w:jc w:val="center"/>
                    <w:textAlignment w:val="center"/>
                    <w:rPr>
                      <w:color w:val="auto"/>
                      <w:szCs w:val="21"/>
                    </w:rPr>
                  </w:pPr>
                  <w:r>
                    <w:rPr>
                      <w:color w:val="auto"/>
                      <w:szCs w:val="21"/>
                    </w:rPr>
                    <w:t>蚊香自动包装机</w:t>
                  </w:r>
                </w:p>
              </w:tc>
              <w:tc>
                <w:tcPr>
                  <w:tcW w:w="882" w:type="pct"/>
                  <w:shd w:val="clear" w:color="auto" w:fill="auto"/>
                  <w:noWrap/>
                  <w:vAlign w:val="center"/>
                </w:tcPr>
                <w:p w14:paraId="567A23DA">
                  <w:pPr>
                    <w:widowControl/>
                    <w:adjustRightInd w:val="0"/>
                    <w:jc w:val="center"/>
                    <w:textAlignment w:val="center"/>
                    <w:rPr>
                      <w:color w:val="auto"/>
                      <w:szCs w:val="21"/>
                    </w:rPr>
                  </w:pPr>
                  <w:r>
                    <w:rPr>
                      <w:rFonts w:hint="eastAsia"/>
                      <w:color w:val="auto"/>
                      <w:szCs w:val="21"/>
                      <w:lang w:val="en-US" w:eastAsia="zh-CN"/>
                    </w:rPr>
                    <w:t>3600</w:t>
                  </w:r>
                  <w:r>
                    <w:rPr>
                      <w:color w:val="auto"/>
                      <w:szCs w:val="21"/>
                    </w:rPr>
                    <w:t>包/小时</w:t>
                  </w:r>
                </w:p>
              </w:tc>
              <w:tc>
                <w:tcPr>
                  <w:tcW w:w="319" w:type="pct"/>
                  <w:shd w:val="clear" w:color="auto" w:fill="auto"/>
                  <w:noWrap/>
                  <w:vAlign w:val="center"/>
                </w:tcPr>
                <w:p w14:paraId="26BE4C4C">
                  <w:pPr>
                    <w:widowControl/>
                    <w:adjustRightInd w:val="0"/>
                    <w:jc w:val="center"/>
                    <w:textAlignment w:val="center"/>
                    <w:rPr>
                      <w:color w:val="auto"/>
                      <w:szCs w:val="21"/>
                    </w:rPr>
                  </w:pPr>
                  <w:r>
                    <w:rPr>
                      <w:color w:val="auto"/>
                      <w:szCs w:val="21"/>
                    </w:rPr>
                    <w:t>1套</w:t>
                  </w:r>
                </w:p>
              </w:tc>
              <w:tc>
                <w:tcPr>
                  <w:tcW w:w="763" w:type="pct"/>
                  <w:shd w:val="clear" w:color="auto" w:fill="auto"/>
                  <w:noWrap/>
                  <w:vAlign w:val="center"/>
                </w:tcPr>
                <w:p w14:paraId="6D81BAE0">
                  <w:pPr>
                    <w:widowControl/>
                    <w:adjustRightInd w:val="0"/>
                    <w:jc w:val="center"/>
                    <w:textAlignment w:val="center"/>
                    <w:rPr>
                      <w:color w:val="auto"/>
                      <w:szCs w:val="21"/>
                    </w:rPr>
                  </w:pPr>
                  <w:r>
                    <w:rPr>
                      <w:color w:val="auto"/>
                      <w:szCs w:val="21"/>
                    </w:rPr>
                    <w:t>喷药，包装</w:t>
                  </w:r>
                </w:p>
              </w:tc>
            </w:tr>
            <w:tr w14:paraId="2EEB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6" w:hRule="atLeast"/>
                <w:jc w:val="center"/>
              </w:trPr>
              <w:tc>
                <w:tcPr>
                  <w:tcW w:w="318" w:type="pct"/>
                  <w:noWrap/>
                  <w:vAlign w:val="center"/>
                </w:tcPr>
                <w:p w14:paraId="38A441C8">
                  <w:pPr>
                    <w:widowControl/>
                    <w:numPr>
                      <w:ilvl w:val="0"/>
                      <w:numId w:val="17"/>
                    </w:numPr>
                    <w:adjustRightInd w:val="0"/>
                    <w:jc w:val="center"/>
                    <w:rPr>
                      <w:color w:val="auto"/>
                      <w:szCs w:val="21"/>
                    </w:rPr>
                  </w:pPr>
                </w:p>
              </w:tc>
              <w:tc>
                <w:tcPr>
                  <w:tcW w:w="1060" w:type="pct"/>
                  <w:vMerge w:val="continue"/>
                  <w:shd w:val="clear" w:color="auto" w:fill="auto"/>
                  <w:noWrap/>
                  <w:vAlign w:val="center"/>
                </w:tcPr>
                <w:p w14:paraId="107C74F8">
                  <w:pPr>
                    <w:pStyle w:val="168"/>
                    <w:autoSpaceDE w:val="0"/>
                    <w:spacing w:line="240" w:lineRule="auto"/>
                    <w:ind w:firstLine="0" w:firstLineChars="0"/>
                    <w:rPr>
                      <w:rFonts w:ascii="Times New Roman" w:hAnsi="Times New Roman"/>
                      <w:color w:val="auto"/>
                      <w:kern w:val="2"/>
                      <w:sz w:val="21"/>
                    </w:rPr>
                  </w:pPr>
                </w:p>
              </w:tc>
              <w:tc>
                <w:tcPr>
                  <w:tcW w:w="1655" w:type="pct"/>
                  <w:shd w:val="clear" w:color="auto" w:fill="auto"/>
                  <w:noWrap/>
                  <w:vAlign w:val="center"/>
                </w:tcPr>
                <w:p w14:paraId="11A0035F">
                  <w:pPr>
                    <w:widowControl/>
                    <w:adjustRightInd w:val="0"/>
                    <w:jc w:val="center"/>
                    <w:textAlignment w:val="center"/>
                    <w:rPr>
                      <w:color w:val="auto"/>
                      <w:szCs w:val="21"/>
                    </w:rPr>
                  </w:pPr>
                  <w:r>
                    <w:rPr>
                      <w:color w:val="auto"/>
                      <w:szCs w:val="21"/>
                    </w:rPr>
                    <w:t>封箱机</w:t>
                  </w:r>
                </w:p>
              </w:tc>
              <w:tc>
                <w:tcPr>
                  <w:tcW w:w="882" w:type="pct"/>
                  <w:shd w:val="clear" w:color="auto" w:fill="auto"/>
                  <w:noWrap/>
                  <w:vAlign w:val="center"/>
                </w:tcPr>
                <w:p w14:paraId="42AE0C9B">
                  <w:pPr>
                    <w:widowControl/>
                    <w:adjustRightInd w:val="0"/>
                    <w:jc w:val="center"/>
                    <w:textAlignment w:val="center"/>
                    <w:rPr>
                      <w:color w:val="auto"/>
                      <w:szCs w:val="21"/>
                    </w:rPr>
                  </w:pPr>
                  <w:r>
                    <w:rPr>
                      <w:color w:val="auto"/>
                      <w:szCs w:val="21"/>
                    </w:rPr>
                    <w:t>/</w:t>
                  </w:r>
                </w:p>
              </w:tc>
              <w:tc>
                <w:tcPr>
                  <w:tcW w:w="319" w:type="pct"/>
                  <w:shd w:val="clear" w:color="auto" w:fill="auto"/>
                  <w:noWrap/>
                  <w:vAlign w:val="center"/>
                </w:tcPr>
                <w:p w14:paraId="2A267FE2">
                  <w:pPr>
                    <w:widowControl/>
                    <w:adjustRightInd w:val="0"/>
                    <w:jc w:val="center"/>
                    <w:textAlignment w:val="center"/>
                    <w:rPr>
                      <w:color w:val="auto"/>
                      <w:szCs w:val="21"/>
                    </w:rPr>
                  </w:pPr>
                  <w:r>
                    <w:rPr>
                      <w:color w:val="auto"/>
                      <w:szCs w:val="21"/>
                    </w:rPr>
                    <w:t>1台</w:t>
                  </w:r>
                </w:p>
              </w:tc>
              <w:tc>
                <w:tcPr>
                  <w:tcW w:w="763" w:type="pct"/>
                  <w:shd w:val="clear" w:color="auto" w:fill="auto"/>
                  <w:noWrap/>
                  <w:vAlign w:val="center"/>
                </w:tcPr>
                <w:p w14:paraId="2204D852">
                  <w:pPr>
                    <w:widowControl/>
                    <w:adjustRightInd w:val="0"/>
                    <w:jc w:val="center"/>
                    <w:textAlignment w:val="center"/>
                    <w:rPr>
                      <w:color w:val="auto"/>
                      <w:szCs w:val="21"/>
                    </w:rPr>
                  </w:pPr>
                  <w:r>
                    <w:rPr>
                      <w:color w:val="auto"/>
                      <w:szCs w:val="21"/>
                    </w:rPr>
                    <w:t>封箱</w:t>
                  </w:r>
                </w:p>
              </w:tc>
            </w:tr>
            <w:tr w14:paraId="63E9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6" w:hRule="atLeast"/>
                <w:jc w:val="center"/>
              </w:trPr>
              <w:tc>
                <w:tcPr>
                  <w:tcW w:w="318" w:type="pct"/>
                  <w:noWrap/>
                  <w:vAlign w:val="center"/>
                </w:tcPr>
                <w:p w14:paraId="1C76E6ED">
                  <w:pPr>
                    <w:widowControl/>
                    <w:numPr>
                      <w:ilvl w:val="0"/>
                      <w:numId w:val="17"/>
                    </w:numPr>
                    <w:adjustRightInd w:val="0"/>
                    <w:jc w:val="center"/>
                    <w:textAlignment w:val="center"/>
                    <w:rPr>
                      <w:color w:val="auto"/>
                      <w:szCs w:val="21"/>
                    </w:rPr>
                  </w:pPr>
                </w:p>
              </w:tc>
              <w:tc>
                <w:tcPr>
                  <w:tcW w:w="1060" w:type="pct"/>
                  <w:vMerge w:val="restart"/>
                  <w:noWrap/>
                  <w:vAlign w:val="center"/>
                </w:tcPr>
                <w:p w14:paraId="1885D337">
                  <w:pPr>
                    <w:widowControl/>
                    <w:adjustRightInd w:val="0"/>
                    <w:jc w:val="center"/>
                    <w:textAlignment w:val="center"/>
                    <w:rPr>
                      <w:color w:val="auto"/>
                      <w:szCs w:val="21"/>
                    </w:rPr>
                  </w:pPr>
                  <w:r>
                    <w:rPr>
                      <w:color w:val="auto"/>
                      <w:szCs w:val="21"/>
                    </w:rPr>
                    <w:t>电热蚊香液</w:t>
                  </w:r>
                </w:p>
              </w:tc>
              <w:tc>
                <w:tcPr>
                  <w:tcW w:w="1655" w:type="pct"/>
                  <w:noWrap/>
                  <w:vAlign w:val="center"/>
                </w:tcPr>
                <w:p w14:paraId="61049289">
                  <w:pPr>
                    <w:widowControl/>
                    <w:adjustRightInd w:val="0"/>
                    <w:jc w:val="center"/>
                    <w:textAlignment w:val="center"/>
                    <w:rPr>
                      <w:color w:val="auto"/>
                      <w:szCs w:val="21"/>
                    </w:rPr>
                  </w:pPr>
                  <w:r>
                    <w:rPr>
                      <w:color w:val="auto"/>
                      <w:szCs w:val="21"/>
                    </w:rPr>
                    <w:t>药液搅拌机</w:t>
                  </w:r>
                </w:p>
              </w:tc>
              <w:tc>
                <w:tcPr>
                  <w:tcW w:w="882" w:type="pct"/>
                  <w:noWrap/>
                  <w:vAlign w:val="center"/>
                </w:tcPr>
                <w:p w14:paraId="07767C65">
                  <w:pPr>
                    <w:widowControl/>
                    <w:adjustRightInd w:val="0"/>
                    <w:jc w:val="center"/>
                    <w:textAlignment w:val="center"/>
                    <w:rPr>
                      <w:color w:val="auto"/>
                      <w:szCs w:val="21"/>
                    </w:rPr>
                  </w:pPr>
                  <w:r>
                    <w:rPr>
                      <w:color w:val="auto"/>
                      <w:szCs w:val="21"/>
                    </w:rPr>
                    <w:t>100L/0.75KW</w:t>
                  </w:r>
                </w:p>
              </w:tc>
              <w:tc>
                <w:tcPr>
                  <w:tcW w:w="319" w:type="pct"/>
                  <w:noWrap/>
                  <w:vAlign w:val="center"/>
                </w:tcPr>
                <w:p w14:paraId="678EF45F">
                  <w:pPr>
                    <w:widowControl/>
                    <w:adjustRightInd w:val="0"/>
                    <w:jc w:val="center"/>
                    <w:textAlignment w:val="center"/>
                    <w:rPr>
                      <w:color w:val="auto"/>
                      <w:szCs w:val="21"/>
                    </w:rPr>
                  </w:pPr>
                  <w:r>
                    <w:rPr>
                      <w:color w:val="auto"/>
                      <w:szCs w:val="21"/>
                    </w:rPr>
                    <w:t>1台</w:t>
                  </w:r>
                </w:p>
              </w:tc>
              <w:tc>
                <w:tcPr>
                  <w:tcW w:w="763" w:type="pct"/>
                  <w:noWrap/>
                  <w:vAlign w:val="center"/>
                </w:tcPr>
                <w:p w14:paraId="7241DDDD">
                  <w:pPr>
                    <w:widowControl/>
                    <w:adjustRightInd w:val="0"/>
                    <w:jc w:val="center"/>
                    <w:textAlignment w:val="center"/>
                    <w:rPr>
                      <w:color w:val="auto"/>
                      <w:szCs w:val="21"/>
                    </w:rPr>
                  </w:pPr>
                  <w:r>
                    <w:rPr>
                      <w:color w:val="auto"/>
                      <w:szCs w:val="21"/>
                    </w:rPr>
                    <w:t>搅拌</w:t>
                  </w:r>
                </w:p>
              </w:tc>
            </w:tr>
            <w:tr w14:paraId="09EB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6" w:hRule="atLeast"/>
                <w:jc w:val="center"/>
              </w:trPr>
              <w:tc>
                <w:tcPr>
                  <w:tcW w:w="318" w:type="pct"/>
                  <w:noWrap/>
                  <w:vAlign w:val="center"/>
                </w:tcPr>
                <w:p w14:paraId="0B8A5FB7">
                  <w:pPr>
                    <w:widowControl/>
                    <w:numPr>
                      <w:ilvl w:val="0"/>
                      <w:numId w:val="17"/>
                    </w:numPr>
                    <w:adjustRightInd w:val="0"/>
                    <w:jc w:val="center"/>
                    <w:textAlignment w:val="center"/>
                    <w:rPr>
                      <w:color w:val="auto"/>
                      <w:szCs w:val="21"/>
                    </w:rPr>
                  </w:pPr>
                </w:p>
              </w:tc>
              <w:tc>
                <w:tcPr>
                  <w:tcW w:w="1060" w:type="pct"/>
                  <w:vMerge w:val="continue"/>
                  <w:noWrap/>
                  <w:vAlign w:val="center"/>
                </w:tcPr>
                <w:p w14:paraId="5686AF78">
                  <w:pPr>
                    <w:widowControl/>
                    <w:adjustRightInd w:val="0"/>
                    <w:jc w:val="center"/>
                    <w:textAlignment w:val="center"/>
                    <w:rPr>
                      <w:color w:val="auto"/>
                      <w:szCs w:val="21"/>
                    </w:rPr>
                  </w:pPr>
                </w:p>
              </w:tc>
              <w:tc>
                <w:tcPr>
                  <w:tcW w:w="1655" w:type="pct"/>
                  <w:noWrap/>
                  <w:vAlign w:val="center"/>
                </w:tcPr>
                <w:p w14:paraId="08066D15">
                  <w:pPr>
                    <w:widowControl/>
                    <w:adjustRightInd w:val="0"/>
                    <w:jc w:val="center"/>
                    <w:textAlignment w:val="center"/>
                    <w:rPr>
                      <w:color w:val="auto"/>
                      <w:szCs w:val="21"/>
                    </w:rPr>
                  </w:pPr>
                  <w:r>
                    <w:rPr>
                      <w:color w:val="auto"/>
                      <w:szCs w:val="21"/>
                    </w:rPr>
                    <w:t>自动插芯棒机</w:t>
                  </w:r>
                </w:p>
              </w:tc>
              <w:tc>
                <w:tcPr>
                  <w:tcW w:w="882" w:type="pct"/>
                  <w:noWrap/>
                  <w:vAlign w:val="center"/>
                </w:tcPr>
                <w:p w14:paraId="799373FA">
                  <w:pPr>
                    <w:widowControl/>
                    <w:adjustRightInd w:val="0"/>
                    <w:jc w:val="center"/>
                    <w:textAlignment w:val="center"/>
                    <w:rPr>
                      <w:color w:val="auto"/>
                      <w:szCs w:val="21"/>
                    </w:rPr>
                  </w:pPr>
                  <w:r>
                    <w:rPr>
                      <w:color w:val="auto"/>
                      <w:szCs w:val="21"/>
                    </w:rPr>
                    <w:t>HDCB-70</w:t>
                  </w:r>
                </w:p>
              </w:tc>
              <w:tc>
                <w:tcPr>
                  <w:tcW w:w="319" w:type="pct"/>
                  <w:noWrap/>
                  <w:vAlign w:val="center"/>
                </w:tcPr>
                <w:p w14:paraId="28D52440">
                  <w:pPr>
                    <w:widowControl/>
                    <w:adjustRightInd w:val="0"/>
                    <w:jc w:val="center"/>
                    <w:textAlignment w:val="center"/>
                    <w:rPr>
                      <w:color w:val="auto"/>
                      <w:szCs w:val="21"/>
                    </w:rPr>
                  </w:pPr>
                  <w:r>
                    <w:rPr>
                      <w:color w:val="auto"/>
                      <w:szCs w:val="21"/>
                    </w:rPr>
                    <w:t>1台</w:t>
                  </w:r>
                </w:p>
              </w:tc>
              <w:tc>
                <w:tcPr>
                  <w:tcW w:w="763" w:type="pct"/>
                  <w:noWrap/>
                  <w:vAlign w:val="center"/>
                </w:tcPr>
                <w:p w14:paraId="13DC6A6B">
                  <w:pPr>
                    <w:widowControl/>
                    <w:adjustRightInd w:val="0"/>
                    <w:jc w:val="center"/>
                    <w:textAlignment w:val="center"/>
                    <w:rPr>
                      <w:color w:val="auto"/>
                      <w:szCs w:val="21"/>
                    </w:rPr>
                  </w:pPr>
                  <w:r>
                    <w:rPr>
                      <w:color w:val="auto"/>
                      <w:szCs w:val="21"/>
                    </w:rPr>
                    <w:t>插芯棒</w:t>
                  </w:r>
                </w:p>
              </w:tc>
            </w:tr>
            <w:tr w14:paraId="28D54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6" w:hRule="atLeast"/>
                <w:jc w:val="center"/>
              </w:trPr>
              <w:tc>
                <w:tcPr>
                  <w:tcW w:w="318" w:type="pct"/>
                  <w:noWrap/>
                  <w:vAlign w:val="center"/>
                </w:tcPr>
                <w:p w14:paraId="2178C5DC">
                  <w:pPr>
                    <w:widowControl/>
                    <w:numPr>
                      <w:ilvl w:val="0"/>
                      <w:numId w:val="17"/>
                    </w:numPr>
                    <w:adjustRightInd w:val="0"/>
                    <w:jc w:val="center"/>
                    <w:textAlignment w:val="center"/>
                    <w:rPr>
                      <w:color w:val="auto"/>
                      <w:szCs w:val="21"/>
                    </w:rPr>
                  </w:pPr>
                </w:p>
              </w:tc>
              <w:tc>
                <w:tcPr>
                  <w:tcW w:w="1060" w:type="pct"/>
                  <w:vMerge w:val="continue"/>
                  <w:noWrap/>
                  <w:vAlign w:val="center"/>
                </w:tcPr>
                <w:p w14:paraId="314B44DE">
                  <w:pPr>
                    <w:widowControl/>
                    <w:adjustRightInd w:val="0"/>
                    <w:jc w:val="center"/>
                    <w:textAlignment w:val="center"/>
                    <w:rPr>
                      <w:color w:val="auto"/>
                      <w:szCs w:val="21"/>
                    </w:rPr>
                  </w:pPr>
                </w:p>
              </w:tc>
              <w:tc>
                <w:tcPr>
                  <w:tcW w:w="1655" w:type="pct"/>
                  <w:noWrap/>
                  <w:vAlign w:val="center"/>
                </w:tcPr>
                <w:p w14:paraId="2F9DB81D">
                  <w:pPr>
                    <w:widowControl/>
                    <w:adjustRightInd w:val="0"/>
                    <w:jc w:val="center"/>
                    <w:textAlignment w:val="center"/>
                    <w:rPr>
                      <w:color w:val="auto"/>
                      <w:szCs w:val="21"/>
                    </w:rPr>
                  </w:pPr>
                  <w:r>
                    <w:rPr>
                      <w:color w:val="auto"/>
                      <w:szCs w:val="21"/>
                    </w:rPr>
                    <w:t>全自动灌装机</w:t>
                  </w:r>
                </w:p>
              </w:tc>
              <w:tc>
                <w:tcPr>
                  <w:tcW w:w="882" w:type="pct"/>
                  <w:noWrap/>
                  <w:vAlign w:val="center"/>
                </w:tcPr>
                <w:p w14:paraId="50AD049B">
                  <w:pPr>
                    <w:widowControl/>
                    <w:adjustRightInd w:val="0"/>
                    <w:jc w:val="center"/>
                    <w:textAlignment w:val="center"/>
                    <w:rPr>
                      <w:color w:val="auto"/>
                      <w:szCs w:val="21"/>
                    </w:rPr>
                  </w:pPr>
                  <w:r>
                    <w:rPr>
                      <w:color w:val="auto"/>
                      <w:szCs w:val="21"/>
                    </w:rPr>
                    <w:t>HDGY-40</w:t>
                  </w:r>
                </w:p>
              </w:tc>
              <w:tc>
                <w:tcPr>
                  <w:tcW w:w="319" w:type="pct"/>
                  <w:noWrap/>
                  <w:vAlign w:val="center"/>
                </w:tcPr>
                <w:p w14:paraId="18968082">
                  <w:pPr>
                    <w:widowControl/>
                    <w:adjustRightInd w:val="0"/>
                    <w:jc w:val="center"/>
                    <w:textAlignment w:val="center"/>
                    <w:rPr>
                      <w:color w:val="auto"/>
                      <w:szCs w:val="21"/>
                    </w:rPr>
                  </w:pPr>
                  <w:r>
                    <w:rPr>
                      <w:color w:val="auto"/>
                      <w:szCs w:val="21"/>
                    </w:rPr>
                    <w:t>1台</w:t>
                  </w:r>
                </w:p>
              </w:tc>
              <w:tc>
                <w:tcPr>
                  <w:tcW w:w="763" w:type="pct"/>
                  <w:noWrap/>
                  <w:vAlign w:val="center"/>
                </w:tcPr>
                <w:p w14:paraId="60CCB8AB">
                  <w:pPr>
                    <w:widowControl/>
                    <w:adjustRightInd w:val="0"/>
                    <w:jc w:val="center"/>
                    <w:textAlignment w:val="center"/>
                    <w:rPr>
                      <w:color w:val="auto"/>
                      <w:szCs w:val="21"/>
                    </w:rPr>
                  </w:pPr>
                  <w:r>
                    <w:rPr>
                      <w:color w:val="auto"/>
                      <w:szCs w:val="21"/>
                    </w:rPr>
                    <w:t>灌装</w:t>
                  </w:r>
                </w:p>
              </w:tc>
            </w:tr>
            <w:tr w14:paraId="3303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6" w:hRule="atLeast"/>
                <w:jc w:val="center"/>
              </w:trPr>
              <w:tc>
                <w:tcPr>
                  <w:tcW w:w="318" w:type="pct"/>
                  <w:noWrap/>
                  <w:vAlign w:val="center"/>
                </w:tcPr>
                <w:p w14:paraId="1A659FAA">
                  <w:pPr>
                    <w:widowControl/>
                    <w:numPr>
                      <w:ilvl w:val="0"/>
                      <w:numId w:val="17"/>
                    </w:numPr>
                    <w:adjustRightInd w:val="0"/>
                    <w:jc w:val="center"/>
                    <w:textAlignment w:val="center"/>
                    <w:rPr>
                      <w:color w:val="auto"/>
                      <w:szCs w:val="21"/>
                    </w:rPr>
                  </w:pPr>
                </w:p>
              </w:tc>
              <w:tc>
                <w:tcPr>
                  <w:tcW w:w="1060" w:type="pct"/>
                  <w:vMerge w:val="continue"/>
                  <w:noWrap/>
                  <w:vAlign w:val="center"/>
                </w:tcPr>
                <w:p w14:paraId="47AAF015">
                  <w:pPr>
                    <w:widowControl/>
                    <w:adjustRightInd w:val="0"/>
                    <w:jc w:val="center"/>
                    <w:textAlignment w:val="center"/>
                    <w:rPr>
                      <w:color w:val="auto"/>
                      <w:szCs w:val="21"/>
                    </w:rPr>
                  </w:pPr>
                </w:p>
              </w:tc>
              <w:tc>
                <w:tcPr>
                  <w:tcW w:w="1655" w:type="pct"/>
                  <w:noWrap/>
                  <w:vAlign w:val="center"/>
                </w:tcPr>
                <w:p w14:paraId="03C93FBB">
                  <w:pPr>
                    <w:widowControl/>
                    <w:adjustRightInd w:val="0"/>
                    <w:jc w:val="center"/>
                    <w:textAlignment w:val="center"/>
                    <w:rPr>
                      <w:color w:val="auto"/>
                      <w:szCs w:val="21"/>
                    </w:rPr>
                  </w:pPr>
                  <w:r>
                    <w:rPr>
                      <w:color w:val="auto"/>
                      <w:szCs w:val="21"/>
                    </w:rPr>
                    <w:t>自动高速封口机</w:t>
                  </w:r>
                </w:p>
              </w:tc>
              <w:tc>
                <w:tcPr>
                  <w:tcW w:w="882" w:type="pct"/>
                  <w:noWrap/>
                  <w:vAlign w:val="center"/>
                </w:tcPr>
                <w:p w14:paraId="5A9EA433">
                  <w:pPr>
                    <w:widowControl/>
                    <w:adjustRightInd w:val="0"/>
                    <w:jc w:val="center"/>
                    <w:textAlignment w:val="center"/>
                    <w:rPr>
                      <w:color w:val="auto"/>
                      <w:szCs w:val="21"/>
                    </w:rPr>
                  </w:pPr>
                  <w:r>
                    <w:rPr>
                      <w:color w:val="auto"/>
                      <w:szCs w:val="21"/>
                    </w:rPr>
                    <w:t>/</w:t>
                  </w:r>
                </w:p>
              </w:tc>
              <w:tc>
                <w:tcPr>
                  <w:tcW w:w="319" w:type="pct"/>
                  <w:noWrap/>
                  <w:vAlign w:val="center"/>
                </w:tcPr>
                <w:p w14:paraId="130E2C5F">
                  <w:pPr>
                    <w:widowControl/>
                    <w:adjustRightInd w:val="0"/>
                    <w:jc w:val="center"/>
                    <w:textAlignment w:val="center"/>
                    <w:rPr>
                      <w:color w:val="auto"/>
                      <w:szCs w:val="21"/>
                    </w:rPr>
                  </w:pPr>
                  <w:r>
                    <w:rPr>
                      <w:color w:val="auto"/>
                      <w:szCs w:val="21"/>
                    </w:rPr>
                    <w:t>1台</w:t>
                  </w:r>
                </w:p>
              </w:tc>
              <w:tc>
                <w:tcPr>
                  <w:tcW w:w="763" w:type="pct"/>
                  <w:noWrap/>
                  <w:vAlign w:val="center"/>
                </w:tcPr>
                <w:p w14:paraId="21C8E4F2">
                  <w:pPr>
                    <w:widowControl/>
                    <w:adjustRightInd w:val="0"/>
                    <w:jc w:val="center"/>
                    <w:textAlignment w:val="center"/>
                    <w:rPr>
                      <w:color w:val="auto"/>
                      <w:szCs w:val="21"/>
                    </w:rPr>
                  </w:pPr>
                  <w:r>
                    <w:rPr>
                      <w:color w:val="auto"/>
                      <w:szCs w:val="21"/>
                    </w:rPr>
                    <w:t>包装</w:t>
                  </w:r>
                </w:p>
              </w:tc>
            </w:tr>
          </w:tbl>
          <w:p w14:paraId="37B7BDCC">
            <w:pPr>
              <w:jc w:val="center"/>
              <w:rPr>
                <w:b/>
                <w:bCs/>
                <w:color w:val="auto"/>
                <w:szCs w:val="21"/>
              </w:rPr>
            </w:pPr>
          </w:p>
          <w:p w14:paraId="1EF90C7C">
            <w:pPr>
              <w:jc w:val="center"/>
              <w:rPr>
                <w:b/>
                <w:bCs/>
                <w:color w:val="auto"/>
                <w:sz w:val="24"/>
                <w:szCs w:val="24"/>
              </w:rPr>
            </w:pPr>
            <w:r>
              <w:rPr>
                <w:b/>
                <w:bCs/>
                <w:color w:val="auto"/>
                <w:sz w:val="24"/>
                <w:szCs w:val="24"/>
              </w:rPr>
              <w:t>表</w:t>
            </w:r>
            <w:r>
              <w:rPr>
                <w:b/>
                <w:bCs/>
                <w:color w:val="auto"/>
                <w:sz w:val="24"/>
                <w:szCs w:val="24"/>
              </w:rPr>
              <w:fldChar w:fldCharType="begin"/>
            </w:r>
            <w:r>
              <w:rPr>
                <w:b/>
                <w:bCs/>
                <w:color w:val="auto"/>
                <w:sz w:val="24"/>
                <w:szCs w:val="24"/>
              </w:rPr>
              <w:instrText xml:space="preserve"> SEQ 表 \* ARABIC </w:instrText>
            </w:r>
            <w:r>
              <w:rPr>
                <w:b/>
                <w:bCs/>
                <w:color w:val="auto"/>
                <w:sz w:val="24"/>
                <w:szCs w:val="24"/>
              </w:rPr>
              <w:fldChar w:fldCharType="separate"/>
            </w:r>
            <w:r>
              <w:rPr>
                <w:b/>
                <w:bCs/>
                <w:color w:val="auto"/>
                <w:sz w:val="24"/>
                <w:szCs w:val="24"/>
              </w:rPr>
              <w:t>13</w:t>
            </w:r>
            <w:r>
              <w:rPr>
                <w:b/>
                <w:bCs/>
                <w:color w:val="auto"/>
                <w:sz w:val="24"/>
                <w:szCs w:val="24"/>
              </w:rPr>
              <w:fldChar w:fldCharType="end"/>
            </w:r>
            <w:r>
              <w:rPr>
                <w:b/>
                <w:bCs/>
                <w:color w:val="auto"/>
                <w:sz w:val="24"/>
                <w:szCs w:val="24"/>
              </w:rPr>
              <w:t xml:space="preserve"> 项目产能核算</w:t>
            </w:r>
          </w:p>
          <w:tbl>
            <w:tblPr>
              <w:tblStyle w:val="37"/>
              <w:tblW w:w="4998" w:type="pct"/>
              <w:jc w:val="center"/>
              <w:tblLayout w:type="autofit"/>
              <w:tblCellMar>
                <w:top w:w="0" w:type="dxa"/>
                <w:left w:w="108" w:type="dxa"/>
                <w:bottom w:w="0" w:type="dxa"/>
                <w:right w:w="108" w:type="dxa"/>
              </w:tblCellMar>
            </w:tblPr>
            <w:tblGrid>
              <w:gridCol w:w="1260"/>
              <w:gridCol w:w="1109"/>
              <w:gridCol w:w="1414"/>
              <w:gridCol w:w="1263"/>
              <w:gridCol w:w="1418"/>
              <w:gridCol w:w="1346"/>
              <w:gridCol w:w="1366"/>
            </w:tblGrid>
            <w:tr w14:paraId="06D78A19">
              <w:tblPrEx>
                <w:tblCellMar>
                  <w:top w:w="0" w:type="dxa"/>
                  <w:left w:w="108" w:type="dxa"/>
                  <w:bottom w:w="0" w:type="dxa"/>
                  <w:right w:w="108" w:type="dxa"/>
                </w:tblCellMar>
              </w:tblPrEx>
              <w:trPr>
                <w:trHeight w:val="57" w:hRule="atLeast"/>
                <w:jc w:val="center"/>
              </w:trPr>
              <w:tc>
                <w:tcPr>
                  <w:tcW w:w="686"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60AE90">
                  <w:pPr>
                    <w:jc w:val="center"/>
                    <w:rPr>
                      <w:b/>
                      <w:bCs/>
                      <w:color w:val="auto"/>
                      <w:szCs w:val="21"/>
                    </w:rPr>
                  </w:pPr>
                  <w:r>
                    <w:rPr>
                      <w:b/>
                      <w:color w:val="auto"/>
                      <w:szCs w:val="21"/>
                    </w:rPr>
                    <w:t>设备名称</w:t>
                  </w:r>
                </w:p>
              </w:tc>
              <w:tc>
                <w:tcPr>
                  <w:tcW w:w="60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F15A906">
                  <w:pPr>
                    <w:jc w:val="center"/>
                    <w:rPr>
                      <w:b/>
                      <w:bCs/>
                      <w:color w:val="auto"/>
                      <w:szCs w:val="21"/>
                    </w:rPr>
                  </w:pPr>
                  <w:r>
                    <w:rPr>
                      <w:b/>
                      <w:color w:val="auto"/>
                      <w:szCs w:val="21"/>
                    </w:rPr>
                    <w:t>数量(台</w:t>
                  </w:r>
                  <w:r>
                    <w:rPr>
                      <w:b/>
                      <w:color w:val="auto"/>
                      <w:kern w:val="0"/>
                      <w:szCs w:val="21"/>
                    </w:rPr>
                    <w:t>)</w:t>
                  </w:r>
                </w:p>
              </w:tc>
              <w:tc>
                <w:tcPr>
                  <w:tcW w:w="770"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02156F">
                  <w:pPr>
                    <w:jc w:val="center"/>
                    <w:rPr>
                      <w:b/>
                      <w:bCs/>
                      <w:color w:val="auto"/>
                      <w:szCs w:val="21"/>
                    </w:rPr>
                  </w:pPr>
                  <w:r>
                    <w:rPr>
                      <w:b/>
                      <w:color w:val="auto"/>
                      <w:szCs w:val="21"/>
                    </w:rPr>
                    <w:t>单台生产速度</w:t>
                  </w:r>
                </w:p>
              </w:tc>
              <w:tc>
                <w:tcPr>
                  <w:tcW w:w="688"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FD1D64">
                  <w:pPr>
                    <w:jc w:val="center"/>
                    <w:rPr>
                      <w:b/>
                      <w:bCs/>
                      <w:color w:val="auto"/>
                      <w:szCs w:val="21"/>
                    </w:rPr>
                  </w:pPr>
                  <w:r>
                    <w:rPr>
                      <w:b/>
                      <w:color w:val="auto"/>
                      <w:szCs w:val="21"/>
                    </w:rPr>
                    <w:t>年加工时间</w:t>
                  </w:r>
                </w:p>
              </w:tc>
              <w:tc>
                <w:tcPr>
                  <w:tcW w:w="772"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5D458A">
                  <w:pPr>
                    <w:jc w:val="center"/>
                    <w:rPr>
                      <w:b/>
                      <w:bCs/>
                      <w:color w:val="auto"/>
                      <w:szCs w:val="21"/>
                    </w:rPr>
                  </w:pPr>
                  <w:r>
                    <w:rPr>
                      <w:b/>
                      <w:color w:val="auto"/>
                      <w:szCs w:val="21"/>
                    </w:rPr>
                    <w:t>设备满负荷产能</w:t>
                  </w:r>
                </w:p>
              </w:tc>
              <w:tc>
                <w:tcPr>
                  <w:tcW w:w="733"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541B286">
                  <w:pPr>
                    <w:jc w:val="center"/>
                    <w:rPr>
                      <w:b/>
                      <w:bCs/>
                      <w:color w:val="auto"/>
                      <w:szCs w:val="21"/>
                    </w:rPr>
                  </w:pPr>
                  <w:r>
                    <w:rPr>
                      <w:b/>
                      <w:color w:val="auto"/>
                      <w:szCs w:val="21"/>
                    </w:rPr>
                    <w:t>对应设计生产能力</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46A8E08">
                  <w:pPr>
                    <w:jc w:val="center"/>
                    <w:rPr>
                      <w:b/>
                      <w:bCs/>
                      <w:color w:val="auto"/>
                      <w:kern w:val="0"/>
                      <w:szCs w:val="21"/>
                      <w:lang w:bidi="ar"/>
                    </w:rPr>
                  </w:pPr>
                  <w:r>
                    <w:rPr>
                      <w:b/>
                      <w:color w:val="auto"/>
                      <w:szCs w:val="21"/>
                    </w:rPr>
                    <w:t>生产负荷</w:t>
                  </w:r>
                </w:p>
              </w:tc>
            </w:tr>
            <w:tr w14:paraId="12FCF310">
              <w:tblPrEx>
                <w:tblCellMar>
                  <w:top w:w="0" w:type="dxa"/>
                  <w:left w:w="108" w:type="dxa"/>
                  <w:bottom w:w="0" w:type="dxa"/>
                  <w:right w:w="108" w:type="dxa"/>
                </w:tblCellMar>
              </w:tblPrEx>
              <w:trPr>
                <w:trHeight w:val="57" w:hRule="atLeast"/>
                <w:jc w:val="center"/>
              </w:trPr>
              <w:tc>
                <w:tcPr>
                  <w:tcW w:w="686"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5D9959C">
                  <w:pPr>
                    <w:jc w:val="center"/>
                    <w:rPr>
                      <w:color w:val="auto"/>
                      <w:szCs w:val="21"/>
                    </w:rPr>
                  </w:pPr>
                  <w:r>
                    <w:rPr>
                      <w:color w:val="auto"/>
                      <w:szCs w:val="21"/>
                    </w:rPr>
                    <w:t>蚊香自动包装机</w:t>
                  </w:r>
                </w:p>
              </w:tc>
              <w:tc>
                <w:tcPr>
                  <w:tcW w:w="604"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4D41CF">
                  <w:pPr>
                    <w:widowControl/>
                    <w:jc w:val="center"/>
                    <w:textAlignment w:val="center"/>
                    <w:rPr>
                      <w:color w:val="auto"/>
                      <w:szCs w:val="21"/>
                    </w:rPr>
                  </w:pPr>
                  <w:r>
                    <w:rPr>
                      <w:color w:val="auto"/>
                      <w:kern w:val="0"/>
                      <w:szCs w:val="21"/>
                      <w:lang w:bidi="ar"/>
                    </w:rPr>
                    <w:t>1</w:t>
                  </w:r>
                </w:p>
              </w:tc>
              <w:tc>
                <w:tcPr>
                  <w:tcW w:w="770"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9E28E9F">
                  <w:pPr>
                    <w:widowControl/>
                    <w:jc w:val="center"/>
                    <w:textAlignment w:val="center"/>
                    <w:rPr>
                      <w:color w:val="auto"/>
                      <w:szCs w:val="21"/>
                    </w:rPr>
                  </w:pPr>
                  <w:r>
                    <w:rPr>
                      <w:rFonts w:hint="eastAsia"/>
                      <w:color w:val="auto"/>
                      <w:kern w:val="0"/>
                      <w:szCs w:val="21"/>
                      <w:lang w:val="en-US" w:eastAsia="zh-CN" w:bidi="ar"/>
                    </w:rPr>
                    <w:t>3600</w:t>
                  </w:r>
                  <w:r>
                    <w:rPr>
                      <w:color w:val="auto"/>
                      <w:kern w:val="0"/>
                      <w:szCs w:val="21"/>
                      <w:lang w:bidi="ar"/>
                    </w:rPr>
                    <w:t>包/h</w:t>
                  </w:r>
                </w:p>
              </w:tc>
              <w:tc>
                <w:tcPr>
                  <w:tcW w:w="688"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863D3C">
                  <w:pPr>
                    <w:widowControl/>
                    <w:jc w:val="center"/>
                    <w:textAlignment w:val="center"/>
                    <w:rPr>
                      <w:color w:val="auto"/>
                      <w:szCs w:val="21"/>
                    </w:rPr>
                  </w:pPr>
                  <w:r>
                    <w:rPr>
                      <w:color w:val="auto"/>
                      <w:kern w:val="0"/>
                      <w:szCs w:val="21"/>
                      <w:lang w:bidi="ar"/>
                    </w:rPr>
                    <w:t>2080h</w:t>
                  </w:r>
                </w:p>
              </w:tc>
              <w:tc>
                <w:tcPr>
                  <w:tcW w:w="772"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E7E79D">
                  <w:pPr>
                    <w:widowControl/>
                    <w:jc w:val="center"/>
                    <w:textAlignment w:val="center"/>
                    <w:rPr>
                      <w:color w:val="auto"/>
                      <w:szCs w:val="21"/>
                    </w:rPr>
                  </w:pPr>
                  <w:r>
                    <w:rPr>
                      <w:rFonts w:hint="eastAsia"/>
                      <w:color w:val="auto"/>
                      <w:szCs w:val="21"/>
                      <w:lang w:val="en-US" w:eastAsia="zh-CN"/>
                    </w:rPr>
                    <w:t>748.8</w:t>
                  </w:r>
                  <w:r>
                    <w:rPr>
                      <w:color w:val="auto"/>
                      <w:szCs w:val="21"/>
                    </w:rPr>
                    <w:t>万包</w:t>
                  </w:r>
                </w:p>
              </w:tc>
              <w:tc>
                <w:tcPr>
                  <w:tcW w:w="733"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EAD2A15">
                  <w:pPr>
                    <w:widowControl/>
                    <w:jc w:val="center"/>
                    <w:textAlignment w:val="center"/>
                    <w:rPr>
                      <w:color w:val="auto"/>
                      <w:szCs w:val="21"/>
                    </w:rPr>
                  </w:pPr>
                  <w:r>
                    <w:rPr>
                      <w:rFonts w:hint="eastAsia"/>
                      <w:color w:val="auto"/>
                      <w:szCs w:val="21"/>
                      <w:lang w:val="en-US" w:eastAsia="zh-CN"/>
                    </w:rPr>
                    <w:t>666.667</w:t>
                  </w:r>
                  <w:r>
                    <w:rPr>
                      <w:color w:val="auto"/>
                      <w:szCs w:val="21"/>
                    </w:rPr>
                    <w:t>万包</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4343C5F">
                  <w:pPr>
                    <w:widowControl/>
                    <w:jc w:val="center"/>
                    <w:textAlignment w:val="center"/>
                    <w:rPr>
                      <w:color w:val="auto"/>
                      <w:kern w:val="0"/>
                      <w:szCs w:val="21"/>
                      <w:lang w:bidi="ar"/>
                    </w:rPr>
                  </w:pPr>
                  <w:r>
                    <w:rPr>
                      <w:rFonts w:hint="eastAsia"/>
                      <w:color w:val="auto"/>
                      <w:kern w:val="0"/>
                      <w:szCs w:val="21"/>
                      <w:lang w:val="en-US" w:eastAsia="zh-CN" w:bidi="ar"/>
                    </w:rPr>
                    <w:t>89</w:t>
                  </w:r>
                  <w:r>
                    <w:rPr>
                      <w:color w:val="auto"/>
                      <w:kern w:val="0"/>
                      <w:szCs w:val="21"/>
                      <w:lang w:bidi="ar"/>
                    </w:rPr>
                    <w:t>%</w:t>
                  </w:r>
                </w:p>
              </w:tc>
            </w:tr>
            <w:tr w14:paraId="246C5588">
              <w:tblPrEx>
                <w:tblCellMar>
                  <w:top w:w="0" w:type="dxa"/>
                  <w:left w:w="108" w:type="dxa"/>
                  <w:bottom w:w="0" w:type="dxa"/>
                  <w:right w:w="108" w:type="dxa"/>
                </w:tblCellMar>
              </w:tblPrEx>
              <w:trPr>
                <w:trHeight w:val="57" w:hRule="atLeast"/>
                <w:jc w:val="center"/>
              </w:trPr>
              <w:tc>
                <w:tcPr>
                  <w:tcW w:w="686"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D056BAE">
                  <w:pPr>
                    <w:jc w:val="center"/>
                    <w:rPr>
                      <w:color w:val="auto"/>
                      <w:szCs w:val="21"/>
                    </w:rPr>
                  </w:pPr>
                  <w:r>
                    <w:rPr>
                      <w:color w:val="auto"/>
                      <w:szCs w:val="21"/>
                    </w:rPr>
                    <w:t>全自动灌装机</w:t>
                  </w:r>
                </w:p>
              </w:tc>
              <w:tc>
                <w:tcPr>
                  <w:tcW w:w="604"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00B4E6">
                  <w:pPr>
                    <w:widowControl/>
                    <w:jc w:val="center"/>
                    <w:textAlignment w:val="center"/>
                    <w:rPr>
                      <w:color w:val="auto"/>
                      <w:szCs w:val="21"/>
                    </w:rPr>
                  </w:pPr>
                  <w:r>
                    <w:rPr>
                      <w:color w:val="auto"/>
                      <w:szCs w:val="21"/>
                    </w:rPr>
                    <w:t>1</w:t>
                  </w:r>
                </w:p>
              </w:tc>
              <w:tc>
                <w:tcPr>
                  <w:tcW w:w="770"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A28A85B">
                  <w:pPr>
                    <w:widowControl/>
                    <w:jc w:val="center"/>
                    <w:textAlignment w:val="center"/>
                    <w:rPr>
                      <w:color w:val="auto"/>
                      <w:szCs w:val="21"/>
                    </w:rPr>
                  </w:pPr>
                  <w:r>
                    <w:rPr>
                      <w:color w:val="auto"/>
                      <w:szCs w:val="21"/>
                    </w:rPr>
                    <w:t>50瓶/h</w:t>
                  </w:r>
                </w:p>
              </w:tc>
              <w:tc>
                <w:tcPr>
                  <w:tcW w:w="688"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CF8BDE">
                  <w:pPr>
                    <w:widowControl/>
                    <w:jc w:val="center"/>
                    <w:textAlignment w:val="center"/>
                    <w:rPr>
                      <w:color w:val="auto"/>
                      <w:szCs w:val="21"/>
                    </w:rPr>
                  </w:pPr>
                  <w:r>
                    <w:rPr>
                      <w:color w:val="auto"/>
                      <w:szCs w:val="21"/>
                    </w:rPr>
                    <w:t>2080h</w:t>
                  </w:r>
                </w:p>
              </w:tc>
              <w:tc>
                <w:tcPr>
                  <w:tcW w:w="772"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359132">
                  <w:pPr>
                    <w:widowControl/>
                    <w:jc w:val="center"/>
                    <w:textAlignment w:val="center"/>
                    <w:rPr>
                      <w:color w:val="auto"/>
                      <w:szCs w:val="21"/>
                    </w:rPr>
                  </w:pPr>
                  <w:r>
                    <w:rPr>
                      <w:color w:val="auto"/>
                      <w:szCs w:val="21"/>
                    </w:rPr>
                    <w:t>10.4万瓶</w:t>
                  </w:r>
                </w:p>
              </w:tc>
              <w:tc>
                <w:tcPr>
                  <w:tcW w:w="733"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102B4B">
                  <w:pPr>
                    <w:widowControl/>
                    <w:jc w:val="center"/>
                    <w:textAlignment w:val="center"/>
                    <w:rPr>
                      <w:color w:val="auto"/>
                      <w:szCs w:val="21"/>
                    </w:rPr>
                  </w:pPr>
                  <w:r>
                    <w:rPr>
                      <w:color w:val="auto"/>
                      <w:szCs w:val="21"/>
                    </w:rPr>
                    <w:t>10万瓶</w:t>
                  </w:r>
                </w:p>
              </w:tc>
              <w:tc>
                <w:tcPr>
                  <w:tcW w:w="744"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59A719">
                  <w:pPr>
                    <w:widowControl/>
                    <w:jc w:val="center"/>
                    <w:textAlignment w:val="center"/>
                    <w:rPr>
                      <w:color w:val="auto"/>
                      <w:kern w:val="0"/>
                      <w:szCs w:val="21"/>
                      <w:lang w:bidi="ar"/>
                    </w:rPr>
                  </w:pPr>
                  <w:r>
                    <w:rPr>
                      <w:color w:val="auto"/>
                      <w:kern w:val="0"/>
                      <w:szCs w:val="21"/>
                      <w:lang w:bidi="ar"/>
                    </w:rPr>
                    <w:t>96%</w:t>
                  </w:r>
                </w:p>
              </w:tc>
            </w:tr>
          </w:tbl>
          <w:p w14:paraId="6B1A0803">
            <w:pPr>
              <w:widowControl/>
              <w:adjustRightInd w:val="0"/>
              <w:snapToGrid w:val="0"/>
              <w:spacing w:line="360" w:lineRule="auto"/>
              <w:ind w:firstLine="480" w:firstLineChars="200"/>
              <w:jc w:val="left"/>
              <w:rPr>
                <w:b/>
                <w:bCs/>
                <w:color w:val="auto"/>
                <w:sz w:val="24"/>
                <w:szCs w:val="24"/>
              </w:rPr>
            </w:pPr>
            <w:r>
              <w:rPr>
                <w:color w:val="auto"/>
                <w:sz w:val="24"/>
                <w:szCs w:val="24"/>
              </w:rPr>
              <w:t>设备满负荷产能满足相应设计生产能力的要求，项目主要设备数量和产能是匹配的。</w:t>
            </w:r>
          </w:p>
          <w:p w14:paraId="60B2517A">
            <w:pPr>
              <w:adjustRightInd w:val="0"/>
              <w:snapToGrid w:val="0"/>
              <w:spacing w:line="360" w:lineRule="auto"/>
              <w:ind w:firstLine="482" w:firstLineChars="200"/>
              <w:rPr>
                <w:b/>
                <w:bCs/>
                <w:color w:val="auto"/>
                <w:sz w:val="24"/>
                <w:szCs w:val="24"/>
              </w:rPr>
            </w:pPr>
            <w:r>
              <w:rPr>
                <w:b/>
                <w:bCs/>
                <w:color w:val="auto"/>
                <w:sz w:val="24"/>
                <w:szCs w:val="24"/>
              </w:rPr>
              <w:t>6、人员及生产制度</w:t>
            </w:r>
          </w:p>
          <w:p w14:paraId="33EC8EDC">
            <w:pPr>
              <w:pStyle w:val="89"/>
              <w:adjustRightInd w:val="0"/>
              <w:snapToGrid w:val="0"/>
              <w:spacing w:before="0" w:beforeLines="0"/>
              <w:ind w:firstLine="420"/>
              <w:rPr>
                <w:rFonts w:cs="Times New Roman"/>
                <w:color w:val="auto"/>
                <w:sz w:val="24"/>
                <w:szCs w:val="24"/>
              </w:rPr>
            </w:pPr>
            <w:r>
              <w:rPr>
                <w:rFonts w:cs="Times New Roman"/>
                <w:color w:val="auto"/>
                <w:sz w:val="24"/>
                <w:szCs w:val="24"/>
              </w:rPr>
              <w:t>本项目劳动定员15人。年工作时间为约260天，每班8小时，年工作时间约2080h，厂内不提供食宿。</w:t>
            </w:r>
          </w:p>
          <w:p w14:paraId="15316A16">
            <w:pPr>
              <w:pStyle w:val="89"/>
              <w:adjustRightInd w:val="0"/>
              <w:snapToGrid w:val="0"/>
              <w:spacing w:before="0" w:beforeLines="0"/>
              <w:ind w:firstLine="422"/>
              <w:rPr>
                <w:rFonts w:cs="Times New Roman"/>
                <w:b/>
                <w:bCs/>
                <w:color w:val="auto"/>
                <w:sz w:val="24"/>
                <w:szCs w:val="24"/>
              </w:rPr>
            </w:pPr>
            <w:r>
              <w:rPr>
                <w:rFonts w:cs="Times New Roman"/>
                <w:b/>
                <w:bCs/>
                <w:color w:val="auto"/>
                <w:sz w:val="24"/>
                <w:szCs w:val="24"/>
              </w:rPr>
              <w:t>7、给排水情况</w:t>
            </w:r>
          </w:p>
          <w:p w14:paraId="23BF9181">
            <w:pPr>
              <w:pStyle w:val="89"/>
              <w:adjustRightInd w:val="0"/>
              <w:snapToGrid w:val="0"/>
              <w:spacing w:before="0" w:beforeLines="0"/>
              <w:ind w:firstLine="420"/>
              <w:rPr>
                <w:rFonts w:cs="Times New Roman"/>
                <w:color w:val="auto"/>
                <w:sz w:val="24"/>
                <w:szCs w:val="24"/>
              </w:rPr>
            </w:pPr>
            <w:r>
              <w:rPr>
                <w:rFonts w:cs="Times New Roman"/>
                <w:color w:val="auto"/>
                <w:sz w:val="24"/>
                <w:szCs w:val="24"/>
              </w:rPr>
              <w:t>（1）给水</w:t>
            </w:r>
          </w:p>
          <w:p w14:paraId="073DCE98">
            <w:pPr>
              <w:pStyle w:val="89"/>
              <w:adjustRightInd w:val="0"/>
              <w:snapToGrid w:val="0"/>
              <w:spacing w:before="0" w:beforeLines="0"/>
              <w:ind w:firstLine="420"/>
              <w:rPr>
                <w:rFonts w:cs="Times New Roman"/>
                <w:color w:val="auto"/>
                <w:sz w:val="24"/>
                <w:szCs w:val="24"/>
              </w:rPr>
            </w:pPr>
            <w:r>
              <w:rPr>
                <w:rFonts w:cs="Times New Roman"/>
                <w:color w:val="auto"/>
                <w:sz w:val="24"/>
                <w:szCs w:val="24"/>
              </w:rPr>
              <w:t>本项目用水主要为生活用水。</w:t>
            </w:r>
          </w:p>
          <w:p w14:paraId="692B50B1">
            <w:pPr>
              <w:pStyle w:val="89"/>
              <w:adjustRightInd w:val="0"/>
              <w:snapToGrid w:val="0"/>
              <w:spacing w:before="0" w:beforeLines="0"/>
              <w:ind w:firstLine="420"/>
              <w:rPr>
                <w:rFonts w:cs="Times New Roman"/>
                <w:color w:val="auto"/>
                <w:sz w:val="24"/>
                <w:szCs w:val="24"/>
              </w:rPr>
            </w:pPr>
            <w:r>
              <w:rPr>
                <w:rFonts w:cs="Times New Roman"/>
                <w:color w:val="auto"/>
                <w:sz w:val="24"/>
                <w:szCs w:val="24"/>
              </w:rPr>
              <w:t>生活用水：</w:t>
            </w:r>
            <w:r>
              <w:rPr>
                <w:rFonts w:cs="Times New Roman"/>
                <w:bCs/>
                <w:color w:val="auto"/>
                <w:sz w:val="24"/>
                <w:szCs w:val="24"/>
              </w:rPr>
              <w:t>本项目拟设劳动定员15人，均不在厂内住宿，员工用水量为150m</w:t>
            </w:r>
            <w:r>
              <w:rPr>
                <w:rFonts w:cs="Times New Roman"/>
                <w:bCs/>
                <w:color w:val="auto"/>
                <w:sz w:val="24"/>
                <w:szCs w:val="24"/>
                <w:vertAlign w:val="superscript"/>
              </w:rPr>
              <w:t>3</w:t>
            </w:r>
            <w:r>
              <w:rPr>
                <w:rFonts w:cs="Times New Roman"/>
                <w:bCs/>
                <w:color w:val="auto"/>
                <w:sz w:val="24"/>
                <w:szCs w:val="24"/>
              </w:rPr>
              <w:t xml:space="preserve"> /a（0.58m</w:t>
            </w:r>
            <w:r>
              <w:rPr>
                <w:rFonts w:cs="Times New Roman"/>
                <w:bCs/>
                <w:color w:val="auto"/>
                <w:sz w:val="24"/>
                <w:szCs w:val="24"/>
                <w:vertAlign w:val="superscript"/>
              </w:rPr>
              <w:t>3</w:t>
            </w:r>
            <w:r>
              <w:rPr>
                <w:rFonts w:cs="Times New Roman"/>
                <w:bCs/>
                <w:color w:val="auto"/>
                <w:sz w:val="24"/>
                <w:szCs w:val="24"/>
              </w:rPr>
              <w:t xml:space="preserve"> /d）。</w:t>
            </w:r>
          </w:p>
          <w:p w14:paraId="3DC38E56">
            <w:pPr>
              <w:pStyle w:val="89"/>
              <w:adjustRightInd w:val="0"/>
              <w:snapToGrid w:val="0"/>
              <w:spacing w:before="0" w:beforeLines="0"/>
              <w:ind w:firstLine="420"/>
              <w:rPr>
                <w:rFonts w:cs="Times New Roman"/>
                <w:color w:val="auto"/>
                <w:sz w:val="24"/>
                <w:szCs w:val="24"/>
              </w:rPr>
            </w:pPr>
            <w:r>
              <w:rPr>
                <w:rFonts w:cs="Times New Roman"/>
                <w:color w:val="auto"/>
                <w:sz w:val="24"/>
                <w:szCs w:val="24"/>
              </w:rPr>
              <w:t>（2）排水：</w:t>
            </w:r>
          </w:p>
          <w:p w14:paraId="123852A2">
            <w:pPr>
              <w:pStyle w:val="89"/>
              <w:adjustRightInd w:val="0"/>
              <w:snapToGrid w:val="0"/>
              <w:spacing w:beforeLines="0"/>
              <w:ind w:firstLine="420"/>
              <w:rPr>
                <w:rFonts w:cs="Times New Roman"/>
                <w:color w:val="auto"/>
                <w:sz w:val="24"/>
                <w:szCs w:val="24"/>
              </w:rPr>
            </w:pPr>
            <w:r>
              <w:rPr>
                <w:rFonts w:cs="Times New Roman"/>
                <w:color w:val="auto"/>
                <w:sz w:val="24"/>
                <w:szCs w:val="24"/>
              </w:rPr>
              <w:t>生活污水：生活污水量按用水量的90%估计，则本项目办公生活污水产生量为135m</w:t>
            </w:r>
            <w:r>
              <w:rPr>
                <w:rFonts w:cs="Times New Roman"/>
                <w:color w:val="auto"/>
                <w:sz w:val="24"/>
                <w:szCs w:val="24"/>
                <w:vertAlign w:val="superscript"/>
              </w:rPr>
              <w:t>3</w:t>
            </w:r>
            <w:r>
              <w:rPr>
                <w:rFonts w:cs="Times New Roman"/>
                <w:color w:val="auto"/>
                <w:sz w:val="24"/>
                <w:szCs w:val="24"/>
              </w:rPr>
              <w:t>/a(即0.522m</w:t>
            </w:r>
            <w:r>
              <w:rPr>
                <w:rFonts w:cs="Times New Roman"/>
                <w:color w:val="auto"/>
                <w:sz w:val="24"/>
                <w:szCs w:val="24"/>
                <w:vertAlign w:val="superscript"/>
              </w:rPr>
              <w:t>3</w:t>
            </w:r>
            <w:r>
              <w:rPr>
                <w:rFonts w:cs="Times New Roman"/>
                <w:color w:val="auto"/>
                <w:sz w:val="24"/>
                <w:szCs w:val="24"/>
              </w:rPr>
              <w:t>/d)，</w:t>
            </w:r>
            <w:r>
              <w:rPr>
                <w:rFonts w:cs="Times New Roman"/>
                <w:bCs/>
                <w:color w:val="auto"/>
                <w:sz w:val="24"/>
                <w:szCs w:val="24"/>
              </w:rPr>
              <w:t>生活污水经三级化粪池预处理达到广东省《水污染物排放限值》（DB44/26-2001）中的第二时段三级标准，经污水管网接入园区污水处理厂集中处理。</w:t>
            </w:r>
          </w:p>
          <w:p w14:paraId="15C6DF14">
            <w:pPr>
              <w:pStyle w:val="89"/>
              <w:adjustRightInd w:val="0"/>
              <w:snapToGrid w:val="0"/>
              <w:spacing w:before="0" w:beforeLines="0"/>
              <w:ind w:firstLine="420"/>
              <w:rPr>
                <w:rFonts w:cs="Times New Roman"/>
                <w:color w:val="auto"/>
                <w:sz w:val="24"/>
                <w:szCs w:val="24"/>
              </w:rPr>
            </w:pPr>
            <w:r>
              <w:rPr>
                <w:rFonts w:cs="Times New Roman"/>
                <w:color w:val="auto"/>
                <w:sz w:val="24"/>
                <w:szCs w:val="24"/>
              </w:rPr>
              <w:t>给排水总结：项目给排水情况见下表，水平衡图见下图。</w:t>
            </w:r>
          </w:p>
          <w:p w14:paraId="0968CE06">
            <w:pPr>
              <w:pStyle w:val="16"/>
              <w:keepNext/>
              <w:adjustRightInd w:val="0"/>
              <w:snapToGrid w:val="0"/>
              <w:jc w:val="center"/>
              <w:rPr>
                <w:rFonts w:ascii="Times New Roman" w:hAnsi="Times New Roman" w:eastAsia="宋体"/>
                <w:b/>
                <w:bCs/>
                <w:color w:val="auto"/>
                <w:sz w:val="24"/>
                <w:szCs w:val="24"/>
              </w:rPr>
            </w:pPr>
            <w:r>
              <w:rPr>
                <w:rFonts w:ascii="Times New Roman" w:hAnsi="Times New Roman" w:eastAsia="宋体"/>
                <w:b/>
                <w:bCs/>
                <w:color w:val="auto"/>
                <w:sz w:val="24"/>
                <w:szCs w:val="24"/>
              </w:rPr>
              <w:t>表</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表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14</w:t>
            </w:r>
            <w:r>
              <w:rPr>
                <w:rFonts w:ascii="Times New Roman" w:hAnsi="Times New Roman" w:eastAsia="宋体"/>
                <w:b/>
                <w:bCs/>
                <w:color w:val="auto"/>
                <w:sz w:val="24"/>
                <w:szCs w:val="24"/>
              </w:rPr>
              <w:fldChar w:fldCharType="end"/>
            </w:r>
            <w:r>
              <w:rPr>
                <w:rFonts w:ascii="Times New Roman" w:hAnsi="Times New Roman" w:eastAsia="宋体"/>
                <w:b/>
                <w:bCs/>
                <w:color w:val="auto"/>
                <w:sz w:val="24"/>
                <w:szCs w:val="24"/>
              </w:rPr>
              <w:t xml:space="preserve">  本项目用水情况表（单位：m</w:t>
            </w:r>
            <w:r>
              <w:rPr>
                <w:rFonts w:ascii="Times New Roman" w:hAnsi="Times New Roman" w:eastAsia="宋体"/>
                <w:b/>
                <w:bCs/>
                <w:color w:val="auto"/>
                <w:sz w:val="24"/>
                <w:szCs w:val="24"/>
                <w:vertAlign w:val="superscript"/>
              </w:rPr>
              <w:t>3</w:t>
            </w:r>
            <w:r>
              <w:rPr>
                <w:rFonts w:ascii="Times New Roman" w:hAnsi="Times New Roman" w:eastAsia="宋体"/>
                <w:b/>
                <w:bCs/>
                <w:color w:val="auto"/>
                <w:sz w:val="24"/>
                <w:szCs w:val="24"/>
              </w:rPr>
              <w:t>/d）</w:t>
            </w:r>
          </w:p>
          <w:tbl>
            <w:tblPr>
              <w:tblStyle w:val="37"/>
              <w:tblW w:w="4998" w:type="pct"/>
              <w:jc w:val="center"/>
              <w:tblLayout w:type="autofit"/>
              <w:tblCellMar>
                <w:top w:w="0" w:type="dxa"/>
                <w:left w:w="108" w:type="dxa"/>
                <w:bottom w:w="0" w:type="dxa"/>
                <w:right w:w="108" w:type="dxa"/>
              </w:tblCellMar>
            </w:tblPr>
            <w:tblGrid>
              <w:gridCol w:w="3290"/>
              <w:gridCol w:w="1695"/>
              <w:gridCol w:w="1399"/>
              <w:gridCol w:w="1328"/>
              <w:gridCol w:w="1464"/>
            </w:tblGrid>
            <w:tr w14:paraId="44B059D8">
              <w:tblPrEx>
                <w:tblCellMar>
                  <w:top w:w="0" w:type="dxa"/>
                  <w:left w:w="108" w:type="dxa"/>
                  <w:bottom w:w="0" w:type="dxa"/>
                  <w:right w:w="108" w:type="dxa"/>
                </w:tblCellMar>
              </w:tblPrEx>
              <w:trPr>
                <w:trHeight w:val="57" w:hRule="atLeast"/>
                <w:jc w:val="center"/>
              </w:trPr>
              <w:tc>
                <w:tcPr>
                  <w:tcW w:w="1792"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B461CC">
                  <w:pPr>
                    <w:widowControl/>
                    <w:jc w:val="center"/>
                    <w:textAlignment w:val="center"/>
                    <w:rPr>
                      <w:b/>
                      <w:bCs/>
                      <w:color w:val="auto"/>
                      <w:szCs w:val="21"/>
                    </w:rPr>
                  </w:pPr>
                  <w:r>
                    <w:rPr>
                      <w:b/>
                      <w:bCs/>
                      <w:color w:val="auto"/>
                      <w:kern w:val="0"/>
                      <w:szCs w:val="21"/>
                      <w:lang w:bidi="ar"/>
                    </w:rPr>
                    <w:t>用水名称</w:t>
                  </w:r>
                </w:p>
              </w:tc>
              <w:tc>
                <w:tcPr>
                  <w:tcW w:w="92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71889A0">
                  <w:pPr>
                    <w:widowControl/>
                    <w:jc w:val="center"/>
                    <w:textAlignment w:val="center"/>
                    <w:rPr>
                      <w:b/>
                      <w:bCs/>
                      <w:color w:val="auto"/>
                      <w:szCs w:val="21"/>
                    </w:rPr>
                  </w:pPr>
                  <w:r>
                    <w:rPr>
                      <w:b/>
                      <w:bCs/>
                      <w:color w:val="auto"/>
                      <w:kern w:val="0"/>
                      <w:szCs w:val="21"/>
                      <w:lang w:bidi="ar"/>
                    </w:rPr>
                    <w:t>新鲜水</w:t>
                  </w:r>
                </w:p>
              </w:tc>
              <w:tc>
                <w:tcPr>
                  <w:tcW w:w="762"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364BA02">
                  <w:pPr>
                    <w:widowControl/>
                    <w:jc w:val="center"/>
                    <w:textAlignment w:val="center"/>
                    <w:rPr>
                      <w:b/>
                      <w:bCs/>
                      <w:color w:val="auto"/>
                      <w:szCs w:val="21"/>
                    </w:rPr>
                  </w:pPr>
                  <w:r>
                    <w:rPr>
                      <w:b/>
                      <w:bCs/>
                      <w:color w:val="auto"/>
                      <w:kern w:val="0"/>
                      <w:szCs w:val="21"/>
                      <w:lang w:bidi="ar"/>
                    </w:rPr>
                    <w:t>循环水</w:t>
                  </w:r>
                </w:p>
              </w:tc>
              <w:tc>
                <w:tcPr>
                  <w:tcW w:w="723"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40B45F">
                  <w:pPr>
                    <w:widowControl/>
                    <w:jc w:val="center"/>
                    <w:textAlignment w:val="center"/>
                    <w:rPr>
                      <w:b/>
                      <w:bCs/>
                      <w:color w:val="auto"/>
                      <w:szCs w:val="21"/>
                    </w:rPr>
                  </w:pPr>
                  <w:r>
                    <w:rPr>
                      <w:b/>
                      <w:bCs/>
                      <w:color w:val="auto"/>
                      <w:kern w:val="0"/>
                      <w:szCs w:val="21"/>
                      <w:lang w:bidi="ar"/>
                    </w:rPr>
                    <w:t>损耗量</w:t>
                  </w:r>
                </w:p>
              </w:tc>
              <w:tc>
                <w:tcPr>
                  <w:tcW w:w="79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F546B97">
                  <w:pPr>
                    <w:widowControl/>
                    <w:jc w:val="center"/>
                    <w:textAlignment w:val="center"/>
                    <w:rPr>
                      <w:b/>
                      <w:bCs/>
                      <w:color w:val="auto"/>
                      <w:kern w:val="0"/>
                      <w:szCs w:val="21"/>
                      <w:lang w:bidi="ar"/>
                    </w:rPr>
                  </w:pPr>
                  <w:r>
                    <w:rPr>
                      <w:b/>
                      <w:bCs/>
                      <w:color w:val="auto"/>
                      <w:kern w:val="0"/>
                      <w:szCs w:val="21"/>
                      <w:lang w:bidi="ar"/>
                    </w:rPr>
                    <w:t>排放量</w:t>
                  </w:r>
                </w:p>
              </w:tc>
            </w:tr>
            <w:tr w14:paraId="118FEAF1">
              <w:tblPrEx>
                <w:tblCellMar>
                  <w:top w:w="0" w:type="dxa"/>
                  <w:left w:w="108" w:type="dxa"/>
                  <w:bottom w:w="0" w:type="dxa"/>
                  <w:right w:w="108" w:type="dxa"/>
                </w:tblCellMar>
              </w:tblPrEx>
              <w:trPr>
                <w:trHeight w:val="57" w:hRule="atLeast"/>
                <w:jc w:val="center"/>
              </w:trPr>
              <w:tc>
                <w:tcPr>
                  <w:tcW w:w="1792"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C739314">
                  <w:pPr>
                    <w:widowControl/>
                    <w:jc w:val="center"/>
                    <w:textAlignment w:val="center"/>
                    <w:rPr>
                      <w:color w:val="auto"/>
                      <w:szCs w:val="21"/>
                    </w:rPr>
                  </w:pPr>
                  <w:r>
                    <w:rPr>
                      <w:color w:val="auto"/>
                      <w:szCs w:val="21"/>
                    </w:rPr>
                    <w:t>生活用水</w:t>
                  </w:r>
                </w:p>
              </w:tc>
              <w:tc>
                <w:tcPr>
                  <w:tcW w:w="923"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8DE376A">
                  <w:pPr>
                    <w:widowControl/>
                    <w:jc w:val="center"/>
                    <w:textAlignment w:val="center"/>
                    <w:rPr>
                      <w:color w:val="auto"/>
                      <w:szCs w:val="21"/>
                    </w:rPr>
                  </w:pPr>
                  <w:r>
                    <w:rPr>
                      <w:color w:val="auto"/>
                      <w:kern w:val="0"/>
                      <w:szCs w:val="21"/>
                      <w:lang w:bidi="ar"/>
                    </w:rPr>
                    <w:t>0.58</w:t>
                  </w:r>
                </w:p>
              </w:tc>
              <w:tc>
                <w:tcPr>
                  <w:tcW w:w="762"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000AC7C">
                  <w:pPr>
                    <w:widowControl/>
                    <w:jc w:val="center"/>
                    <w:textAlignment w:val="center"/>
                    <w:rPr>
                      <w:color w:val="auto"/>
                      <w:szCs w:val="21"/>
                    </w:rPr>
                  </w:pPr>
                  <w:r>
                    <w:rPr>
                      <w:color w:val="auto"/>
                      <w:kern w:val="0"/>
                      <w:szCs w:val="21"/>
                      <w:lang w:bidi="ar"/>
                    </w:rPr>
                    <w:t>0</w:t>
                  </w:r>
                </w:p>
              </w:tc>
              <w:tc>
                <w:tcPr>
                  <w:tcW w:w="723"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4E5D5C1">
                  <w:pPr>
                    <w:widowControl/>
                    <w:jc w:val="center"/>
                    <w:textAlignment w:val="center"/>
                    <w:rPr>
                      <w:color w:val="auto"/>
                      <w:szCs w:val="21"/>
                    </w:rPr>
                  </w:pPr>
                  <w:r>
                    <w:rPr>
                      <w:color w:val="auto"/>
                      <w:kern w:val="0"/>
                      <w:szCs w:val="21"/>
                      <w:lang w:bidi="ar"/>
                    </w:rPr>
                    <w:t>0.058</w:t>
                  </w:r>
                </w:p>
              </w:tc>
              <w:tc>
                <w:tcPr>
                  <w:tcW w:w="79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0463C9C">
                  <w:pPr>
                    <w:widowControl/>
                    <w:jc w:val="center"/>
                    <w:textAlignment w:val="center"/>
                    <w:rPr>
                      <w:color w:val="auto"/>
                      <w:kern w:val="0"/>
                      <w:szCs w:val="21"/>
                      <w:lang w:bidi="ar"/>
                    </w:rPr>
                  </w:pPr>
                  <w:r>
                    <w:rPr>
                      <w:color w:val="auto"/>
                      <w:kern w:val="0"/>
                      <w:szCs w:val="21"/>
                      <w:lang w:bidi="ar"/>
                    </w:rPr>
                    <w:t>0.522</w:t>
                  </w:r>
                </w:p>
              </w:tc>
            </w:tr>
            <w:tr w14:paraId="406BC212">
              <w:tblPrEx>
                <w:tblCellMar>
                  <w:top w:w="0" w:type="dxa"/>
                  <w:left w:w="108" w:type="dxa"/>
                  <w:bottom w:w="0" w:type="dxa"/>
                  <w:right w:w="108" w:type="dxa"/>
                </w:tblCellMar>
              </w:tblPrEx>
              <w:trPr>
                <w:trHeight w:val="57" w:hRule="atLeast"/>
                <w:jc w:val="center"/>
              </w:trPr>
              <w:tc>
                <w:tcPr>
                  <w:tcW w:w="1792"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34D0DA">
                  <w:pPr>
                    <w:widowControl/>
                    <w:jc w:val="center"/>
                    <w:textAlignment w:val="center"/>
                    <w:rPr>
                      <w:color w:val="auto"/>
                      <w:szCs w:val="21"/>
                    </w:rPr>
                  </w:pPr>
                  <w:r>
                    <w:rPr>
                      <w:color w:val="auto"/>
                      <w:kern w:val="0"/>
                      <w:szCs w:val="21"/>
                      <w:lang w:bidi="ar"/>
                    </w:rPr>
                    <w:t>合计</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A3D28F7">
                  <w:pPr>
                    <w:widowControl/>
                    <w:jc w:val="center"/>
                    <w:textAlignment w:val="center"/>
                    <w:rPr>
                      <w:color w:val="auto"/>
                      <w:szCs w:val="21"/>
                    </w:rPr>
                  </w:pPr>
                  <w:r>
                    <w:rPr>
                      <w:color w:val="auto"/>
                      <w:kern w:val="0"/>
                      <w:szCs w:val="21"/>
                      <w:lang w:bidi="ar"/>
                    </w:rPr>
                    <w:t>0.58</w:t>
                  </w:r>
                </w:p>
              </w:tc>
              <w:tc>
                <w:tcPr>
                  <w:tcW w:w="1399"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59698A">
                  <w:pPr>
                    <w:widowControl/>
                    <w:jc w:val="center"/>
                    <w:textAlignment w:val="center"/>
                    <w:rPr>
                      <w:color w:val="auto"/>
                      <w:szCs w:val="21"/>
                    </w:rPr>
                  </w:pPr>
                  <w:r>
                    <w:rPr>
                      <w:color w:val="auto"/>
                      <w:kern w:val="0"/>
                      <w:szCs w:val="21"/>
                      <w:lang w:bidi="ar"/>
                    </w:rPr>
                    <w:t>0</w:t>
                  </w:r>
                </w:p>
              </w:tc>
              <w:tc>
                <w:tcPr>
                  <w:tcW w:w="132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C32BCDB">
                  <w:pPr>
                    <w:widowControl/>
                    <w:jc w:val="center"/>
                    <w:textAlignment w:val="center"/>
                    <w:rPr>
                      <w:color w:val="auto"/>
                      <w:szCs w:val="21"/>
                    </w:rPr>
                  </w:pPr>
                  <w:r>
                    <w:rPr>
                      <w:color w:val="auto"/>
                      <w:kern w:val="0"/>
                      <w:szCs w:val="21"/>
                      <w:lang w:bidi="ar"/>
                    </w:rPr>
                    <w:t>0.058</w:t>
                  </w:r>
                </w:p>
              </w:tc>
              <w:tc>
                <w:tcPr>
                  <w:tcW w:w="146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8402CA">
                  <w:pPr>
                    <w:widowControl/>
                    <w:jc w:val="center"/>
                    <w:textAlignment w:val="center"/>
                    <w:rPr>
                      <w:color w:val="auto"/>
                      <w:kern w:val="0"/>
                      <w:szCs w:val="21"/>
                      <w:lang w:bidi="ar"/>
                    </w:rPr>
                  </w:pPr>
                  <w:r>
                    <w:rPr>
                      <w:color w:val="auto"/>
                      <w:kern w:val="0"/>
                      <w:szCs w:val="21"/>
                      <w:lang w:bidi="ar"/>
                    </w:rPr>
                    <w:t>0.522</w:t>
                  </w:r>
                </w:p>
              </w:tc>
            </w:tr>
          </w:tbl>
          <w:p w14:paraId="0100F959">
            <w:pPr>
              <w:rPr>
                <w:b/>
                <w:bCs/>
                <w:color w:val="auto"/>
                <w:szCs w:val="21"/>
              </w:rPr>
            </w:pPr>
          </w:p>
          <w:p w14:paraId="1D6A6AE1">
            <w:pPr>
              <w:pStyle w:val="106"/>
              <w:adjustRightInd w:val="0"/>
              <w:snapToGrid w:val="0"/>
              <w:spacing w:after="0"/>
              <w:ind w:firstLine="0" w:firstLineChars="0"/>
              <w:jc w:val="center"/>
              <w:rPr>
                <w:color w:val="auto"/>
                <w:szCs w:val="21"/>
              </w:rPr>
            </w:pPr>
            <w:r>
              <w:rPr>
                <w:color w:val="auto"/>
                <w:szCs w:val="21"/>
              </w:rPr>
              <mc:AlternateContent>
                <mc:Choice Requires="wpc">
                  <w:drawing>
                    <wp:inline distT="0" distB="0" distL="0" distR="0">
                      <wp:extent cx="5706745" cy="974725"/>
                      <wp:effectExtent l="4445" t="4445" r="22860" b="11430"/>
                      <wp:docPr id="84" name="画布 300"/>
                      <wp:cNvGraphicFramePr/>
                      <a:graphic xmlns:a="http://schemas.openxmlformats.org/drawingml/2006/main">
                        <a:graphicData uri="http://schemas.microsoft.com/office/word/2010/wordprocessingCanvas">
                          <wpc:wpc>
                            <wpc:bg/>
                            <wpc:whole>
                              <a:ln>
                                <a:solidFill>
                                  <a:schemeClr val="tx1"/>
                                </a:solidFill>
                              </a:ln>
                            </wpc:whole>
                            <wps:wsp>
                              <wps:cNvPr id="65" name="文本框 57"/>
                              <wps:cNvSpPr txBox="1">
                                <a:spLocks noChangeArrowheads="1"/>
                              </wps:cNvSpPr>
                              <wps:spPr bwMode="auto">
                                <a:xfrm>
                                  <a:off x="55880" y="156845"/>
                                  <a:ext cx="289560" cy="653415"/>
                                </a:xfrm>
                                <a:prstGeom prst="rect">
                                  <a:avLst/>
                                </a:prstGeom>
                                <a:noFill/>
                                <a:ln>
                                  <a:noFill/>
                                </a:ln>
                                <a:effectLst/>
                              </wps:spPr>
                              <wps:txbx>
                                <w:txbxContent>
                                  <w:p w14:paraId="343C425A">
                                    <w:pPr>
                                      <w:pStyle w:val="33"/>
                                      <w:jc w:val="center"/>
                                      <w:rPr>
                                        <w:rFonts w:ascii="Times New Roman" w:hAnsi="Times New Roman" w:eastAsia="宋体" w:cs="Times New Roman"/>
                                        <w:sz w:val="21"/>
                                      </w:rPr>
                                    </w:pPr>
                                    <w:r>
                                      <w:rPr>
                                        <w:rFonts w:ascii="Times New Roman" w:hAnsi="Times New Roman" w:eastAsia="宋体" w:cs="Times New Roman"/>
                                        <w:sz w:val="21"/>
                                        <w:szCs w:val="21"/>
                                      </w:rPr>
                                      <w:t>新鲜水</w:t>
                                    </w:r>
                                  </w:p>
                                </w:txbxContent>
                              </wps:txbx>
                              <wps:bodyPr rot="0" vert="horz" wrap="square" lIns="91440" tIns="45720" rIns="91440" bIns="45720" anchor="t" anchorCtr="0" upright="1">
                                <a:noAutofit/>
                              </wps:bodyPr>
                            </wps:wsp>
                            <wps:wsp>
                              <wps:cNvPr id="91" name="文本框 232"/>
                              <wps:cNvSpPr txBox="1">
                                <a:spLocks noChangeArrowheads="1"/>
                              </wps:cNvSpPr>
                              <wps:spPr bwMode="auto">
                                <a:xfrm>
                                  <a:off x="2481580" y="337185"/>
                                  <a:ext cx="866775" cy="293370"/>
                                </a:xfrm>
                                <a:prstGeom prst="rect">
                                  <a:avLst/>
                                </a:prstGeom>
                                <a:noFill/>
                                <a:ln w="9525">
                                  <a:solidFill>
                                    <a:srgbClr val="000000"/>
                                  </a:solidFill>
                                  <a:miter lim="800000"/>
                                </a:ln>
                                <a:effectLst/>
                              </wps:spPr>
                              <wps:txbx>
                                <w:txbxContent>
                                  <w:p w14:paraId="17E2A794">
                                    <w:pPr>
                                      <w:pStyle w:val="33"/>
                                      <w:rPr>
                                        <w:rFonts w:ascii="Times New Roman" w:hAnsi="Times New Roman" w:eastAsia="宋体" w:cs="Times New Roman"/>
                                        <w:sz w:val="21"/>
                                      </w:rPr>
                                    </w:pPr>
                                    <w:r>
                                      <w:rPr>
                                        <w:rFonts w:ascii="Times New Roman" w:hAnsi="Times New Roman" w:eastAsia="宋体" w:cs="Times New Roman"/>
                                        <w:sz w:val="21"/>
                                      </w:rPr>
                                      <w:t>三级化粪池</w:t>
                                    </w:r>
                                  </w:p>
                                </w:txbxContent>
                              </wps:txbx>
                              <wps:bodyPr rot="0" vert="horz" wrap="square" lIns="91440" tIns="45720" rIns="91440" bIns="45720" anchor="t" anchorCtr="0" upright="1">
                                <a:noAutofit/>
                              </wps:bodyPr>
                            </wps:wsp>
                            <wps:wsp>
                              <wps:cNvPr id="92" name="文本框 59"/>
                              <wps:cNvSpPr txBox="1">
                                <a:spLocks noChangeArrowheads="1"/>
                              </wps:cNvSpPr>
                              <wps:spPr bwMode="auto">
                                <a:xfrm>
                                  <a:off x="980440" y="332105"/>
                                  <a:ext cx="755015" cy="303530"/>
                                </a:xfrm>
                                <a:prstGeom prst="rect">
                                  <a:avLst/>
                                </a:prstGeom>
                                <a:noFill/>
                                <a:ln w="9525">
                                  <a:solidFill>
                                    <a:srgbClr val="000000"/>
                                  </a:solidFill>
                                  <a:miter lim="800000"/>
                                </a:ln>
                                <a:effectLst/>
                              </wps:spPr>
                              <wps:txbx>
                                <w:txbxContent>
                                  <w:p w14:paraId="5381D708">
                                    <w:pPr>
                                      <w:jc w:val="center"/>
                                    </w:pPr>
                                    <w:r>
                                      <w:rPr>
                                        <w:rFonts w:hint="eastAsia"/>
                                      </w:rPr>
                                      <w:t>生活用水</w:t>
                                    </w:r>
                                  </w:p>
                                </w:txbxContent>
                              </wps:txbx>
                              <wps:bodyPr rot="0" vert="horz" wrap="square" lIns="91440" tIns="45720" rIns="91440" bIns="45720" anchor="t" anchorCtr="0" upright="1">
                                <a:noAutofit/>
                              </wps:bodyPr>
                            </wps:wsp>
                            <wps:wsp>
                              <wps:cNvPr id="95" name="自选图形 82"/>
                              <wps:cNvCnPr>
                                <a:cxnSpLocks noChangeShapeType="1"/>
                              </wps:cNvCnPr>
                              <wps:spPr bwMode="auto">
                                <a:xfrm>
                                  <a:off x="1283970" y="641350"/>
                                  <a:ext cx="314960" cy="174625"/>
                                </a:xfrm>
                                <a:prstGeom prst="curvedConnector3">
                                  <a:avLst>
                                    <a:gd name="adj1" fmla="val 50202"/>
                                  </a:avLst>
                                </a:prstGeom>
                                <a:noFill/>
                                <a:ln w="9525">
                                  <a:solidFill>
                                    <a:srgbClr val="000000"/>
                                  </a:solidFill>
                                  <a:prstDash val="dash"/>
                                  <a:round/>
                                  <a:tailEnd type="triangle" w="med" len="med"/>
                                </a:ln>
                                <a:effectLst/>
                              </wps:spPr>
                              <wps:bodyPr/>
                            </wps:wsp>
                            <wps:wsp>
                              <wps:cNvPr id="108" name="文本框 80"/>
                              <wps:cNvSpPr txBox="1">
                                <a:spLocks noChangeArrowheads="1"/>
                              </wps:cNvSpPr>
                              <wps:spPr bwMode="auto">
                                <a:xfrm>
                                  <a:off x="1585595" y="685165"/>
                                  <a:ext cx="864870" cy="247015"/>
                                </a:xfrm>
                                <a:prstGeom prst="rect">
                                  <a:avLst/>
                                </a:prstGeom>
                                <a:noFill/>
                                <a:ln>
                                  <a:noFill/>
                                </a:ln>
                                <a:effectLst/>
                              </wps:spPr>
                              <wps:txbx>
                                <w:txbxContent>
                                  <w:p w14:paraId="5ADB1A81">
                                    <w:pPr>
                                      <w:pStyle w:val="33"/>
                                      <w:jc w:val="both"/>
                                      <w:rPr>
                                        <w:rFonts w:ascii="Times New Roman" w:hAnsi="Times New Roman" w:eastAsia="宋体" w:cs="Times New Roman"/>
                                        <w:sz w:val="21"/>
                                      </w:rPr>
                                    </w:pPr>
                                    <w:r>
                                      <w:rPr>
                                        <w:rFonts w:ascii="Times New Roman" w:hAnsi="Times New Roman" w:eastAsia="宋体" w:cs="Times New Roman"/>
                                        <w:sz w:val="21"/>
                                        <w:szCs w:val="20"/>
                                      </w:rPr>
                                      <w:t>损耗</w:t>
                                    </w:r>
                                    <w:r>
                                      <w:rPr>
                                        <w:rFonts w:hint="eastAsia" w:ascii="Times New Roman" w:hAnsi="Times New Roman" w:eastAsia="宋体" w:cs="Times New Roman"/>
                                        <w:sz w:val="21"/>
                                        <w:szCs w:val="20"/>
                                      </w:rPr>
                                      <w:t>：0.058</w:t>
                                    </w:r>
                                  </w:p>
                                </w:txbxContent>
                              </wps:txbx>
                              <wps:bodyPr rot="0" vert="horz" wrap="square" lIns="91440" tIns="45720" rIns="91440" bIns="45720" anchor="t" anchorCtr="0" upright="1">
                                <a:noAutofit/>
                              </wps:bodyPr>
                            </wps:wsp>
                            <wps:wsp>
                              <wps:cNvPr id="112" name="自选图形 63"/>
                              <wps:cNvCnPr>
                                <a:cxnSpLocks noChangeShapeType="1"/>
                                <a:endCxn id="92" idx="1"/>
                              </wps:cNvCnPr>
                              <wps:spPr bwMode="auto">
                                <a:xfrm>
                                  <a:off x="345440" y="483870"/>
                                  <a:ext cx="635000" cy="3175"/>
                                </a:xfrm>
                                <a:prstGeom prst="bentConnector2">
                                  <a:avLst/>
                                </a:prstGeom>
                                <a:noFill/>
                                <a:ln w="9525">
                                  <a:solidFill>
                                    <a:srgbClr val="000000"/>
                                  </a:solidFill>
                                  <a:miter lim="800000"/>
                                  <a:headEnd type="none" w="med" len="med"/>
                                  <a:tailEnd type="triangle" w="med" len="med"/>
                                </a:ln>
                                <a:effectLst/>
                              </wps:spPr>
                              <wps:bodyPr/>
                            </wps:wsp>
                            <wps:wsp>
                              <wps:cNvPr id="113" name="文本框 66"/>
                              <wps:cNvSpPr txBox="1">
                                <a:spLocks noChangeArrowheads="1"/>
                              </wps:cNvSpPr>
                              <wps:spPr bwMode="auto">
                                <a:xfrm>
                                  <a:off x="352425" y="252730"/>
                                  <a:ext cx="488950" cy="262890"/>
                                </a:xfrm>
                                <a:prstGeom prst="rect">
                                  <a:avLst/>
                                </a:prstGeom>
                                <a:noFill/>
                                <a:ln>
                                  <a:noFill/>
                                </a:ln>
                                <a:effectLst/>
                              </wps:spPr>
                              <wps:txbx>
                                <w:txbxContent>
                                  <w:p w14:paraId="3EEAFCC4">
                                    <w:pPr>
                                      <w:pStyle w:val="33"/>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0.58</w:t>
                                    </w:r>
                                  </w:p>
                                </w:txbxContent>
                              </wps:txbx>
                              <wps:bodyPr rot="0" vert="horz" wrap="square" lIns="91440" tIns="45720" rIns="91440" bIns="45720" anchor="t" anchorCtr="0" upright="1">
                                <a:noAutofit/>
                              </wps:bodyPr>
                            </wps:wsp>
                            <wps:wsp>
                              <wps:cNvPr id="139" name="文本框 66"/>
                              <wps:cNvSpPr txBox="1">
                                <a:spLocks noChangeArrowheads="1"/>
                              </wps:cNvSpPr>
                              <wps:spPr bwMode="auto">
                                <a:xfrm>
                                  <a:off x="1835785" y="276225"/>
                                  <a:ext cx="527050" cy="262890"/>
                                </a:xfrm>
                                <a:prstGeom prst="rect">
                                  <a:avLst/>
                                </a:prstGeom>
                                <a:noFill/>
                                <a:ln>
                                  <a:noFill/>
                                </a:ln>
                                <a:effectLst/>
                              </wps:spPr>
                              <wps:txbx>
                                <w:txbxContent>
                                  <w:p w14:paraId="21B527B5">
                                    <w:pPr>
                                      <w:pStyle w:val="33"/>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0.522</w:t>
                                    </w:r>
                                  </w:p>
                                </w:txbxContent>
                              </wps:txbx>
                              <wps:bodyPr rot="0" vert="horz" wrap="square" lIns="91440" tIns="45720" rIns="91440" bIns="45720" anchor="t" anchorCtr="0" upright="1">
                                <a:noAutofit/>
                              </wps:bodyPr>
                            </wps:wsp>
                            <wps:wsp>
                              <wps:cNvPr id="146" name="文本框 62"/>
                              <wps:cNvSpPr txBox="1">
                                <a:spLocks noChangeArrowheads="1"/>
                              </wps:cNvSpPr>
                              <wps:spPr bwMode="auto">
                                <a:xfrm>
                                  <a:off x="4030345" y="255905"/>
                                  <a:ext cx="793115" cy="455930"/>
                                </a:xfrm>
                                <a:prstGeom prst="rect">
                                  <a:avLst/>
                                </a:prstGeom>
                                <a:noFill/>
                                <a:ln w="9525">
                                  <a:noFill/>
                                  <a:miter lim="800000"/>
                                </a:ln>
                                <a:effectLst/>
                              </wps:spPr>
                              <wps:txbx>
                                <w:txbxContent>
                                  <w:p w14:paraId="34527C27">
                                    <w:pPr>
                                      <w:pStyle w:val="33"/>
                                      <w:spacing w:before="0" w:beforeAutospacing="0" w:after="0" w:afterAutospacing="0"/>
                                      <w:jc w:val="center"/>
                                      <w:rPr>
                                        <w:rFonts w:ascii="Times New Roman" w:hAnsi="Times New Roman" w:eastAsia="宋体" w:cs="Times New Roman"/>
                                        <w:sz w:val="21"/>
                                      </w:rPr>
                                    </w:pPr>
                                    <w:r>
                                      <w:rPr>
                                        <w:rFonts w:hint="eastAsia" w:ascii="Times New Roman" w:hAnsi="Times New Roman" w:eastAsia="宋体" w:cs="Times New Roman"/>
                                        <w:sz w:val="21"/>
                                        <w:szCs w:val="21"/>
                                      </w:rPr>
                                      <w:t>园区污水</w:t>
                                    </w:r>
                                    <w:r>
                                      <w:rPr>
                                        <w:rFonts w:ascii="Times New Roman" w:hAnsi="Times New Roman" w:eastAsia="宋体" w:cs="Times New Roman"/>
                                        <w:sz w:val="21"/>
                                        <w:szCs w:val="21"/>
                                      </w:rPr>
                                      <w:t>处理厂</w:t>
                                    </w:r>
                                  </w:p>
                                </w:txbxContent>
                              </wps:txbx>
                              <wps:bodyPr rot="0" vert="horz" wrap="square" lIns="91440" tIns="45720" rIns="91440" bIns="45720" anchor="t" anchorCtr="0" upright="1">
                                <a:noAutofit/>
                              </wps:bodyPr>
                            </wps:wsp>
                            <wps:wsp>
                              <wps:cNvPr id="2" name="自选图形 63"/>
                              <wps:cNvCnPr>
                                <a:cxnSpLocks noChangeShapeType="1"/>
                                <a:stCxn id="92" idx="3"/>
                                <a:endCxn id="91" idx="1"/>
                              </wps:cNvCnPr>
                              <wps:spPr bwMode="auto">
                                <a:xfrm>
                                  <a:off x="1735455" y="483870"/>
                                  <a:ext cx="746125" cy="3175"/>
                                </a:xfrm>
                                <a:prstGeom prst="bentConnector2">
                                  <a:avLst/>
                                </a:prstGeom>
                                <a:noFill/>
                                <a:ln w="9525">
                                  <a:solidFill>
                                    <a:srgbClr val="000000"/>
                                  </a:solidFill>
                                  <a:miter lim="800000"/>
                                  <a:headEnd type="none" w="med" len="med"/>
                                  <a:tailEnd type="triangle" w="med" len="med"/>
                                </a:ln>
                                <a:effectLst/>
                              </wps:spPr>
                              <wps:bodyPr/>
                            </wps:wsp>
                            <wps:wsp>
                              <wps:cNvPr id="3" name="自选图形 63"/>
                              <wps:cNvCnPr>
                                <a:cxnSpLocks noChangeShapeType="1"/>
                                <a:stCxn id="91" idx="3"/>
                                <a:endCxn id="146" idx="1"/>
                              </wps:cNvCnPr>
                              <wps:spPr bwMode="auto">
                                <a:xfrm>
                                  <a:off x="3348355" y="483870"/>
                                  <a:ext cx="681990" cy="3175"/>
                                </a:xfrm>
                                <a:prstGeom prst="bentConnector2">
                                  <a:avLst/>
                                </a:prstGeom>
                                <a:noFill/>
                                <a:ln w="9525">
                                  <a:solidFill>
                                    <a:srgbClr val="000000"/>
                                  </a:solidFill>
                                  <a:miter lim="800000"/>
                                  <a:headEnd type="none" w="med" len="med"/>
                                  <a:tailEnd type="triangle" w="med" len="med"/>
                                </a:ln>
                                <a:effectLst/>
                              </wps:spPr>
                              <wps:bodyPr/>
                            </wps:wsp>
                            <wps:wsp>
                              <wps:cNvPr id="5" name="文本框 66"/>
                              <wps:cNvSpPr txBox="1">
                                <a:spLocks noChangeArrowheads="1"/>
                              </wps:cNvSpPr>
                              <wps:spPr bwMode="auto">
                                <a:xfrm>
                                  <a:off x="3445510" y="304800"/>
                                  <a:ext cx="527050" cy="262890"/>
                                </a:xfrm>
                                <a:prstGeom prst="rect">
                                  <a:avLst/>
                                </a:prstGeom>
                                <a:noFill/>
                                <a:ln>
                                  <a:noFill/>
                                </a:ln>
                                <a:effectLst/>
                              </wps:spPr>
                              <wps:txbx>
                                <w:txbxContent>
                                  <w:p w14:paraId="33A4BAA5">
                                    <w:pPr>
                                      <w:pStyle w:val="33"/>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0.522</w:t>
                                    </w:r>
                                  </w:p>
                                </w:txbxContent>
                              </wps:txbx>
                              <wps:bodyPr rot="0" vert="horz" wrap="square" lIns="91440" tIns="45720" rIns="91440" bIns="45720" anchor="t" anchorCtr="0" upright="1">
                                <a:noAutofit/>
                              </wps:bodyPr>
                            </wps:wsp>
                          </wpc:wpc>
                        </a:graphicData>
                      </a:graphic>
                    </wp:inline>
                  </w:drawing>
                </mc:Choice>
                <mc:Fallback>
                  <w:pict>
                    <v:group id="画布 300" o:spid="_x0000_s1026" o:spt="203" style="height:76.75pt;width:449.35pt;" coordsize="5706745,974725" editas="canvas" o:gfxdata="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">
                      <o:lock v:ext="edit" aspectratio="f"/>
                      <v:shape id="画布 300" o:spid="_x0000_s1026" style="position:absolute;left:0;top:0;height:974725;width:5706745;" filled="f" stroked="t" coordsize="21600,21600" o:gfxdata="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">
                        <v:fill on="f" focussize="0,0"/>
                        <v:stroke color="#000000 [3213]" joinstyle="round"/>
                        <v:imagedata o:title=""/>
                        <o:lock v:ext="edit" aspectratio="f"/>
                      </v:shape>
                      <v:shape id="文本框 57" o:spid="_x0000_s1026" o:spt="202" type="#_x0000_t202" style="position:absolute;left:55880;top:156845;height:653415;width:289560;" filled="f" stroked="f" coordsize="21600,21600" o:gfxdata="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Uq34J&#10;0wAAAAUBAAAPAAAAAAAAAAEAIAAAACIAAABkcnMvZG93bnJldi54bWxQSwECFAAUAAAACACHTuJA&#10;wrcKnyYCAAAtBAAADgAAAAAAAAABACAAAAAiAQAAZHJzL2Uyb0RvYy54bWxQSwUGAAAAAAYABgBZ&#10;AQAAugUAAAAA&#10;">
                        <v:fill on="f" focussize="0,0"/>
                        <v:stroke on="f"/>
                        <v:imagedata o:title=""/>
                        <o:lock v:ext="edit" aspectratio="f"/>
                        <v:textbox>
                          <w:txbxContent>
                            <w:p w14:paraId="343C425A">
                              <w:pPr>
                                <w:pStyle w:val="33"/>
                                <w:jc w:val="center"/>
                                <w:rPr>
                                  <w:rFonts w:ascii="Times New Roman" w:hAnsi="Times New Roman" w:eastAsia="宋体" w:cs="Times New Roman"/>
                                  <w:sz w:val="21"/>
                                </w:rPr>
                              </w:pPr>
                              <w:r>
                                <w:rPr>
                                  <w:rFonts w:ascii="Times New Roman" w:hAnsi="Times New Roman" w:eastAsia="宋体" w:cs="Times New Roman"/>
                                  <w:sz w:val="21"/>
                                  <w:szCs w:val="21"/>
                                </w:rPr>
                                <w:t>新鲜水</w:t>
                              </w:r>
                            </w:p>
                          </w:txbxContent>
                        </v:textbox>
                      </v:shape>
                      <v:shape id="文本框 232" o:spid="_x0000_s1026" o:spt="202" type="#_x0000_t202" style="position:absolute;left:2481580;top:337185;height:293370;width:866775;" filled="f" stroked="t" coordsize="21600,21600" o:gfxdata="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UcnqetQAAAAFAQAADwAAAAAA&#10;AAABACAAAAAiAAAAZHJzL2Rvd25yZXYueG1sUEsBAhQAFAAAAAgAh07iQPEIaWFQAgAAeQQAAA4A&#10;AAAAAAAAAQAgAAAAIwEAAGRycy9lMm9Eb2MueG1sUEsFBgAAAAAGAAYAWQEAAOUFAAAAAA==&#10;">
                        <v:fill on="f" focussize="0,0"/>
                        <v:stroke color="#000000" miterlimit="8" joinstyle="miter"/>
                        <v:imagedata o:title=""/>
                        <o:lock v:ext="edit" aspectratio="f"/>
                        <v:textbox>
                          <w:txbxContent>
                            <w:p w14:paraId="17E2A794">
                              <w:pPr>
                                <w:pStyle w:val="33"/>
                                <w:rPr>
                                  <w:rFonts w:ascii="Times New Roman" w:hAnsi="Times New Roman" w:eastAsia="宋体" w:cs="Times New Roman"/>
                                  <w:sz w:val="21"/>
                                </w:rPr>
                              </w:pPr>
                              <w:r>
                                <w:rPr>
                                  <w:rFonts w:ascii="Times New Roman" w:hAnsi="Times New Roman" w:eastAsia="宋体" w:cs="Times New Roman"/>
                                  <w:sz w:val="21"/>
                                </w:rPr>
                                <w:t>三级化粪池</w:t>
                              </w:r>
                            </w:p>
                          </w:txbxContent>
                        </v:textbox>
                      </v:shape>
                      <v:shape id="文本框 59" o:spid="_x0000_s1026" o:spt="202" type="#_x0000_t202" style="position:absolute;left:980440;top:332105;height:303530;width:755015;" filled="f" stroked="t" coordsize="21600,21600" o:gfxdata="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HJ6nrUAAAABQEAAA8AAAAAAAAA&#10;AQAgAAAAIgAAAGRycy9kb3ducmV2LnhtbFBLAQIUABQAAAAIAIdO4kAdBQN6TgIAAHcEAAAOAAAA&#10;AAAAAAEAIAAAACMBAABkcnMvZTJvRG9jLnhtbFBLBQYAAAAABgAGAFkBAADjBQAAAAA=&#10;">
                        <v:fill on="f" focussize="0,0"/>
                        <v:stroke color="#000000" miterlimit="8" joinstyle="miter"/>
                        <v:imagedata o:title=""/>
                        <o:lock v:ext="edit" aspectratio="f"/>
                        <v:textbox>
                          <w:txbxContent>
                            <w:p w14:paraId="5381D708">
                              <w:pPr>
                                <w:jc w:val="center"/>
                              </w:pPr>
                              <w:r>
                                <w:rPr>
                                  <w:rFonts w:hint="eastAsia"/>
                                </w:rPr>
                                <w:t>生活用水</w:t>
                              </w:r>
                            </w:p>
                          </w:txbxContent>
                        </v:textbox>
                      </v:shape>
                      <v:shape id="自选图形 82" o:spid="_x0000_s1026" o:spt="38" type="#_x0000_t38" style="position:absolute;left:1283970;top:641350;height:174625;width:314960;" filled="f" stroked="t" coordsize="21600,21600" o:gfxdata="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mMbt3UAAAABQEAAA8AAAAAAAAAAQAgAAAAIgAAAGRycy9kb3du&#10;cmV2LnhtbFBLAQIUABQAAAAIAIdO4kDZR24xPAIAAEUEAAAOAAAAAAAAAAEAIAAAACMBAABkcnMv&#10;ZTJvRG9jLnhtbFBLBQYAAAAABgAGAFkBAADRBQAAAAA=&#10;" adj="10844">
                        <v:fill on="f" focussize="0,0"/>
                        <v:stroke color="#000000" joinstyle="round" dashstyle="dash" endarrow="block"/>
                        <v:imagedata o:title=""/>
                        <o:lock v:ext="edit" aspectratio="f"/>
                      </v:shape>
                      <v:shape id="文本框 80" o:spid="_x0000_s1026" o:spt="202" type="#_x0000_t202" style="position:absolute;left:1585595;top:685165;height:247015;width:864870;" filled="f" stroked="f" coordsize="21600,21600" o:gfxdata="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Kt+&#10;CdMAAAAFAQAADwAAAAAAAAABACAAAAAiAAAAZHJzL2Rvd25yZXYueG1sUEsBAhQAFAAAAAgAh07i&#10;QMV6rAUnAgAAMAQAAA4AAAAAAAAAAQAgAAAAIgEAAGRycy9lMm9Eb2MueG1sUEsFBgAAAAAGAAYA&#10;WQEAALsFAAAAAA==&#10;">
                        <v:fill on="f" focussize="0,0"/>
                        <v:stroke on="f"/>
                        <v:imagedata o:title=""/>
                        <o:lock v:ext="edit" aspectratio="f"/>
                        <v:textbox>
                          <w:txbxContent>
                            <w:p w14:paraId="5ADB1A81">
                              <w:pPr>
                                <w:pStyle w:val="33"/>
                                <w:jc w:val="both"/>
                                <w:rPr>
                                  <w:rFonts w:ascii="Times New Roman" w:hAnsi="Times New Roman" w:eastAsia="宋体" w:cs="Times New Roman"/>
                                  <w:sz w:val="21"/>
                                </w:rPr>
                              </w:pPr>
                              <w:r>
                                <w:rPr>
                                  <w:rFonts w:ascii="Times New Roman" w:hAnsi="Times New Roman" w:eastAsia="宋体" w:cs="Times New Roman"/>
                                  <w:sz w:val="21"/>
                                  <w:szCs w:val="20"/>
                                </w:rPr>
                                <w:t>损耗</w:t>
                              </w:r>
                              <w:r>
                                <w:rPr>
                                  <w:rFonts w:hint="eastAsia" w:ascii="Times New Roman" w:hAnsi="Times New Roman" w:eastAsia="宋体" w:cs="Times New Roman"/>
                                  <w:sz w:val="21"/>
                                  <w:szCs w:val="20"/>
                                </w:rPr>
                                <w:t>：0.058</w:t>
                              </w:r>
                            </w:p>
                          </w:txbxContent>
                        </v:textbox>
                      </v:shape>
                      <v:shape id="自选图形 63" o:spid="_x0000_s1026" o:spt="33" type="#_x0000_t33" style="position:absolute;left:345440;top:483870;height:3175;width:635000;" filled="f" stroked="t" coordsize="21600,21600" o:gfxdata="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DIxfO9cAAAAFAQAADwAAAAAAAAABACAAAAAiAAAAZHJzL2Rvd25y&#10;ZXYueG1sUEsBAhQAFAAAAAgAh07iQFQp/Y44AgAATgQAAA4AAAAAAAAAAQAgAAAAJgEAAGRycy9l&#10;Mm9Eb2MueG1sUEsFBgAAAAAGAAYAWQEAANAFAAAAAA==&#10;">
                        <v:fill on="f" focussize="0,0"/>
                        <v:stroke color="#000000" miterlimit="8" joinstyle="miter" endarrow="block"/>
                        <v:imagedata o:title=""/>
                        <o:lock v:ext="edit" aspectratio="f"/>
                      </v:shape>
                      <v:shape id="文本框 66" o:spid="_x0000_s1026" o:spt="202" type="#_x0000_t202" style="position:absolute;left:352425;top:252730;height:262890;width:488950;" filled="f" stroked="f" coordsize="21600,21600" o:gfxdata="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Kt+&#10;CdMAAAAFAQAADwAAAAAAAAABACAAAAAiAAAAZHJzL2Rvd25yZXYueG1sUEsBAhQAFAAAAAgAh07i&#10;QNTzqB0nAgAALwQAAA4AAAAAAAAAAQAgAAAAIgEAAGRycy9lMm9Eb2MueG1sUEsFBgAAAAAGAAYA&#10;WQEAALsFAAAAAA==&#10;">
                        <v:fill on="f" focussize="0,0"/>
                        <v:stroke on="f"/>
                        <v:imagedata o:title=""/>
                        <o:lock v:ext="edit" aspectratio="f"/>
                        <v:textbox>
                          <w:txbxContent>
                            <w:p w14:paraId="3EEAFCC4">
                              <w:pPr>
                                <w:pStyle w:val="33"/>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0.58</w:t>
                              </w:r>
                            </w:p>
                          </w:txbxContent>
                        </v:textbox>
                      </v:shape>
                      <v:shape id="文本框 66" o:spid="_x0000_s1026" o:spt="202" type="#_x0000_t202" style="position:absolute;left:1835785;top:276225;height:262890;width:527050;" filled="f" stroked="f" coordsize="21600,21600" o:gfxdata="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Sr&#10;fgnTAAAABQEAAA8AAAAAAAAAAQAgAAAAIgAAAGRycy9kb3ducmV2LnhtbFBLAQIUABQAAAAIAIdO&#10;4kBXkBefKAIAADAEAAAOAAAAAAAAAAEAIAAAACIBAABkcnMvZTJvRG9jLnhtbFBLBQYAAAAABgAG&#10;AFkBAAC8BQAAAAA=&#10;">
                        <v:fill on="f" focussize="0,0"/>
                        <v:stroke on="f"/>
                        <v:imagedata o:title=""/>
                        <o:lock v:ext="edit" aspectratio="f"/>
                        <v:textbox>
                          <w:txbxContent>
                            <w:p w14:paraId="21B527B5">
                              <w:pPr>
                                <w:pStyle w:val="33"/>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0.522</w:t>
                              </w:r>
                            </w:p>
                          </w:txbxContent>
                        </v:textbox>
                      </v:shape>
                      <v:shape id="文本框 62" o:spid="_x0000_s1026" o:spt="202" type="#_x0000_t202" style="position:absolute;left:4030345;top:255905;height:455930;width:793115;" filled="f" stroked="f" coordsize="21600,21600" o:gfxdata="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Uq34J0wAAAAUBAAAPAAAAAAAAAAEAIAAAACIAAABkcnMvZG93&#10;bnJldi54bWxQSwECFAAUAAAACACHTuJA38waPD4CAABQBAAADgAAAAAAAAABACAAAAAiAQAAZHJz&#10;L2Uyb0RvYy54bWxQSwUGAAAAAAYABgBZAQAA0gUAAAAA&#10;">
                        <v:fill on="f" focussize="0,0"/>
                        <v:stroke on="f" miterlimit="8" joinstyle="miter"/>
                        <v:imagedata o:title=""/>
                        <o:lock v:ext="edit" aspectratio="f"/>
                        <v:textbox>
                          <w:txbxContent>
                            <w:p w14:paraId="34527C27">
                              <w:pPr>
                                <w:pStyle w:val="33"/>
                                <w:spacing w:before="0" w:beforeAutospacing="0" w:after="0" w:afterAutospacing="0"/>
                                <w:jc w:val="center"/>
                                <w:rPr>
                                  <w:rFonts w:ascii="Times New Roman" w:hAnsi="Times New Roman" w:eastAsia="宋体" w:cs="Times New Roman"/>
                                  <w:sz w:val="21"/>
                                </w:rPr>
                              </w:pPr>
                              <w:r>
                                <w:rPr>
                                  <w:rFonts w:hint="eastAsia" w:ascii="Times New Roman" w:hAnsi="Times New Roman" w:eastAsia="宋体" w:cs="Times New Roman"/>
                                  <w:sz w:val="21"/>
                                  <w:szCs w:val="21"/>
                                </w:rPr>
                                <w:t>园区污水</w:t>
                              </w:r>
                              <w:r>
                                <w:rPr>
                                  <w:rFonts w:ascii="Times New Roman" w:hAnsi="Times New Roman" w:eastAsia="宋体" w:cs="Times New Roman"/>
                                  <w:sz w:val="21"/>
                                  <w:szCs w:val="21"/>
                                </w:rPr>
                                <w:t>处理厂</w:t>
                              </w:r>
                            </w:p>
                          </w:txbxContent>
                        </v:textbox>
                      </v:shape>
                      <v:shape id="自选图形 63" o:spid="_x0000_s1026" o:spt="33" type="#_x0000_t33" style="position:absolute;left:1735455;top:483870;height:3175;width:746125;" filled="f" stroked="t" coordsize="21600,21600" o:gfxdata="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&#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MjF871wAAAAUBAAAPAAAAAAAAAAEAIAAAACIAAABk&#10;cnMvZG93bnJldi54bWxQSwECFAAUAAAACACHTuJAx9/3LEACAABnBAAADgAAAAAAAAABACAAAAAm&#10;AQAAZHJzL2Uyb0RvYy54bWxQSwUGAAAAAAYABgBZAQAA2AUAAAAA&#10;">
                        <v:fill on="f" focussize="0,0"/>
                        <v:stroke color="#000000" miterlimit="8" joinstyle="miter" endarrow="block"/>
                        <v:imagedata o:title=""/>
                        <o:lock v:ext="edit" aspectratio="f"/>
                      </v:shape>
                      <v:shape id="自选图形 63" o:spid="_x0000_s1026" o:spt="33" type="#_x0000_t33" style="position:absolute;left:3348355;top:483870;height:3175;width:681990;" filled="f" stroked="t" coordsize="21600,21600" o:gfxdata="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yMXzvXAAAABQEAAA8AAAAAAAAAAQAgAAAAIgAA&#10;AGRycy9kb3ducmV2LnhtbFBLAQIUABQAAAAIAIdO4kC55jPpQgIAAGgEAAAOAAAAAAAAAAEAIAAA&#10;ACYBAABkcnMvZTJvRG9jLnhtbFBLBQYAAAAABgAGAFkBAADaBQAAAAA=&#10;">
                        <v:fill on="f" focussize="0,0"/>
                        <v:stroke color="#000000" miterlimit="8" joinstyle="miter" endarrow="block"/>
                        <v:imagedata o:title=""/>
                        <o:lock v:ext="edit" aspectratio="f"/>
                      </v:shape>
                      <v:shape id="文本框 66" o:spid="_x0000_s1026" o:spt="202" type="#_x0000_t202" style="position:absolute;left:3445510;top:304800;height:262890;width:527050;" filled="f" stroked="f" coordsize="21600,21600" o:gfxdata="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Uq34J&#10;0wAAAAUBAAAPAAAAAAAAAAEAIAAAACIAAABkcnMvZG93bnJldi54bWxQSwECFAAUAAAACACHTuJA&#10;HWAM1CYCAAAuBAAADgAAAAAAAAABACAAAAAiAQAAZHJzL2Uyb0RvYy54bWxQSwUGAAAAAAYABgBZ&#10;AQAAugUAAAAA&#10;">
                        <v:fill on="f" focussize="0,0"/>
                        <v:stroke on="f"/>
                        <v:imagedata o:title=""/>
                        <o:lock v:ext="edit" aspectratio="f"/>
                        <v:textbox>
                          <w:txbxContent>
                            <w:p w14:paraId="33A4BAA5">
                              <w:pPr>
                                <w:pStyle w:val="33"/>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0.522</w:t>
                              </w:r>
                            </w:p>
                          </w:txbxContent>
                        </v:textbox>
                      </v:shape>
                      <w10:wrap type="none"/>
                      <w10:anchorlock/>
                    </v:group>
                  </w:pict>
                </mc:Fallback>
              </mc:AlternateContent>
            </w:r>
          </w:p>
          <w:p w14:paraId="1692FF47">
            <w:pPr>
              <w:pStyle w:val="16"/>
              <w:adjustRightInd w:val="0"/>
              <w:snapToGrid w:val="0"/>
              <w:spacing w:before="120"/>
              <w:ind w:firstLine="422"/>
              <w:jc w:val="center"/>
              <w:rPr>
                <w:rFonts w:ascii="Times New Roman" w:hAnsi="Times New Roman" w:eastAsia="宋体"/>
                <w:b/>
                <w:bCs/>
                <w:color w:val="auto"/>
                <w:sz w:val="24"/>
                <w:szCs w:val="24"/>
              </w:rPr>
            </w:pPr>
            <w:r>
              <w:rPr>
                <w:rFonts w:ascii="Times New Roman" w:hAnsi="Times New Roman" w:eastAsia="宋体"/>
                <w:b/>
                <w:bCs/>
                <w:color w:val="auto"/>
                <w:sz w:val="24"/>
                <w:szCs w:val="24"/>
              </w:rPr>
              <w:t>图</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图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1</w:t>
            </w:r>
            <w:r>
              <w:rPr>
                <w:rFonts w:ascii="Times New Roman" w:hAnsi="Times New Roman" w:eastAsia="宋体"/>
                <w:b/>
                <w:bCs/>
                <w:color w:val="auto"/>
                <w:sz w:val="24"/>
                <w:szCs w:val="24"/>
              </w:rPr>
              <w:fldChar w:fldCharType="end"/>
            </w:r>
            <w:r>
              <w:rPr>
                <w:rFonts w:ascii="Times New Roman" w:hAnsi="Times New Roman" w:eastAsia="宋体"/>
                <w:b/>
                <w:bCs/>
                <w:color w:val="auto"/>
                <w:sz w:val="24"/>
                <w:szCs w:val="24"/>
              </w:rPr>
              <w:t xml:space="preserve">  本项目水平衡示意图（单位m</w:t>
            </w:r>
            <w:r>
              <w:rPr>
                <w:rFonts w:ascii="Times New Roman" w:hAnsi="Times New Roman" w:eastAsia="宋体"/>
                <w:b/>
                <w:bCs/>
                <w:color w:val="auto"/>
                <w:sz w:val="24"/>
                <w:szCs w:val="24"/>
                <w:vertAlign w:val="superscript"/>
              </w:rPr>
              <w:t>3</w:t>
            </w:r>
            <w:r>
              <w:rPr>
                <w:rFonts w:ascii="Times New Roman" w:hAnsi="Times New Roman" w:eastAsia="宋体"/>
                <w:b/>
                <w:bCs/>
                <w:color w:val="auto"/>
                <w:sz w:val="24"/>
                <w:szCs w:val="24"/>
              </w:rPr>
              <w:t>/d）</w:t>
            </w:r>
          </w:p>
          <w:p w14:paraId="2057F4FD">
            <w:pPr>
              <w:adjustRightInd w:val="0"/>
              <w:snapToGrid w:val="0"/>
              <w:spacing w:line="360" w:lineRule="auto"/>
              <w:ind w:firstLine="482" w:firstLineChars="200"/>
              <w:rPr>
                <w:b/>
                <w:bCs/>
                <w:color w:val="auto"/>
                <w:sz w:val="24"/>
                <w:szCs w:val="24"/>
              </w:rPr>
            </w:pPr>
            <w:r>
              <w:rPr>
                <w:b/>
                <w:bCs/>
                <w:color w:val="auto"/>
                <w:sz w:val="24"/>
                <w:szCs w:val="24"/>
              </w:rPr>
              <w:t>8、能耗情况及计算过程</w:t>
            </w:r>
          </w:p>
          <w:p w14:paraId="695E53DB">
            <w:pPr>
              <w:pStyle w:val="104"/>
              <w:adjustRightInd w:val="0"/>
              <w:snapToGrid w:val="0"/>
              <w:ind w:firstLine="420"/>
              <w:rPr>
                <w:color w:val="auto"/>
                <w:sz w:val="24"/>
                <w:szCs w:val="24"/>
              </w:rPr>
            </w:pPr>
            <w:r>
              <w:rPr>
                <w:color w:val="auto"/>
                <w:sz w:val="24"/>
                <w:szCs w:val="24"/>
              </w:rPr>
              <w:t>本项目用电由园区电网提供，能保证本项目正常供电，项目年用电量约</w:t>
            </w:r>
            <w:r>
              <w:rPr>
                <w:rFonts w:hint="eastAsia"/>
                <w:color w:val="auto"/>
                <w:sz w:val="24"/>
                <w:szCs w:val="24"/>
                <w:lang w:val="en-US" w:eastAsia="zh-CN"/>
              </w:rPr>
              <w:t>10万千瓦时</w:t>
            </w:r>
            <w:r>
              <w:rPr>
                <w:color w:val="auto"/>
                <w:sz w:val="24"/>
                <w:szCs w:val="24"/>
              </w:rPr>
              <w:t>/年。</w:t>
            </w:r>
          </w:p>
          <w:p w14:paraId="62C3D4C2">
            <w:pPr>
              <w:adjustRightInd w:val="0"/>
              <w:snapToGrid w:val="0"/>
              <w:spacing w:line="360" w:lineRule="auto"/>
              <w:ind w:firstLine="482" w:firstLineChars="200"/>
              <w:rPr>
                <w:b/>
                <w:bCs/>
                <w:color w:val="auto"/>
                <w:sz w:val="24"/>
                <w:szCs w:val="24"/>
              </w:rPr>
            </w:pPr>
            <w:r>
              <w:rPr>
                <w:b/>
                <w:bCs/>
                <w:color w:val="auto"/>
                <w:sz w:val="24"/>
                <w:szCs w:val="24"/>
              </w:rPr>
              <w:t>9、平面布局情况</w:t>
            </w:r>
          </w:p>
          <w:p w14:paraId="0DC5F0B2">
            <w:pPr>
              <w:widowControl/>
              <w:spacing w:line="360" w:lineRule="auto"/>
              <w:ind w:firstLine="480" w:firstLineChars="200"/>
              <w:jc w:val="left"/>
              <w:rPr>
                <w:color w:val="auto"/>
                <w:sz w:val="24"/>
                <w:szCs w:val="24"/>
              </w:rPr>
            </w:pPr>
            <w:r>
              <w:rPr>
                <w:color w:val="auto"/>
                <w:sz w:val="24"/>
                <w:szCs w:val="24"/>
              </w:rPr>
              <w:t>本公司</w:t>
            </w:r>
            <w:r>
              <w:rPr>
                <w:rFonts w:hint="eastAsia"/>
                <w:color w:val="auto"/>
                <w:sz w:val="24"/>
                <w:szCs w:val="24"/>
                <w:lang w:val="en-US" w:eastAsia="zh-CN"/>
              </w:rPr>
              <w:t>租用的建筑面积为</w:t>
            </w:r>
            <w:r>
              <w:rPr>
                <w:color w:val="auto"/>
                <w:sz w:val="24"/>
                <w:szCs w:val="24"/>
              </w:rPr>
              <w:t>1294.74m</w:t>
            </w:r>
            <w:r>
              <w:rPr>
                <w:color w:val="auto"/>
                <w:sz w:val="24"/>
                <w:szCs w:val="24"/>
                <w:vertAlign w:val="superscript"/>
              </w:rPr>
              <w:t>2</w:t>
            </w:r>
            <w:r>
              <w:rPr>
                <w:color w:val="auto"/>
                <w:sz w:val="24"/>
                <w:szCs w:val="24"/>
              </w:rPr>
              <w:t>，项目厂区总体为矩形，位于6号厂房的四层，设置有搅拌房、生产区、仓库区、原料仓、原药仓、危废间等。项目平面图见附图5。</w:t>
            </w:r>
          </w:p>
          <w:p w14:paraId="7DAF8473">
            <w:pPr>
              <w:adjustRightInd w:val="0"/>
              <w:snapToGrid w:val="0"/>
              <w:spacing w:line="360" w:lineRule="auto"/>
              <w:ind w:firstLine="482" w:firstLineChars="200"/>
              <w:rPr>
                <w:b/>
                <w:bCs/>
                <w:color w:val="auto"/>
                <w:sz w:val="24"/>
                <w:szCs w:val="24"/>
              </w:rPr>
            </w:pPr>
            <w:r>
              <w:rPr>
                <w:b/>
                <w:bCs/>
                <w:color w:val="auto"/>
                <w:sz w:val="24"/>
                <w:szCs w:val="24"/>
              </w:rPr>
              <w:t>10、四至情况</w:t>
            </w:r>
          </w:p>
          <w:p w14:paraId="51791AED">
            <w:pPr>
              <w:pStyle w:val="89"/>
              <w:snapToGrid w:val="0"/>
              <w:spacing w:before="0" w:beforeLines="0"/>
              <w:ind w:firstLine="420"/>
              <w:rPr>
                <w:rFonts w:cs="Times New Roman"/>
                <w:color w:val="auto"/>
                <w:szCs w:val="21"/>
              </w:rPr>
            </w:pPr>
            <w:r>
              <w:rPr>
                <w:rFonts w:cs="Times New Roman"/>
                <w:color w:val="auto"/>
                <w:sz w:val="24"/>
                <w:szCs w:val="24"/>
              </w:rPr>
              <w:t>项目四周均为已建厂房。项目南面为4号厂房（广东科拓电子元件有限公司）、北面为8号厂房（乐昌鑫东奥包装有限公司）、东面为3号厂房（内有二楼广东杰创电子有限公司、三楼乐昌市盈鑫皮具有限公司等）、西面为7号厂房（暂无企业入驻）。地理位置图见附图1，项目四至图见附图2。</w:t>
            </w:r>
          </w:p>
        </w:tc>
      </w:tr>
    </w:tbl>
    <w:p w14:paraId="6E680C69">
      <w:pPr>
        <w:rPr>
          <w:color w:val="auto"/>
        </w:rPr>
        <w:sectPr>
          <w:footerReference r:id="rId7" w:type="default"/>
          <w:pgSz w:w="11906" w:h="16838"/>
          <w:pgMar w:top="1417" w:right="1587" w:bottom="1417" w:left="1587" w:header="1191" w:footer="1134" w:gutter="0"/>
          <w:cols w:space="720" w:num="1"/>
          <w:docGrid w:linePitch="312" w:charSpace="0"/>
        </w:sectPr>
      </w:pPr>
    </w:p>
    <w:p w14:paraId="28B10E4F">
      <w:pPr>
        <w:pStyle w:val="27"/>
        <w:rPr>
          <w:color w:val="auto"/>
        </w:rPr>
      </w:pPr>
    </w:p>
    <w:tbl>
      <w:tblPr>
        <w:tblStyle w:val="37"/>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4"/>
        <w:gridCol w:w="8288"/>
      </w:tblGrid>
      <w:tr w14:paraId="791DF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68" w:hRule="atLeast"/>
          <w:jc w:val="center"/>
        </w:trPr>
        <w:tc>
          <w:tcPr>
            <w:tcW w:w="239" w:type="pct"/>
            <w:vAlign w:val="center"/>
          </w:tcPr>
          <w:p w14:paraId="2B7EB169">
            <w:pPr>
              <w:pStyle w:val="89"/>
              <w:adjustRightInd w:val="0"/>
              <w:snapToGrid w:val="0"/>
              <w:spacing w:before="120"/>
              <w:ind w:firstLine="0" w:firstLineChars="0"/>
              <w:rPr>
                <w:rFonts w:cs="Times New Roman"/>
                <w:color w:val="auto"/>
              </w:rPr>
            </w:pPr>
            <w:r>
              <w:rPr>
                <w:rFonts w:cs="Times New Roman"/>
                <w:color w:val="auto"/>
              </w:rPr>
              <w:t>工艺流程和产排污环节</w:t>
            </w:r>
          </w:p>
        </w:tc>
        <w:tc>
          <w:tcPr>
            <w:tcW w:w="4760" w:type="pct"/>
          </w:tcPr>
          <w:p w14:paraId="3668D247">
            <w:pPr>
              <w:adjustRightInd w:val="0"/>
              <w:snapToGrid w:val="0"/>
              <w:spacing w:line="360" w:lineRule="auto"/>
              <w:rPr>
                <w:b/>
                <w:color w:val="auto"/>
                <w:sz w:val="24"/>
                <w:szCs w:val="24"/>
              </w:rPr>
            </w:pPr>
            <w:r>
              <w:rPr>
                <w:b/>
                <w:color w:val="auto"/>
                <w:sz w:val="24"/>
                <w:szCs w:val="24"/>
              </w:rPr>
              <w:t>工艺流程简述（图示）：</w:t>
            </w:r>
          </w:p>
          <w:p w14:paraId="6E57AC0E">
            <w:pPr>
              <w:pStyle w:val="35"/>
              <w:adjustRightInd w:val="0"/>
              <w:snapToGrid w:val="0"/>
              <w:spacing w:line="360" w:lineRule="auto"/>
              <w:ind w:firstLine="482" w:firstLineChars="200"/>
              <w:rPr>
                <w:b/>
                <w:bCs/>
                <w:color w:val="auto"/>
                <w:sz w:val="24"/>
                <w:szCs w:val="24"/>
              </w:rPr>
            </w:pPr>
            <w:r>
              <w:rPr>
                <w:b/>
                <w:bCs/>
                <w:color w:val="auto"/>
                <w:sz w:val="24"/>
                <w:szCs w:val="24"/>
              </w:rPr>
              <w:t>本项目运营期工艺流程如下：</w:t>
            </w:r>
          </w:p>
          <w:p w14:paraId="34D9CACC">
            <w:pPr>
              <w:pStyle w:val="5"/>
              <w:numPr>
                <w:ilvl w:val="0"/>
                <w:numId w:val="18"/>
              </w:numPr>
              <w:adjustRightInd w:val="0"/>
              <w:snapToGrid w:val="0"/>
              <w:spacing w:line="360" w:lineRule="auto"/>
              <w:ind w:firstLine="482" w:firstLineChars="200"/>
              <w:rPr>
                <w:b/>
                <w:bCs/>
                <w:color w:val="auto"/>
                <w:sz w:val="24"/>
                <w:szCs w:val="24"/>
              </w:rPr>
            </w:pPr>
            <w:r>
              <w:rPr>
                <w:b/>
                <w:bCs/>
                <w:color w:val="auto"/>
                <w:sz w:val="24"/>
                <w:szCs w:val="24"/>
              </w:rPr>
              <w:t>盘式蚊香生产工艺及产污流程：</w:t>
            </w:r>
          </w:p>
          <w:p w14:paraId="04CC8854">
            <w:pPr>
              <w:adjustRightInd w:val="0"/>
              <w:snapToGrid w:val="0"/>
              <w:rPr>
                <w:color w:val="auto"/>
                <w:szCs w:val="21"/>
              </w:rPr>
            </w:pPr>
            <w:r>
              <w:rPr>
                <w:color w:val="auto"/>
                <w:szCs w:val="21"/>
              </w:rPr>
              <mc:AlternateContent>
                <mc:Choice Requires="wpc">
                  <w:drawing>
                    <wp:inline distT="0" distB="0" distL="114300" distR="114300">
                      <wp:extent cx="5153660" cy="3163570"/>
                      <wp:effectExtent l="4445" t="4445" r="23495" b="13335"/>
                      <wp:docPr id="661" name="画布 661"/>
                      <wp:cNvGraphicFramePr/>
                      <a:graphic xmlns:a="http://schemas.openxmlformats.org/drawingml/2006/main">
                        <a:graphicData uri="http://schemas.microsoft.com/office/word/2010/wordprocessingCanvas">
                          <wpc:wpc>
                            <wpc:bg>
                              <a:noFill/>
                            </wpc:bg>
                            <wpc:whole>
                              <a:ln w="6350" cap="flat" cmpd="sng">
                                <a:solidFill>
                                  <a:srgbClr val="000000"/>
                                </a:solidFill>
                                <a:prstDash val="solid"/>
                                <a:round/>
                                <a:headEnd type="none" w="med" len="med"/>
                                <a:tailEnd type="none" w="med" len="med"/>
                              </a:ln>
                            </wpc:whole>
                            <wps:wsp>
                              <wps:cNvPr id="4" name="直接箭头连接符 52"/>
                              <wps:cNvCnPr/>
                              <wps:spPr>
                                <a:xfrm>
                                  <a:off x="1587500" y="577215"/>
                                  <a:ext cx="0" cy="285115"/>
                                </a:xfrm>
                                <a:prstGeom prst="straightConnector1">
                                  <a:avLst/>
                                </a:prstGeom>
                                <a:noFill/>
                                <a:ln w="9525" cap="flat" cmpd="sng" algn="ctr">
                                  <a:solidFill>
                                    <a:sysClr val="windowText" lastClr="000000"/>
                                  </a:solidFill>
                                  <a:prstDash val="solid"/>
                                  <a:tailEnd type="arrow"/>
                                </a:ln>
                                <a:effectLst/>
                              </wps:spPr>
                              <wps:bodyPr/>
                            </wps:wsp>
                            <wps:wsp>
                              <wps:cNvPr id="6" name="文本框 54"/>
                              <wps:cNvSpPr txBox="1"/>
                              <wps:spPr>
                                <a:xfrm>
                                  <a:off x="1245870" y="1365250"/>
                                  <a:ext cx="655320" cy="251460"/>
                                </a:xfrm>
                                <a:prstGeom prst="rect">
                                  <a:avLst/>
                                </a:prstGeom>
                                <a:solidFill>
                                  <a:sysClr val="window" lastClr="FFFFFF"/>
                                </a:solidFill>
                                <a:ln w="6350">
                                  <a:solidFill>
                                    <a:prstClr val="black"/>
                                  </a:solidFill>
                                </a:ln>
                                <a:effectLst/>
                              </wps:spPr>
                              <wps:txbx>
                                <w:txbxContent>
                                  <w:p w14:paraId="71F9C918">
                                    <w:pPr>
                                      <w:jc w:val="center"/>
                                    </w:pPr>
                                    <w:r>
                                      <w:rPr>
                                        <w:rFonts w:hint="eastAsia"/>
                                      </w:rPr>
                                      <w:t>喷药</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7" name="文本框 124"/>
                              <wps:cNvSpPr txBox="1"/>
                              <wps:spPr>
                                <a:xfrm>
                                  <a:off x="1195070" y="2340610"/>
                                  <a:ext cx="757555" cy="251460"/>
                                </a:xfrm>
                                <a:prstGeom prst="rect">
                                  <a:avLst/>
                                </a:prstGeom>
                                <a:solidFill>
                                  <a:sysClr val="window" lastClr="FFFFFF"/>
                                </a:solidFill>
                                <a:ln w="6350">
                                  <a:solidFill>
                                    <a:prstClr val="black"/>
                                  </a:solidFill>
                                </a:ln>
                                <a:effectLst/>
                              </wps:spPr>
                              <wps:txbx>
                                <w:txbxContent>
                                  <w:p w14:paraId="2D339F27">
                                    <w:pPr>
                                      <w:jc w:val="center"/>
                                    </w:pPr>
                                    <w:r>
                                      <w:rPr>
                                        <w:rFonts w:hint="eastAsia"/>
                                      </w:rPr>
                                      <w:t>收膜</w:t>
                                    </w:r>
                                    <w:r>
                                      <w:rPr>
                                        <w:rFonts w:hint="eastAsia"/>
                                        <w:lang w:eastAsia="zh-CN"/>
                                      </w:rPr>
                                      <w:t>、</w:t>
                                    </w:r>
                                    <w:r>
                                      <w:rPr>
                                        <w:rFonts w:hint="eastAsia"/>
                                      </w:rPr>
                                      <w:t>包装</w:t>
                                    </w:r>
                                  </w:p>
                                  <w:p w14:paraId="07782243"/>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8" name="直接箭头连接符 161"/>
                              <wps:cNvCnPr>
                                <a:stCxn id="678" idx="2"/>
                                <a:endCxn id="663" idx="0"/>
                              </wps:cNvCnPr>
                              <wps:spPr>
                                <a:xfrm>
                                  <a:off x="1573530" y="1129665"/>
                                  <a:ext cx="0" cy="235585"/>
                                </a:xfrm>
                                <a:prstGeom prst="straightConnector1">
                                  <a:avLst/>
                                </a:prstGeom>
                                <a:ln w="9525" cap="flat" cmpd="sng">
                                  <a:solidFill>
                                    <a:srgbClr val="000000"/>
                                  </a:solidFill>
                                  <a:prstDash val="solid"/>
                                  <a:round/>
                                  <a:headEnd type="none" w="med" len="med"/>
                                  <a:tailEnd type="arrow" w="med" len="med"/>
                                </a:ln>
                              </wps:spPr>
                              <wps:bodyPr/>
                            </wps:wsp>
                            <wps:wsp>
                              <wps:cNvPr id="9" name="直接箭头连接符 162"/>
                              <wps:cNvCnPr/>
                              <wps:spPr>
                                <a:xfrm>
                                  <a:off x="1592580" y="2122170"/>
                                  <a:ext cx="0" cy="218440"/>
                                </a:xfrm>
                                <a:prstGeom prst="straightConnector1">
                                  <a:avLst/>
                                </a:prstGeom>
                                <a:ln w="9525" cap="flat" cmpd="sng">
                                  <a:solidFill>
                                    <a:srgbClr val="000000"/>
                                  </a:solidFill>
                                  <a:prstDash val="solid"/>
                                  <a:round/>
                                  <a:headEnd type="none" w="med" len="med"/>
                                  <a:tailEnd type="arrow" w="med" len="med"/>
                                </a:ln>
                              </wps:spPr>
                              <wps:bodyPr/>
                            </wps:wsp>
                            <wps:wsp>
                              <wps:cNvPr id="10" name="直接箭头连接符 253"/>
                              <wps:cNvCnPr/>
                              <wps:spPr>
                                <a:xfrm>
                                  <a:off x="2971800" y="1503045"/>
                                  <a:ext cx="686435" cy="0"/>
                                </a:xfrm>
                                <a:prstGeom prst="straightConnector1">
                                  <a:avLst/>
                                </a:prstGeom>
                                <a:ln w="9525" cap="flat" cmpd="sng">
                                  <a:solidFill>
                                    <a:srgbClr val="00B0F0"/>
                                  </a:solidFill>
                                  <a:prstDash val="dash"/>
                                  <a:round/>
                                  <a:headEnd type="none" w="med" len="med"/>
                                  <a:tailEnd type="arrow" w="med" len="med"/>
                                </a:ln>
                              </wps:spPr>
                              <wps:bodyPr/>
                            </wps:wsp>
                            <wps:wsp>
                              <wps:cNvPr id="11" name="文本框 1"/>
                              <wps:cNvSpPr txBox="1"/>
                              <wps:spPr>
                                <a:xfrm>
                                  <a:off x="1250315" y="334010"/>
                                  <a:ext cx="647065" cy="251460"/>
                                </a:xfrm>
                                <a:prstGeom prst="rect">
                                  <a:avLst/>
                                </a:prstGeom>
                                <a:solidFill>
                                  <a:sysClr val="window" lastClr="FFFFFF"/>
                                </a:solidFill>
                                <a:ln w="6350">
                                  <a:solidFill>
                                    <a:prstClr val="black"/>
                                  </a:solidFill>
                                </a:ln>
                                <a:effectLst/>
                              </wps:spPr>
                              <wps:txbx>
                                <w:txbxContent>
                                  <w:p w14:paraId="376C04BD">
                                    <w:pPr>
                                      <w:jc w:val="center"/>
                                    </w:pPr>
                                    <w:r>
                                      <w:rPr>
                                        <w:rFonts w:hint="eastAsia"/>
                                      </w:rPr>
                                      <w:t>投料搅拌</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13" name="直接箭头连接符 39"/>
                              <wps:cNvCnPr>
                                <a:stCxn id="679" idx="3"/>
                                <a:endCxn id="671" idx="1"/>
                              </wps:cNvCnPr>
                              <wps:spPr>
                                <a:xfrm>
                                  <a:off x="2934970" y="463550"/>
                                  <a:ext cx="610870" cy="0"/>
                                </a:xfrm>
                                <a:prstGeom prst="straightConnector1">
                                  <a:avLst/>
                                </a:prstGeom>
                                <a:ln w="9525" cap="flat" cmpd="sng">
                                  <a:solidFill>
                                    <a:srgbClr val="00B0F0"/>
                                  </a:solidFill>
                                  <a:prstDash val="dash"/>
                                  <a:round/>
                                  <a:headEnd type="none" w="med" len="med"/>
                                  <a:tailEnd type="arrow" w="med" len="med"/>
                                </a:ln>
                              </wps:spPr>
                              <wps:bodyPr/>
                            </wps:wsp>
                            <wps:wsp>
                              <wps:cNvPr id="14" name="文本框 43"/>
                              <wps:cNvSpPr txBox="1"/>
                              <wps:spPr>
                                <a:xfrm>
                                  <a:off x="3545840" y="337820"/>
                                  <a:ext cx="455930" cy="251460"/>
                                </a:xfrm>
                                <a:prstGeom prst="rect">
                                  <a:avLst/>
                                </a:prstGeom>
                                <a:solidFill>
                                  <a:sysClr val="window" lastClr="FFFFFF"/>
                                </a:solidFill>
                                <a:ln w="6350">
                                  <a:noFill/>
                                </a:ln>
                                <a:effectLst/>
                              </wps:spPr>
                              <wps:txbx>
                                <w:txbxContent>
                                  <w:p w14:paraId="12FDED86">
                                    <w:r>
                                      <w:rPr>
                                        <w:rFonts w:hint="eastAsia"/>
                                      </w:rPr>
                                      <w:t>VOCs</w:t>
                                    </w:r>
                                  </w:p>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15" name="文本框 84"/>
                              <wps:cNvSpPr txBox="1"/>
                              <wps:spPr>
                                <a:xfrm>
                                  <a:off x="248920" y="21590"/>
                                  <a:ext cx="558165" cy="251460"/>
                                </a:xfrm>
                                <a:prstGeom prst="rect">
                                  <a:avLst/>
                                </a:prstGeom>
                                <a:solidFill>
                                  <a:sysClr val="window" lastClr="FFFFFF"/>
                                </a:solidFill>
                                <a:ln w="6350">
                                  <a:noFill/>
                                </a:ln>
                                <a:effectLst/>
                              </wps:spPr>
                              <wps:txbx>
                                <w:txbxContent>
                                  <w:p w14:paraId="35F2AD63">
                                    <w:r>
                                      <w:rPr>
                                        <w:rFonts w:hint="eastAsia"/>
                                      </w:rPr>
                                      <w:t>原辅料</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16" name="文本框 84"/>
                              <wps:cNvSpPr txBox="1"/>
                              <wps:spPr>
                                <a:xfrm>
                                  <a:off x="1388110" y="20320"/>
                                  <a:ext cx="388620" cy="251460"/>
                                </a:xfrm>
                                <a:prstGeom prst="rect">
                                  <a:avLst/>
                                </a:prstGeom>
                                <a:solidFill>
                                  <a:sysClr val="window" lastClr="FFFFFF"/>
                                </a:solidFill>
                                <a:ln w="6350">
                                  <a:noFill/>
                                </a:ln>
                                <a:effectLst/>
                              </wps:spPr>
                              <wps:txbx>
                                <w:txbxContent>
                                  <w:p w14:paraId="5F08F48B">
                                    <w:r>
                                      <w:rPr>
                                        <w:rFonts w:hint="eastAsia"/>
                                      </w:rPr>
                                      <w:t>工序</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17" name="文本框 84"/>
                              <wps:cNvSpPr txBox="1"/>
                              <wps:spPr>
                                <a:xfrm>
                                  <a:off x="2480945" y="39370"/>
                                  <a:ext cx="388620" cy="251460"/>
                                </a:xfrm>
                                <a:prstGeom prst="rect">
                                  <a:avLst/>
                                </a:prstGeom>
                                <a:solidFill>
                                  <a:sysClr val="window" lastClr="FFFFFF"/>
                                </a:solidFill>
                                <a:ln w="6350">
                                  <a:noFill/>
                                </a:ln>
                                <a:effectLst/>
                              </wps:spPr>
                              <wps:txbx>
                                <w:txbxContent>
                                  <w:p w14:paraId="18947CFC">
                                    <w:r>
                                      <w:rPr>
                                        <w:rFonts w:hint="eastAsia"/>
                                      </w:rPr>
                                      <w:t>设备</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18" name="文本框 84"/>
                              <wps:cNvSpPr txBox="1"/>
                              <wps:spPr>
                                <a:xfrm>
                                  <a:off x="3528695" y="30480"/>
                                  <a:ext cx="483870" cy="251460"/>
                                </a:xfrm>
                                <a:prstGeom prst="rect">
                                  <a:avLst/>
                                </a:prstGeom>
                                <a:solidFill>
                                  <a:sysClr val="window" lastClr="FFFFFF"/>
                                </a:solidFill>
                                <a:ln w="6350">
                                  <a:noFill/>
                                </a:ln>
                                <a:effectLst/>
                              </wps:spPr>
                              <wps:txbx>
                                <w:txbxContent>
                                  <w:p w14:paraId="24892EB5">
                                    <w:r>
                                      <w:rPr>
                                        <w:rFonts w:hint="eastAsia"/>
                                      </w:rPr>
                                      <w:t>污染物</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19" name="直接箭头连接符 27"/>
                              <wps:cNvCnPr>
                                <a:stCxn id="677" idx="3"/>
                                <a:endCxn id="668" idx="1"/>
                              </wps:cNvCnPr>
                              <wps:spPr>
                                <a:xfrm>
                                  <a:off x="868045" y="459740"/>
                                  <a:ext cx="382270" cy="0"/>
                                </a:xfrm>
                                <a:prstGeom prst="straightConnector1">
                                  <a:avLst/>
                                </a:prstGeom>
                                <a:noFill/>
                                <a:ln w="12700" cap="flat" cmpd="sng" algn="ctr">
                                  <a:solidFill>
                                    <a:schemeClr val="tx1"/>
                                  </a:solidFill>
                                  <a:prstDash val="sysDash"/>
                                  <a:tailEnd type="arrow"/>
                                </a:ln>
                                <a:effectLst/>
                              </wps:spPr>
                              <wps:bodyPr/>
                            </wps:wsp>
                            <wps:wsp>
                              <wps:cNvPr id="20" name="文本框 51"/>
                              <wps:cNvSpPr txBox="1"/>
                              <wps:spPr>
                                <a:xfrm>
                                  <a:off x="154305" y="334010"/>
                                  <a:ext cx="713740" cy="251460"/>
                                </a:xfrm>
                                <a:prstGeom prst="rect">
                                  <a:avLst/>
                                </a:prstGeom>
                                <a:solidFill>
                                  <a:sysClr val="window" lastClr="FFFFFF"/>
                                </a:solidFill>
                                <a:ln w="6350">
                                  <a:noFill/>
                                </a:ln>
                                <a:effectLst/>
                              </wps:spPr>
                              <wps:txbx>
                                <w:txbxContent>
                                  <w:p w14:paraId="306A9211">
                                    <w:r>
                                      <w:rPr>
                                        <w:rFonts w:hint="eastAsia"/>
                                      </w:rPr>
                                      <w:t>原药、煤油</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21" name="文本框 62"/>
                              <wps:cNvSpPr txBox="1"/>
                              <wps:spPr>
                                <a:xfrm>
                                  <a:off x="1267460" y="864235"/>
                                  <a:ext cx="612140" cy="265430"/>
                                </a:xfrm>
                                <a:prstGeom prst="rect">
                                  <a:avLst/>
                                </a:prstGeom>
                                <a:solidFill>
                                  <a:sysClr val="window" lastClr="FFFFFF"/>
                                </a:solidFill>
                                <a:ln w="6350">
                                  <a:solidFill>
                                    <a:prstClr val="black"/>
                                  </a:solidFill>
                                </a:ln>
                                <a:effectLst/>
                              </wps:spPr>
                              <wps:txbx>
                                <w:txbxContent>
                                  <w:p w14:paraId="7436B029">
                                    <w:pPr>
                                      <w:jc w:val="center"/>
                                    </w:pPr>
                                    <w:r>
                                      <w:rPr>
                                        <w:rFonts w:hint="eastAsia"/>
                                      </w:rPr>
                                      <w:t>上片</w:t>
                                    </w:r>
                                  </w:p>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22" name="文本框 83"/>
                              <wps:cNvSpPr txBox="1"/>
                              <wps:spPr>
                                <a:xfrm>
                                  <a:off x="2265045" y="327025"/>
                                  <a:ext cx="669925" cy="27305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00C7AAE6">
                                    <w:pPr>
                                      <w:jc w:val="center"/>
                                    </w:pPr>
                                    <w:r>
                                      <w:rPr>
                                        <w:rFonts w:hint="eastAsia"/>
                                      </w:rPr>
                                      <w:t>搅拌锅</w:t>
                                    </w:r>
                                  </w:p>
                                </w:txbxContent>
                              </wps:txbx>
                              <wps:bodyPr wrap="square" lIns="36000" tIns="36000" rIns="36000" bIns="36000" upright="1">
                                <a:noAutofit/>
                              </wps:bodyPr>
                            </wps:wsp>
                            <wps:wsp>
                              <wps:cNvPr id="23" name="直接箭头连接符 27"/>
                              <wps:cNvCnPr>
                                <a:stCxn id="668" idx="3"/>
                                <a:endCxn id="679" idx="1"/>
                              </wps:cNvCnPr>
                              <wps:spPr>
                                <a:xfrm>
                                  <a:off x="1897380" y="459740"/>
                                  <a:ext cx="367665" cy="3810"/>
                                </a:xfrm>
                                <a:prstGeom prst="straightConnector1">
                                  <a:avLst/>
                                </a:prstGeom>
                                <a:noFill/>
                                <a:ln w="12700" cap="flat" cmpd="sng" algn="ctr">
                                  <a:solidFill>
                                    <a:schemeClr val="tx1"/>
                                  </a:solidFill>
                                  <a:prstDash val="sysDash"/>
                                  <a:tailEnd type="arrow"/>
                                </a:ln>
                                <a:effectLst/>
                              </wps:spPr>
                              <wps:bodyPr/>
                            </wps:wsp>
                            <wps:wsp>
                              <wps:cNvPr id="24" name="文本框 83"/>
                              <wps:cNvSpPr txBox="1"/>
                              <wps:spPr>
                                <a:xfrm>
                                  <a:off x="2284730" y="863600"/>
                                  <a:ext cx="669925" cy="167640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02501B9F">
                                    <w:pPr>
                                      <w:jc w:val="center"/>
                                    </w:pPr>
                                    <w:r>
                                      <w:rPr>
                                        <w:szCs w:val="21"/>
                                      </w:rPr>
                                      <w:t>蚊香自动包装机</w:t>
                                    </w:r>
                                  </w:p>
                                </w:txbxContent>
                              </wps:txbx>
                              <wps:bodyPr wrap="square" lIns="36000" tIns="36000" rIns="36000" bIns="36000" anchor="ctr" anchorCtr="0" upright="1">
                                <a:noAutofit/>
                              </wps:bodyPr>
                            </wps:wsp>
                            <wps:wsp>
                              <wps:cNvPr id="25" name="直接箭头连接符 161"/>
                              <wps:cNvCnPr>
                                <a:stCxn id="663" idx="2"/>
                                <a:endCxn id="687" idx="0"/>
                              </wps:cNvCnPr>
                              <wps:spPr>
                                <a:xfrm>
                                  <a:off x="1573530" y="1616710"/>
                                  <a:ext cx="635" cy="232410"/>
                                </a:xfrm>
                                <a:prstGeom prst="straightConnector1">
                                  <a:avLst/>
                                </a:prstGeom>
                                <a:ln w="9525" cap="flat" cmpd="sng">
                                  <a:solidFill>
                                    <a:srgbClr val="000000"/>
                                  </a:solidFill>
                                  <a:prstDash val="solid"/>
                                  <a:round/>
                                  <a:headEnd type="none" w="med" len="med"/>
                                  <a:tailEnd type="arrow" w="med" len="med"/>
                                </a:ln>
                              </wps:spPr>
                              <wps:bodyPr/>
                            </wps:wsp>
                            <wps:wsp>
                              <wps:cNvPr id="26" name="文本框 62"/>
                              <wps:cNvSpPr txBox="1"/>
                              <wps:spPr>
                                <a:xfrm>
                                  <a:off x="1184910" y="1849120"/>
                                  <a:ext cx="777875" cy="283845"/>
                                </a:xfrm>
                                <a:prstGeom prst="rect">
                                  <a:avLst/>
                                </a:prstGeom>
                                <a:solidFill>
                                  <a:sysClr val="window" lastClr="FFFFFF"/>
                                </a:solidFill>
                                <a:ln w="6350">
                                  <a:solidFill>
                                    <a:prstClr val="black"/>
                                  </a:solidFill>
                                </a:ln>
                                <a:effectLst/>
                              </wps:spPr>
                              <wps:txbx>
                                <w:txbxContent>
                                  <w:p w14:paraId="631BE492">
                                    <w:pPr>
                                      <w:jc w:val="center"/>
                                    </w:pPr>
                                    <w:r>
                                      <w:rPr>
                                        <w:rFonts w:hint="eastAsia"/>
                                      </w:rPr>
                                      <w:t>数片、理片</w:t>
                                    </w:r>
                                  </w:p>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28" name="文本框 51"/>
                              <wps:cNvSpPr txBox="1"/>
                              <wps:spPr>
                                <a:xfrm>
                                  <a:off x="4456430" y="1010285"/>
                                  <a:ext cx="686435" cy="1008380"/>
                                </a:xfrm>
                                <a:prstGeom prst="rect">
                                  <a:avLst/>
                                </a:prstGeom>
                                <a:solidFill>
                                  <a:sysClr val="window" lastClr="FFFFFF"/>
                                </a:solidFill>
                                <a:ln w="6350">
                                  <a:noFill/>
                                </a:ln>
                                <a:effectLst/>
                              </wps:spPr>
                              <wps:txbx>
                                <w:txbxContent>
                                  <w:p w14:paraId="0841317E">
                                    <w:r>
                                      <w:rPr>
                                        <w:rFonts w:hint="eastAsia"/>
                                      </w:rPr>
                                      <w:t>二级活性炭+</w:t>
                                    </w:r>
                                    <w:r>
                                      <w:rPr>
                                        <w:rFonts w:hint="eastAsia"/>
                                        <w:szCs w:val="21"/>
                                      </w:rPr>
                                      <w:t>楼顶（22.5m）</w:t>
                                    </w:r>
                                    <w:r>
                                      <w:rPr>
                                        <w:rFonts w:hint="eastAsia"/>
                                      </w:rPr>
                                      <w:t>排气筒（DA001）</w:t>
                                    </w:r>
                                  </w:p>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29" name="文本框 84"/>
                              <wps:cNvSpPr txBox="1"/>
                              <wps:spPr>
                                <a:xfrm>
                                  <a:off x="4643755" y="19050"/>
                                  <a:ext cx="483870" cy="424815"/>
                                </a:xfrm>
                                <a:prstGeom prst="rect">
                                  <a:avLst/>
                                </a:prstGeom>
                                <a:solidFill>
                                  <a:sysClr val="window" lastClr="FFFFFF"/>
                                </a:solidFill>
                                <a:ln w="6350">
                                  <a:noFill/>
                                </a:ln>
                                <a:effectLst/>
                              </wps:spPr>
                              <wps:txbx>
                                <w:txbxContent>
                                  <w:p w14:paraId="4105760A">
                                    <w:r>
                                      <w:rPr>
                                        <w:rFonts w:hint="eastAsia"/>
                                      </w:rPr>
                                      <w:t>污染防治措施</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30" name="直接箭头连接符 27"/>
                              <wps:cNvCnPr/>
                              <wps:spPr>
                                <a:xfrm>
                                  <a:off x="807085" y="996950"/>
                                  <a:ext cx="496570" cy="0"/>
                                </a:xfrm>
                                <a:prstGeom prst="straightConnector1">
                                  <a:avLst/>
                                </a:prstGeom>
                                <a:noFill/>
                                <a:ln w="12700" cap="flat" cmpd="sng" algn="ctr">
                                  <a:solidFill>
                                    <a:schemeClr val="tx1"/>
                                  </a:solidFill>
                                  <a:prstDash val="sysDash"/>
                                  <a:tailEnd type="arrow"/>
                                </a:ln>
                                <a:effectLst/>
                              </wps:spPr>
                              <wps:bodyPr/>
                            </wps:wsp>
                            <wps:wsp>
                              <wps:cNvPr id="31" name="文本框 51"/>
                              <wps:cNvSpPr txBox="1"/>
                              <wps:spPr>
                                <a:xfrm>
                                  <a:off x="387985" y="871220"/>
                                  <a:ext cx="419100" cy="251460"/>
                                </a:xfrm>
                                <a:prstGeom prst="rect">
                                  <a:avLst/>
                                </a:prstGeom>
                                <a:solidFill>
                                  <a:sysClr val="window" lastClr="FFFFFF"/>
                                </a:solidFill>
                                <a:ln w="6350">
                                  <a:noFill/>
                                </a:ln>
                                <a:effectLst/>
                              </wps:spPr>
                              <wps:txbx>
                                <w:txbxContent>
                                  <w:p w14:paraId="4ACD1545">
                                    <w:r>
                                      <w:rPr>
                                        <w:rFonts w:hint="eastAsia"/>
                                      </w:rPr>
                                      <w:t>香坯</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32" name="文本框 124"/>
                              <wps:cNvSpPr txBox="1"/>
                              <wps:spPr>
                                <a:xfrm>
                                  <a:off x="1210945" y="2834640"/>
                                  <a:ext cx="725805" cy="260985"/>
                                </a:xfrm>
                                <a:prstGeom prst="rect">
                                  <a:avLst/>
                                </a:prstGeom>
                                <a:solidFill>
                                  <a:sysClr val="window" lastClr="FFFFFF"/>
                                </a:solidFill>
                                <a:ln w="6350">
                                  <a:solidFill>
                                    <a:prstClr val="black"/>
                                  </a:solidFill>
                                </a:ln>
                                <a:effectLst/>
                              </wps:spPr>
                              <wps:txbx>
                                <w:txbxContent>
                                  <w:p w14:paraId="4FD95850">
                                    <w:r>
                                      <w:rPr>
                                        <w:rFonts w:hint="eastAsia"/>
                                      </w:rPr>
                                      <w:t>装箱、成品</w:t>
                                    </w:r>
                                  </w:p>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33" name="直接箭头连接符 162"/>
                              <wps:cNvCnPr>
                                <a:stCxn id="664" idx="2"/>
                                <a:endCxn id="216" idx="0"/>
                              </wps:cNvCnPr>
                              <wps:spPr>
                                <a:xfrm>
                                  <a:off x="1574165" y="2592070"/>
                                  <a:ext cx="0" cy="242570"/>
                                </a:xfrm>
                                <a:prstGeom prst="straightConnector1">
                                  <a:avLst/>
                                </a:prstGeom>
                                <a:ln w="9525" cap="flat" cmpd="sng">
                                  <a:solidFill>
                                    <a:srgbClr val="000000"/>
                                  </a:solidFill>
                                  <a:prstDash val="solid"/>
                                  <a:round/>
                                  <a:headEnd type="none" w="med" len="med"/>
                                  <a:tailEnd type="arrow" w="med" len="med"/>
                                </a:ln>
                              </wps:spPr>
                              <wps:bodyPr/>
                            </wps:wsp>
                            <wps:wsp>
                              <wps:cNvPr id="35" name="文本框 51"/>
                              <wps:cNvSpPr txBox="1"/>
                              <wps:spPr>
                                <a:xfrm>
                                  <a:off x="327660" y="1278255"/>
                                  <a:ext cx="497205" cy="424815"/>
                                </a:xfrm>
                                <a:prstGeom prst="rect">
                                  <a:avLst/>
                                </a:prstGeom>
                                <a:solidFill>
                                  <a:sysClr val="window" lastClr="FFFFFF"/>
                                </a:solidFill>
                                <a:ln w="6350">
                                  <a:noFill/>
                                </a:ln>
                                <a:effectLst/>
                              </wps:spPr>
                              <wps:txbx>
                                <w:txbxContent>
                                  <w:p w14:paraId="4D7134EF">
                                    <w:r>
                                      <w:rPr>
                                        <w:rFonts w:hint="eastAsia"/>
                                      </w:rPr>
                                      <w:t>混合好的原药</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36" name="直接箭头连接符 27"/>
                              <wps:cNvCnPr>
                                <a:stCxn id="218" idx="3"/>
                                <a:endCxn id="663" idx="1"/>
                              </wps:cNvCnPr>
                              <wps:spPr>
                                <a:xfrm>
                                  <a:off x="824865" y="1490980"/>
                                  <a:ext cx="421005" cy="0"/>
                                </a:xfrm>
                                <a:prstGeom prst="straightConnector1">
                                  <a:avLst/>
                                </a:prstGeom>
                                <a:noFill/>
                                <a:ln w="12700" cap="flat" cmpd="sng" algn="ctr">
                                  <a:solidFill>
                                    <a:schemeClr val="tx1"/>
                                  </a:solidFill>
                                  <a:prstDash val="sysDash"/>
                                  <a:tailEnd type="arrow"/>
                                </a:ln>
                                <a:effectLst/>
                              </wps:spPr>
                              <wps:bodyPr/>
                            </wps:wsp>
                            <wps:wsp>
                              <wps:cNvPr id="37" name="直接箭头连接符 27"/>
                              <wps:cNvCnPr/>
                              <wps:spPr>
                                <a:xfrm>
                                  <a:off x="1932940" y="1007745"/>
                                  <a:ext cx="342900" cy="0"/>
                                </a:xfrm>
                                <a:prstGeom prst="straightConnector1">
                                  <a:avLst/>
                                </a:prstGeom>
                                <a:noFill/>
                                <a:ln w="12700" cap="flat" cmpd="sng" algn="ctr">
                                  <a:solidFill>
                                    <a:schemeClr val="tx1"/>
                                  </a:solidFill>
                                  <a:prstDash val="sysDash"/>
                                  <a:tailEnd type="arrow"/>
                                </a:ln>
                                <a:effectLst/>
                              </wps:spPr>
                              <wps:bodyPr/>
                            </wps:wsp>
                            <wps:wsp>
                              <wps:cNvPr id="38" name="直接箭头连接符 27"/>
                              <wps:cNvCnPr/>
                              <wps:spPr>
                                <a:xfrm>
                                  <a:off x="1941830" y="1510030"/>
                                  <a:ext cx="342900" cy="0"/>
                                </a:xfrm>
                                <a:prstGeom prst="straightConnector1">
                                  <a:avLst/>
                                </a:prstGeom>
                                <a:noFill/>
                                <a:ln w="12700" cap="flat" cmpd="sng" algn="ctr">
                                  <a:solidFill>
                                    <a:schemeClr val="tx1"/>
                                  </a:solidFill>
                                  <a:prstDash val="sysDash"/>
                                  <a:tailEnd type="arrow"/>
                                </a:ln>
                                <a:effectLst/>
                              </wps:spPr>
                              <wps:bodyPr/>
                            </wps:wsp>
                            <wps:wsp>
                              <wps:cNvPr id="39" name="直接箭头连接符 27"/>
                              <wps:cNvCnPr/>
                              <wps:spPr>
                                <a:xfrm>
                                  <a:off x="1967865" y="2003425"/>
                                  <a:ext cx="342900" cy="0"/>
                                </a:xfrm>
                                <a:prstGeom prst="straightConnector1">
                                  <a:avLst/>
                                </a:prstGeom>
                                <a:noFill/>
                                <a:ln w="12700" cap="flat" cmpd="sng" algn="ctr">
                                  <a:solidFill>
                                    <a:schemeClr val="tx1"/>
                                  </a:solidFill>
                                  <a:prstDash val="sysDash"/>
                                  <a:tailEnd type="arrow"/>
                                </a:ln>
                                <a:effectLst/>
                              </wps:spPr>
                              <wps:bodyPr/>
                            </wps:wsp>
                            <wps:wsp>
                              <wps:cNvPr id="40" name="直接箭头连接符 27"/>
                              <wps:cNvCnPr/>
                              <wps:spPr>
                                <a:xfrm>
                                  <a:off x="1976755" y="2444750"/>
                                  <a:ext cx="342900" cy="0"/>
                                </a:xfrm>
                                <a:prstGeom prst="straightConnector1">
                                  <a:avLst/>
                                </a:prstGeom>
                                <a:noFill/>
                                <a:ln w="12700" cap="flat" cmpd="sng" algn="ctr">
                                  <a:solidFill>
                                    <a:schemeClr val="tx1"/>
                                  </a:solidFill>
                                  <a:prstDash val="sysDash"/>
                                  <a:tailEnd type="arrow"/>
                                </a:ln>
                                <a:effectLst/>
                              </wps:spPr>
                              <wps:bodyPr/>
                            </wps:wsp>
                            <wps:wsp>
                              <wps:cNvPr id="41" name="文本框 43"/>
                              <wps:cNvSpPr txBox="1"/>
                              <wps:spPr>
                                <a:xfrm>
                                  <a:off x="3649980" y="1399540"/>
                                  <a:ext cx="455930" cy="251460"/>
                                </a:xfrm>
                                <a:prstGeom prst="rect">
                                  <a:avLst/>
                                </a:prstGeom>
                                <a:solidFill>
                                  <a:sysClr val="window" lastClr="FFFFFF"/>
                                </a:solidFill>
                                <a:ln w="6350">
                                  <a:noFill/>
                                </a:ln>
                                <a:effectLst/>
                              </wps:spPr>
                              <wps:txbx>
                                <w:txbxContent>
                                  <w:p w14:paraId="6A37CD11">
                                    <w:r>
                                      <w:rPr>
                                        <w:rFonts w:hint="eastAsia"/>
                                      </w:rPr>
                                      <w:t>VOCs</w:t>
                                    </w:r>
                                  </w:p>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42" name="肘形连接符 252"/>
                              <wps:cNvCnPr>
                                <a:stCxn id="230" idx="3"/>
                                <a:endCxn id="688" idx="1"/>
                              </wps:cNvCnPr>
                              <wps:spPr>
                                <a:xfrm flipV="1">
                                  <a:off x="4105910" y="1514475"/>
                                  <a:ext cx="350520" cy="10795"/>
                                </a:xfrm>
                                <a:prstGeom prst="bentConnector3">
                                  <a:avLst>
                                    <a:gd name="adj1" fmla="val 50000"/>
                                  </a:avLst>
                                </a:prstGeom>
                                <a:ln w="12700" cmpd="sng">
                                  <a:solidFill>
                                    <a:srgbClr val="00B0F0"/>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43" name="直接箭头连接符 27"/>
                              <wps:cNvCnPr/>
                              <wps:spPr>
                                <a:xfrm>
                                  <a:off x="1976755" y="2973070"/>
                                  <a:ext cx="342900" cy="0"/>
                                </a:xfrm>
                                <a:prstGeom prst="straightConnector1">
                                  <a:avLst/>
                                </a:prstGeom>
                                <a:noFill/>
                                <a:ln w="12700" cap="flat" cmpd="sng" algn="ctr">
                                  <a:solidFill>
                                    <a:schemeClr val="tx1"/>
                                  </a:solidFill>
                                  <a:prstDash val="sysDash"/>
                                  <a:tailEnd type="arrow"/>
                                </a:ln>
                                <a:effectLst/>
                              </wps:spPr>
                              <wps:bodyPr/>
                            </wps:wsp>
                            <wps:wsp>
                              <wps:cNvPr id="44" name="文本框 83"/>
                              <wps:cNvSpPr txBox="1"/>
                              <wps:spPr>
                                <a:xfrm>
                                  <a:off x="2325370" y="2816860"/>
                                  <a:ext cx="981075" cy="27305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7EEDFDFB">
                                    <w:pPr>
                                      <w:jc w:val="center"/>
                                    </w:pPr>
                                    <w:r>
                                      <w:rPr>
                                        <w:rFonts w:hint="eastAsia"/>
                                      </w:rPr>
                                      <w:t>封箱机</w:t>
                                    </w:r>
                                  </w:p>
                                </w:txbxContent>
                              </wps:txbx>
                              <wps:bodyPr wrap="square" lIns="36000" tIns="36000" rIns="36000" bIns="36000" upright="1">
                                <a:noAutofit/>
                              </wps:bodyPr>
                            </wps:wsp>
                          </wpc:wpc>
                        </a:graphicData>
                      </a:graphic>
                    </wp:inline>
                  </w:drawing>
                </mc:Choice>
                <mc:Fallback>
                  <w:pict>
                    <v:group id="_x0000_s1026" o:spid="_x0000_s1026" o:spt="203" style="height:249.1pt;width:405.8pt;" coordsize="5153660,3163570" editas="canvas" o:gfxdata="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">
                      <o:lock v:ext="edit" aspectratio="f"/>
                      <v:shape id="_x0000_s1026" o:spid="_x0000_s1026" style="position:absolute;left:0;top:0;height:3163570;width:5153660;" filled="f" stroked="t" coordsize="21600,21600" o:gfxdata="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">
                        <v:fill on="f" focussize="0,0"/>
                        <v:stroke weight="0.5pt" color="#000000" joinstyle="round"/>
                        <v:imagedata o:title=""/>
                        <o:lock v:ext="edit" aspectratio="f"/>
                      </v:shape>
                      <v:shape id="直接箭头连接符 52" o:spid="_x0000_s1026" o:spt="32" type="#_x0000_t32" style="position:absolute;left:1587500;top:577215;height:285115;width:0;" filled="f" stroked="t" coordsize="21600,21600" o:gfxdata="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Kl/Jw1QAAAAUBAAAPAAAAAAAA&#10;AAEAIAAAACIAAABkcnMvZG93bnJldi54bWxQSwECFAAUAAAACACHTuJA1HMUdhUCAAD0AwAADgAA&#10;AAAAAAABACAAAAAkAQAAZHJzL2Uyb0RvYy54bWxQSwUGAAAAAAYABgBZAQAAqwUAAAAA&#10;">
                        <v:fill on="f" focussize="0,0"/>
                        <v:stroke color="#000000" joinstyle="round" endarrow="open"/>
                        <v:imagedata o:title=""/>
                        <o:lock v:ext="edit" aspectratio="f"/>
                      </v:shape>
                      <v:shape id="文本框 54" o:spid="_x0000_s1026" o:spt="202" type="#_x0000_t202" style="position:absolute;left:1245870;top:1365250;height:251460;width:655320;" fillcolor="#FFFFFF" filled="t" stroked="t" coordsize="21600,21600" o:gfxdata="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EJvk8NUAAAAFAQAADwAAAAAAAAABACAAAAAiAAAAZHJzL2Rvd25yZXYueG1s&#10;UEsBAhQAFAAAAAgAh07iQG+1SedtAgAA4QQAAA4AAAAAAAAAAQAgAAAAJAEAAGRycy9lMm9Eb2Mu&#10;eG1sUEsFBgAAAAAGAAYAWQEAAAMGAAAAAA==&#10;">
                        <v:fill on="t" focussize="0,0"/>
                        <v:stroke weight="0.5pt" color="#000000" joinstyle="round"/>
                        <v:imagedata o:title=""/>
                        <o:lock v:ext="edit" aspectratio="f"/>
                        <v:textbox inset="1mm,1mm,1mm,1mm" style="mso-fit-shape-to-text:t;">
                          <w:txbxContent>
                            <w:p w14:paraId="71F9C918">
                              <w:pPr>
                                <w:jc w:val="center"/>
                              </w:pPr>
                              <w:r>
                                <w:rPr>
                                  <w:rFonts w:hint="eastAsia"/>
                                </w:rPr>
                                <w:t>喷药</w:t>
                              </w:r>
                            </w:p>
                          </w:txbxContent>
                        </v:textbox>
                      </v:shape>
                      <v:shape id="文本框 124" o:spid="_x0000_s1026" o:spt="202" type="#_x0000_t202" style="position:absolute;left:1195070;top:2340610;height:251460;width:757555;" fillcolor="#FFFFFF" filled="t" stroked="t" coordsize="21600,21600" o:gfxdata="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aF8QI1AAAAAUBAAAPAAAAAAAAAAEAIAAAACIAAABkcnMvZG93bnJl&#10;di54bWxQSwECFAAUAAAACACHTuJAmluH2XMCAADiBAAADgAAAAAAAAABACAAAAAjAQAAZHJzL2Uy&#10;b0RvYy54bWxQSwUGAAAAAAYABgBZAQAACAYAAAAA&#10;">
                        <v:fill on="t" focussize="0,0"/>
                        <v:stroke weight="0.5pt" color="#000000" joinstyle="round"/>
                        <v:imagedata o:title=""/>
                        <o:lock v:ext="edit" aspectratio="f"/>
                        <v:textbox inset="1mm,1mm,1mm,1mm">
                          <w:txbxContent>
                            <w:p w14:paraId="2D339F27">
                              <w:pPr>
                                <w:jc w:val="center"/>
                              </w:pPr>
                              <w:r>
                                <w:rPr>
                                  <w:rFonts w:hint="eastAsia"/>
                                </w:rPr>
                                <w:t>收膜</w:t>
                              </w:r>
                              <w:r>
                                <w:rPr>
                                  <w:rFonts w:hint="eastAsia"/>
                                  <w:lang w:eastAsia="zh-CN"/>
                                </w:rPr>
                                <w:t>、</w:t>
                              </w:r>
                              <w:r>
                                <w:rPr>
                                  <w:rFonts w:hint="eastAsia"/>
                                </w:rPr>
                                <w:t>包装</w:t>
                              </w:r>
                            </w:p>
                            <w:p w14:paraId="07782243"/>
                          </w:txbxContent>
                        </v:textbox>
                      </v:shape>
                      <v:shape id="直接箭头连接符 161" o:spid="_x0000_s1026" o:spt="32" type="#_x0000_t32" style="position:absolute;left:1573530;top:1129665;height:235585;width:0;" filled="f" stroked="t" coordsize="21600,21600" o:gfxdata="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qX8nDVAAAABQEAAA8AAAAAAAAAAQAgAAAAIgAAAGRycy9kb3ducmV2LnhtbFBL&#10;AQIUABQAAAAIAIdO4kBsnKs0MgIAAEgEAAAOAAAAAAAAAAEAIAAAACQBAABkcnMvZTJvRG9jLnht&#10;bFBLBQYAAAAABgAGAFkBAADIBQAAAAA=&#10;">
                        <v:fill on="f" focussize="0,0"/>
                        <v:stroke color="#000000" joinstyle="round" endarrow="open"/>
                        <v:imagedata o:title=""/>
                        <o:lock v:ext="edit" aspectratio="f"/>
                      </v:shape>
                      <v:shape id="直接箭头连接符 162" o:spid="_x0000_s1026" o:spt="32" type="#_x0000_t32" style="position:absolute;left:1592580;top:2122170;height:218440;width:0;" filled="f" stroked="t" coordsize="21600,21600" o:gfxdata="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Kl/Jw1QAAAAUBAAAPAAAAAAAA&#10;AAEAIAAAACIAAABkcnMvZG93bnJldi54bWxQSwECFAAUAAAACACHTuJAmtWCcxUCAAAEBAAADgAA&#10;AAAAAAABACAAAAAkAQAAZHJzL2Uyb0RvYy54bWxQSwUGAAAAAAYABgBZAQAAqwUAAAAA&#10;">
                        <v:fill on="f" focussize="0,0"/>
                        <v:stroke color="#000000" joinstyle="round" endarrow="open"/>
                        <v:imagedata o:title=""/>
                        <o:lock v:ext="edit" aspectratio="f"/>
                      </v:shape>
                      <v:shape id="直接箭头连接符 253" o:spid="_x0000_s1026" o:spt="32" type="#_x0000_t32" style="position:absolute;left:2971800;top:1503045;height:0;width:686435;" filled="f" stroked="t" coordsize="21600,21600" o:gfxdata="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e6Hc3XAAAABQEAAA8A&#10;AAAAAAAAAQAgAAAAIgAAAGRycy9kb3ducmV2LnhtbFBLAQIUABQAAAAIAIdO4kC0Vgy0GAIAAAQE&#10;AAAOAAAAAAAAAAEAIAAAACYBAABkcnMvZTJvRG9jLnhtbFBLBQYAAAAABgAGAFkBAACwBQAAAAA=&#10;">
                        <v:fill on="f" focussize="0,0"/>
                        <v:stroke color="#00B0F0" joinstyle="round" dashstyle="dash" endarrow="open"/>
                        <v:imagedata o:title=""/>
                        <o:lock v:ext="edit" aspectratio="f"/>
                      </v:shape>
                      <v:shape id="文本框 1" o:spid="_x0000_s1026" o:spt="202" type="#_x0000_t202" style="position:absolute;left:1250315;top:334010;height:251460;width:647065;" fillcolor="#FFFFFF" filled="t" stroked="t" coordsize="21600,21600" o:gfxdata="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Cb5PDVAAAABQEAAA8AAAAAAAAAAQAgAAAAIgAAAGRycy9kb3ducmV2Lnht&#10;bFBLAQIUABQAAAAIAIdO4kBOdqc4bgIAAOAEAAAOAAAAAAAAAAEAIAAAACQBAABkcnMvZTJvRG9j&#10;LnhtbFBLBQYAAAAABgAGAFkBAAAEBgAAAAA=&#10;">
                        <v:fill on="t" focussize="0,0"/>
                        <v:stroke weight="0.5pt" color="#000000" joinstyle="round"/>
                        <v:imagedata o:title=""/>
                        <o:lock v:ext="edit" aspectratio="f"/>
                        <v:textbox inset="1mm,1mm,1mm,1mm" style="mso-fit-shape-to-text:t;">
                          <w:txbxContent>
                            <w:p w14:paraId="376C04BD">
                              <w:pPr>
                                <w:jc w:val="center"/>
                              </w:pPr>
                              <w:r>
                                <w:rPr>
                                  <w:rFonts w:hint="eastAsia"/>
                                </w:rPr>
                                <w:t>投料搅拌</w:t>
                              </w:r>
                            </w:p>
                          </w:txbxContent>
                        </v:textbox>
                      </v:shape>
                      <v:shape id="直接箭头连接符 39" o:spid="_x0000_s1026" o:spt="32" type="#_x0000_t32" style="position:absolute;left:2934970;top:463550;height:0;width:610870;" filled="f" stroked="t" coordsize="21600,21600" o:gfxdata="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7odzdcAAAAFAQAADwAAAAAAAAABACAAAAAiAAAAZHJzL2Rvd25yZXYueG1s&#10;UEsBAhQAFAAAAAgAh07iQBNN2lgyAgAARgQAAA4AAAAAAAAAAQAgAAAAJgEAAGRycy9lMm9Eb2Mu&#10;eG1sUEsFBgAAAAAGAAYAWQEAAMoFAAAAAA==&#10;">
                        <v:fill on="f" focussize="0,0"/>
                        <v:stroke color="#00B0F0" joinstyle="round" dashstyle="dash" endarrow="open"/>
                        <v:imagedata o:title=""/>
                        <o:lock v:ext="edit" aspectratio="f"/>
                      </v:shape>
                      <v:shape id="文本框 43" o:spid="_x0000_s1026" o:spt="202" type="#_x0000_t202" style="position:absolute;left:3545840;top:337820;height:251460;width:455930;" fillcolor="#FFFFFF" filled="t" stroked="f" coordsize="21600,21600" o:gfxdata="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jiozDUAAAABQEAAA8AAAAAAAAAAQAgAAAAIgAAAGRycy9kb3ducmV2LnhtbFBLAQIUABQA&#10;AAAIAIdO4kDwDxJKZgIAALkEAAAOAAAAAAAAAAEAIAAAACMBAABkcnMvZTJvRG9jLnhtbFBLBQYA&#10;AAAABgAGAFkBAAD7BQAAAAA=&#10;">
                        <v:fill on="t" focussize="0,0"/>
                        <v:stroke on="f" weight="0.5pt"/>
                        <v:imagedata o:title=""/>
                        <o:lock v:ext="edit" aspectratio="f"/>
                        <v:textbox inset="1mm,1mm,1mm,1mm">
                          <w:txbxContent>
                            <w:p w14:paraId="12FDED86">
                              <w:r>
                                <w:rPr>
                                  <w:rFonts w:hint="eastAsia"/>
                                </w:rPr>
                                <w:t>VOCs</w:t>
                              </w:r>
                            </w:p>
                          </w:txbxContent>
                        </v:textbox>
                      </v:shape>
                      <v:shape id="文本框 84" o:spid="_x0000_s1026" o:spt="202" type="#_x0000_t202" style="position:absolute;left:248920;top:21590;height:251460;width:558165;" fillcolor="#FFFFFF" filled="t" stroked="f" coordsize="21600,21600" o:gfxdata="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Kk6NLUAAAABQEAAA8AAAAAAAAAAQAgAAAAIgAAAGRycy9kb3ducmV2LnhtbFBLAQIUABQAAAAI&#10;AIdO4kDXmU1TYwIAALcEAAAOAAAAAAAAAAEAIAAAACMBAABkcnMvZTJvRG9jLnhtbFBLBQYAAAAA&#10;BgAGAFkBAAD4BQAAAAA=&#10;">
                        <v:fill on="t" focussize="0,0"/>
                        <v:stroke on="f" weight="0.5pt"/>
                        <v:imagedata o:title=""/>
                        <o:lock v:ext="edit" aspectratio="f"/>
                        <v:textbox inset="1mm,1mm,1mm,1mm" style="mso-fit-shape-to-text:t;">
                          <w:txbxContent>
                            <w:p w14:paraId="35F2AD63">
                              <w:r>
                                <w:rPr>
                                  <w:rFonts w:hint="eastAsia"/>
                                </w:rPr>
                                <w:t>原辅料</w:t>
                              </w:r>
                            </w:p>
                          </w:txbxContent>
                        </v:textbox>
                      </v:shape>
                      <v:shape id="文本框 84" o:spid="_x0000_s1026" o:spt="202" type="#_x0000_t202" style="position:absolute;left:1388110;top:20320;height:251460;width:388620;" fillcolor="#FFFFFF" filled="t" stroked="f" coordsize="21600,21600" o:gfxdata="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S&#10;pOjS1AAAAAUBAAAPAAAAAAAAAAEAIAAAACIAAABkcnMvZG93bnJldi54bWxQSwECFAAUAAAACACH&#10;TuJA8gNTH2ECAAC4BAAADgAAAAAAAAABACAAAAAjAQAAZHJzL2Uyb0RvYy54bWxQSwUGAAAAAAYA&#10;BgBZAQAA9gUAAAAA&#10;">
                        <v:fill on="t" focussize="0,0"/>
                        <v:stroke on="f" weight="0.5pt"/>
                        <v:imagedata o:title=""/>
                        <o:lock v:ext="edit" aspectratio="f"/>
                        <v:textbox inset="1mm,1mm,1mm,1mm" style="mso-fit-shape-to-text:t;">
                          <w:txbxContent>
                            <w:p w14:paraId="5F08F48B">
                              <w:r>
                                <w:rPr>
                                  <w:rFonts w:hint="eastAsia"/>
                                </w:rPr>
                                <w:t>工序</w:t>
                              </w:r>
                            </w:p>
                          </w:txbxContent>
                        </v:textbox>
                      </v:shape>
                      <v:shape id="文本框 84" o:spid="_x0000_s1026" o:spt="202" type="#_x0000_t202" style="position:absolute;left:2480945;top:39370;height:251460;width:388620;" fillcolor="#FFFFFF" filled="t" stroked="f" coordsize="21600,21600" o:gfxdata="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0qTo0tQAAAAFAQAADwAAAAAAAAABACAAAAAiAAAAZHJzL2Rvd25yZXYueG1sUEsBAhQA&#10;FAAAAAgAh07iQP7c4t9oAgAAuAQAAA4AAAAAAAAAAQAgAAAAIwEAAGRycy9lMm9Eb2MueG1sUEsF&#10;BgAAAAAGAAYAWQEAAP0FAAAAAA==&#10;">
                        <v:fill on="t" focussize="0,0"/>
                        <v:stroke on="f" weight="0.5pt"/>
                        <v:imagedata o:title=""/>
                        <o:lock v:ext="edit" aspectratio="f"/>
                        <v:textbox inset="1mm,1mm,1mm,1mm" style="mso-fit-shape-to-text:t;">
                          <w:txbxContent>
                            <w:p w14:paraId="18947CFC">
                              <w:r>
                                <w:rPr>
                                  <w:rFonts w:hint="eastAsia"/>
                                </w:rPr>
                                <w:t>设备</w:t>
                              </w:r>
                            </w:p>
                          </w:txbxContent>
                        </v:textbox>
                      </v:shape>
                      <v:shape id="文本框 84" o:spid="_x0000_s1026" o:spt="202" type="#_x0000_t202" style="position:absolute;left:3528695;top:30480;height:251460;width:483870;" fillcolor="#FFFFFF" filled="t" stroked="f" coordsize="21600,21600" o:gfxdata="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qTo0tQAAAAFAQAADwAAAAAAAAABACAAAAAiAAAAZHJzL2Rvd25yZXYueG1sUEsBAhQAFAAA&#10;AAgAh07iQEkXNrxlAgAAuAQAAA4AAAAAAAAAAQAgAAAAIwEAAGRycy9lMm9Eb2MueG1sUEsFBgAA&#10;AAAGAAYAWQEAAPoFAAAAAA==&#10;">
                        <v:fill on="t" focussize="0,0"/>
                        <v:stroke on="f" weight="0.5pt"/>
                        <v:imagedata o:title=""/>
                        <o:lock v:ext="edit" aspectratio="f"/>
                        <v:textbox inset="1mm,1mm,1mm,1mm" style="mso-fit-shape-to-text:t;">
                          <w:txbxContent>
                            <w:p w14:paraId="24892EB5">
                              <w:r>
                                <w:rPr>
                                  <w:rFonts w:hint="eastAsia"/>
                                </w:rPr>
                                <w:t>污染物</w:t>
                              </w:r>
                            </w:p>
                          </w:txbxContent>
                        </v:textbox>
                      </v:shape>
                      <v:shape id="直接箭头连接符 27" o:spid="_x0000_s1026" o:spt="32" type="#_x0000_t32" style="position:absolute;left:868045;top:459740;height:0;width:382270;" filled="f" stroked="t" coordsize="21600,21600" o:gfxdata="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0&#10;kgr11AAAAAUBAAAPAAAAAAAAAAEAIAAAACIAAABkcnMvZG93bnJldi54bWxQSwECFAAUAAAACACH&#10;TuJAV4Jy7ygCAAAnBAAADgAAAAAAAAABACAAAAAjAQAAZHJzL2Uyb0RvYy54bWxQSwUGAAAAAAYA&#10;BgBZAQAAvQUAAAAA&#10;">
                        <v:fill on="f" focussize="0,0"/>
                        <v:stroke weight="1pt" color="#000000 [3213]" joinstyle="round" dashstyle="3 1" endarrow="open"/>
                        <v:imagedata o:title=""/>
                        <o:lock v:ext="edit" aspectratio="f"/>
                      </v:shape>
                      <v:shape id="文本框 51" o:spid="_x0000_s1026" o:spt="202" type="#_x0000_t202" style="position:absolute;left:154305;top:334010;height:251460;width:713740;" fillcolor="#FFFFFF" filled="t" stroked="f" coordsize="21600,21600" o:gfxdata="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pOjS1AAAAAUBAAAPAAAAAAAAAAEAIAAAACIAAABkcnMvZG93bnJldi54bWxQSwECFAAUAAAA&#10;CACHTuJAc42EtmQCAAC4BAAADgAAAAAAAAABACAAAAAjAQAAZHJzL2Uyb0RvYy54bWxQSwUGAAAA&#10;AAYABgBZAQAA+QUAAAAA&#10;">
                        <v:fill on="t" focussize="0,0"/>
                        <v:stroke on="f" weight="0.5pt"/>
                        <v:imagedata o:title=""/>
                        <o:lock v:ext="edit" aspectratio="f"/>
                        <v:textbox inset="1mm,1mm,1mm,1mm" style="mso-fit-shape-to-text:t;">
                          <w:txbxContent>
                            <w:p w14:paraId="306A9211">
                              <w:r>
                                <w:rPr>
                                  <w:rFonts w:hint="eastAsia"/>
                                </w:rPr>
                                <w:t>原药、煤油</w:t>
                              </w:r>
                            </w:p>
                          </w:txbxContent>
                        </v:textbox>
                      </v:shape>
                      <v:shape id="文本框 62" o:spid="_x0000_s1026" o:spt="202" type="#_x0000_t202" style="position:absolute;left:1267460;top:864235;height:265430;width:612140;" fillcolor="#FFFFFF" filled="t" stroked="t" coordsize="21600,21600" o:gfxdata="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2hfECNQAAAAFAQAADwAAAAAAAAABACAAAAAiAAAAZHJzL2Rvd25yZXYu&#10;eG1sUEsBAhQAFAAAAAgAh07iQMgs4ZJxAgAA4QQAAA4AAAAAAAAAAQAgAAAAIwEAAGRycy9lMm9E&#10;b2MueG1sUEsFBgAAAAAGAAYAWQEAAAYGAAAAAA==&#10;">
                        <v:fill on="t" focussize="0,0"/>
                        <v:stroke weight="0.5pt" color="#000000" joinstyle="round"/>
                        <v:imagedata o:title=""/>
                        <o:lock v:ext="edit" aspectratio="f"/>
                        <v:textbox inset="1mm,1mm,1mm,1mm">
                          <w:txbxContent>
                            <w:p w14:paraId="7436B029">
                              <w:pPr>
                                <w:jc w:val="center"/>
                              </w:pPr>
                              <w:r>
                                <w:rPr>
                                  <w:rFonts w:hint="eastAsia"/>
                                </w:rPr>
                                <w:t>上片</w:t>
                              </w:r>
                            </w:p>
                          </w:txbxContent>
                        </v:textbox>
                      </v:shape>
                      <v:shape id="文本框 83" o:spid="_x0000_s1026" o:spt="202" type="#_x0000_t202" style="position:absolute;left:2265045;top:327025;height:273050;width:669925;" fillcolor="#FFFFFF" filled="t" stroked="t" coordsize="21600,21600" o:gfxdata="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2hfECNQAAAAFAQAADwAAAAAAAAABACAAAAAiAAAAZHJz&#10;L2Rvd25yZXYueG1sUEsBAhQAFAAAAAgAh07iQM+zx2tBAgAAngQAAA4AAAAAAAAAAQAgAAAAIwEA&#10;AGRycy9lMm9Eb2MueG1sUEsFBgAAAAAGAAYAWQEAANYFAAAAAA==&#10;">
                        <v:fill on="t" focussize="0,0"/>
                        <v:stroke weight="0.5pt" color="#000000" joinstyle="round"/>
                        <v:imagedata o:title=""/>
                        <o:lock v:ext="edit" aspectratio="f"/>
                        <v:textbox inset="1mm,1mm,1mm,1mm">
                          <w:txbxContent>
                            <w:p w14:paraId="00C7AAE6">
                              <w:pPr>
                                <w:jc w:val="center"/>
                              </w:pPr>
                              <w:r>
                                <w:rPr>
                                  <w:rFonts w:hint="eastAsia"/>
                                </w:rPr>
                                <w:t>搅拌锅</w:t>
                              </w:r>
                            </w:p>
                          </w:txbxContent>
                        </v:textbox>
                      </v:shape>
                      <v:shape id="直接箭头连接符 27" o:spid="_x0000_s1026" o:spt="32" type="#_x0000_t32" style="position:absolute;left:1897380;top:459740;height:3810;width:367665;" filled="f" stroked="t" coordsize="21600,21600" o:gfxdata="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SSCvXUAAAABQEAAA8AAAAAAAAAAQAgAAAAIgAAAGRycy9kb3ducmV2LnhtbFBLAQIUABQA&#10;AAAIAIdO4kAO+ExELQIAACsEAAAOAAAAAAAAAAEAIAAAACMBAABkcnMvZTJvRG9jLnhtbFBLBQYA&#10;AAAABgAGAFkBAADCBQAAAAA=&#10;">
                        <v:fill on="f" focussize="0,0"/>
                        <v:stroke weight="1pt" color="#000000 [3213]" joinstyle="round" dashstyle="3 1" endarrow="open"/>
                        <v:imagedata o:title=""/>
                        <o:lock v:ext="edit" aspectratio="f"/>
                      </v:shape>
                      <v:shape id="文本框 83" o:spid="_x0000_s1026" o:spt="202" type="#_x0000_t202" style="position:absolute;left:2284730;top:863600;height:1676400;width:669925;v-text-anchor:middle;" fillcolor="#FFFFFF" filled="t" stroked="t" coordsize="21600,21600" o:gfxdata="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8jE8q0gAAAAUBAAAPAAAAAAAAAAEA&#10;IAAAACIAAABkcnMvZG93bnJldi54bWxQSwECFAAUAAAACACHTuJAtTJ8nU4CAAC6BAAADgAAAAAA&#10;AAABACAAAAAhAQAAZHJzL2Uyb0RvYy54bWxQSwUGAAAAAAYABgBZAQAA4QUAAAAA&#10;">
                        <v:fill on="t" focussize="0,0"/>
                        <v:stroke weight="0.5pt" color="#000000" joinstyle="round"/>
                        <v:imagedata o:title=""/>
                        <o:lock v:ext="edit" aspectratio="f"/>
                        <v:textbox inset="1mm,1mm,1mm,1mm">
                          <w:txbxContent>
                            <w:p w14:paraId="02501B9F">
                              <w:pPr>
                                <w:jc w:val="center"/>
                              </w:pPr>
                              <w:r>
                                <w:rPr>
                                  <w:szCs w:val="21"/>
                                </w:rPr>
                                <w:t>蚊香自动包装机</w:t>
                              </w:r>
                            </w:p>
                          </w:txbxContent>
                        </v:textbox>
                      </v:shape>
                      <v:shape id="直接箭头连接符 161" o:spid="_x0000_s1026" o:spt="32" type="#_x0000_t32" style="position:absolute;left:1573530;top:1616710;height:232410;width:635;" filled="f" stroked="t" coordsize="21600,21600" o:gfxdata="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Kl/Jw1QAAAAUBAAAPAAAAAAAAAAEAIAAAACIAAABkcnMvZG93bnJldi54bWxQ&#10;SwECFAAUAAAACACHTuJAuL7fLjMCAABLBAAADgAAAAAAAAABACAAAAAkAQAAZHJzL2Uyb0RvYy54&#10;bWxQSwUGAAAAAAYABgBZAQAAyQUAAAAA&#10;">
                        <v:fill on="f" focussize="0,0"/>
                        <v:stroke color="#000000" joinstyle="round" endarrow="open"/>
                        <v:imagedata o:title=""/>
                        <o:lock v:ext="edit" aspectratio="f"/>
                      </v:shape>
                      <v:shape id="文本框 62" o:spid="_x0000_s1026" o:spt="202" type="#_x0000_t202" style="position:absolute;left:1184910;top:1849120;height:283845;width:777875;" fillcolor="#FFFFFF" filled="t" stroked="t" coordsize="21600,21600" o:gfxdata="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NoXxAjUAAAABQEAAA8AAAAAAAAAAQAgAAAAIgAAAGRycy9kb3ducmV2Lnht&#10;bFBLAQIUABQAAAAIAIdO4kAUPUOBbwIAAOIEAAAOAAAAAAAAAAEAIAAAACMBAABkcnMvZTJvRG9j&#10;LnhtbFBLBQYAAAAABgAGAFkBAAAEBgAAAAA=&#10;">
                        <v:fill on="t" focussize="0,0"/>
                        <v:stroke weight="0.5pt" color="#000000" joinstyle="round"/>
                        <v:imagedata o:title=""/>
                        <o:lock v:ext="edit" aspectratio="f"/>
                        <v:textbox inset="1mm,1mm,1mm,1mm">
                          <w:txbxContent>
                            <w:p w14:paraId="631BE492">
                              <w:pPr>
                                <w:jc w:val="center"/>
                              </w:pPr>
                              <w:r>
                                <w:rPr>
                                  <w:rFonts w:hint="eastAsia"/>
                                </w:rPr>
                                <w:t>数片、理片</w:t>
                              </w:r>
                            </w:p>
                          </w:txbxContent>
                        </v:textbox>
                      </v:shape>
                      <v:shape id="文本框 51" o:spid="_x0000_s1026" o:spt="202" type="#_x0000_t202" style="position:absolute;left:4456430;top:1010285;height:1008380;width:686435;" fillcolor="#FFFFFF" filled="t" stroked="f" coordsize="21600,21600" o:gfxdata="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jiozDUAAAABQEAAA8AAAAAAAAAAQAgAAAAIgAAAGRycy9kb3ducmV2LnhtbFBLAQIUABQA&#10;AAAIAIdO4kBnrKS+ZgIAALsEAAAOAAAAAAAAAAEAIAAAACMBAABkcnMvZTJvRG9jLnhtbFBLBQYA&#10;AAAABgAGAFkBAAD7BQAAAAA=&#10;">
                        <v:fill on="t" focussize="0,0"/>
                        <v:stroke on="f" weight="0.5pt"/>
                        <v:imagedata o:title=""/>
                        <o:lock v:ext="edit" aspectratio="f"/>
                        <v:textbox inset="1mm,1mm,1mm,1mm">
                          <w:txbxContent>
                            <w:p w14:paraId="0841317E">
                              <w:r>
                                <w:rPr>
                                  <w:rFonts w:hint="eastAsia"/>
                                </w:rPr>
                                <w:t>二级活性炭+</w:t>
                              </w:r>
                              <w:r>
                                <w:rPr>
                                  <w:rFonts w:hint="eastAsia"/>
                                  <w:szCs w:val="21"/>
                                </w:rPr>
                                <w:t>楼顶（22.5m）</w:t>
                              </w:r>
                              <w:r>
                                <w:rPr>
                                  <w:rFonts w:hint="eastAsia"/>
                                </w:rPr>
                                <w:t>排气筒（DA001）</w:t>
                              </w:r>
                            </w:p>
                          </w:txbxContent>
                        </v:textbox>
                      </v:shape>
                      <v:shape id="文本框 84" o:spid="_x0000_s1026" o:spt="202" type="#_x0000_t202" style="position:absolute;left:4643755;top:19050;height:424815;width:483870;" fillcolor="#FFFFFF" filled="t" stroked="f" coordsize="21600,21600" o:gfxdata="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qTo0tQAAAAFAQAADwAAAAAAAAABACAAAAAiAAAAZHJzL2Rvd25yZXYueG1sUEsBAhQAFAAA&#10;AAgAh07iQHXHaMxlAgAAuAQAAA4AAAAAAAAAAQAgAAAAIwEAAGRycy9lMm9Eb2MueG1sUEsFBgAA&#10;AAAGAAYAWQEAAPoFAAAAAA==&#10;">
                        <v:fill on="t" focussize="0,0"/>
                        <v:stroke on="f" weight="0.5pt"/>
                        <v:imagedata o:title=""/>
                        <o:lock v:ext="edit" aspectratio="f"/>
                        <v:textbox inset="1mm,1mm,1mm,1mm" style="mso-fit-shape-to-text:t;">
                          <w:txbxContent>
                            <w:p w14:paraId="4105760A">
                              <w:r>
                                <w:rPr>
                                  <w:rFonts w:hint="eastAsia"/>
                                </w:rPr>
                                <w:t>污染防治措施</w:t>
                              </w:r>
                            </w:p>
                          </w:txbxContent>
                        </v:textbox>
                      </v:shape>
                      <v:shape id="直接箭头连接符 27" o:spid="_x0000_s1026" o:spt="32" type="#_x0000_t32" style="position:absolute;left:807085;top:996950;height:0;width:496570;" filled="f" stroked="t" coordsize="21600,21600" o:gfxdata="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NJIK9dQAAAAFAQAADwAAAAAAAAABACAAAAAiAAAA&#10;ZHJzL2Rvd25yZXYueG1sUEsBAhQAFAAAAAgAh07iQJO28fwLAgAA4wMAAA4AAAAAAAAAAQAgAAAA&#10;IwEAAGRycy9lMm9Eb2MueG1sUEsFBgAAAAAGAAYAWQEAAKAFAAAAAA==&#10;">
                        <v:fill on="f" focussize="0,0"/>
                        <v:stroke weight="1pt" color="#000000 [3213]" joinstyle="round" dashstyle="3 1" endarrow="open"/>
                        <v:imagedata o:title=""/>
                        <o:lock v:ext="edit" aspectratio="f"/>
                      </v:shape>
                      <v:shape id="文本框 51" o:spid="_x0000_s1026" o:spt="202" type="#_x0000_t202" style="position:absolute;left:387985;top:871220;height:251460;width:419100;" fillcolor="#FFFFFF" filled="t" stroked="f" coordsize="21600,21600" o:gfxdata="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SpOjS1AAAAAUBAAAPAAAAAAAAAAEAIAAAACIAAABkcnMvZG93bnJldi54bWxQSwECFAAU&#10;AAAACACHTuJAQKIQJmcCAAC4BAAADgAAAAAAAAABACAAAAAjAQAAZHJzL2Uyb0RvYy54bWxQSwUG&#10;AAAAAAYABgBZAQAA/AUAAAAA&#10;">
                        <v:fill on="t" focussize="0,0"/>
                        <v:stroke on="f" weight="0.5pt"/>
                        <v:imagedata o:title=""/>
                        <o:lock v:ext="edit" aspectratio="f"/>
                        <v:textbox inset="1mm,1mm,1mm,1mm" style="mso-fit-shape-to-text:t;">
                          <w:txbxContent>
                            <w:p w14:paraId="4ACD1545">
                              <w:r>
                                <w:rPr>
                                  <w:rFonts w:hint="eastAsia"/>
                                </w:rPr>
                                <w:t>香坯</w:t>
                              </w:r>
                            </w:p>
                          </w:txbxContent>
                        </v:textbox>
                      </v:shape>
                      <v:shape id="文本框 124" o:spid="_x0000_s1026" o:spt="202" type="#_x0000_t202" style="position:absolute;left:1210945;top:2834640;height:260985;width:725805;" fillcolor="#FFFFFF" filled="t" stroked="t" coordsize="21600,21600" o:gfxdata="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NoXxAjUAAAABQEAAA8AAAAAAAAAAQAgAAAAIgAAAGRycy9kb3ducmV2&#10;LnhtbFBLAQIUABQAAAAIAIdO4kAax1e1cgIAAOMEAAAOAAAAAAAAAAEAIAAAACMBAABkcnMvZTJv&#10;RG9jLnhtbFBLBQYAAAAABgAGAFkBAAAHBgAAAAA=&#10;">
                        <v:fill on="t" focussize="0,0"/>
                        <v:stroke weight="0.5pt" color="#000000" joinstyle="round"/>
                        <v:imagedata o:title=""/>
                        <o:lock v:ext="edit" aspectratio="f"/>
                        <v:textbox inset="1mm,1mm,1mm,1mm">
                          <w:txbxContent>
                            <w:p w14:paraId="4FD95850">
                              <w:r>
                                <w:rPr>
                                  <w:rFonts w:hint="eastAsia"/>
                                </w:rPr>
                                <w:t>装箱、成品</w:t>
                              </w:r>
                            </w:p>
                          </w:txbxContent>
                        </v:textbox>
                      </v:shape>
                      <v:shape id="直接箭头连接符 162" o:spid="_x0000_s1026" o:spt="32" type="#_x0000_t32" style="position:absolute;left:1574165;top:2592070;height:242570;width:0;" filled="f" stroked="t" coordsize="21600,21600" o:gfxdata="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pfycNUAAAAFAQAADwAAAAAAAAABACAAAAAiAAAAZHJzL2Rvd25yZXYueG1s&#10;UEsBAhQAFAAAAAgAh07iQNulkt80AgAASQQAAA4AAAAAAAAAAQAgAAAAJAEAAGRycy9lMm9Eb2Mu&#10;eG1sUEsFBgAAAAAGAAYAWQEAAMoFAAAAAA==&#10;">
                        <v:fill on="f" focussize="0,0"/>
                        <v:stroke color="#000000" joinstyle="round" endarrow="open"/>
                        <v:imagedata o:title=""/>
                        <o:lock v:ext="edit" aspectratio="f"/>
                      </v:shape>
                      <v:shape id="文本框 51" o:spid="_x0000_s1026" o:spt="202" type="#_x0000_t202" style="position:absolute;left:327660;top:1278255;height:424815;width:497205;" fillcolor="#FFFFFF" filled="t" stroked="f" coordsize="21600,21600" o:gfxdata="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0qTo0tQAAAAFAQAADwAAAAAAAAABACAAAAAiAAAAZHJzL2Rvd25yZXYueG1sUEsBAhQA&#10;FAAAAAgAh07iQM6MPv1oAgAAuQQAAA4AAAAAAAAAAQAgAAAAIwEAAGRycy9lMm9Eb2MueG1sUEsF&#10;BgAAAAAGAAYAWQEAAP0FAAAAAA==&#10;">
                        <v:fill on="t" focussize="0,0"/>
                        <v:stroke on="f" weight="0.5pt"/>
                        <v:imagedata o:title=""/>
                        <o:lock v:ext="edit" aspectratio="f"/>
                        <v:textbox inset="1mm,1mm,1mm,1mm" style="mso-fit-shape-to-text:t;">
                          <w:txbxContent>
                            <w:p w14:paraId="4D7134EF">
                              <w:r>
                                <w:rPr>
                                  <w:rFonts w:hint="eastAsia"/>
                                </w:rPr>
                                <w:t>混合好的原药</w:t>
                              </w:r>
                            </w:p>
                          </w:txbxContent>
                        </v:textbox>
                      </v:shape>
                      <v:shape id="直接箭头连接符 27" o:spid="_x0000_s1026" o:spt="32" type="#_x0000_t32" style="position:absolute;left:824865;top:1490980;height:0;width:421005;" filled="f" stroked="t" coordsize="21600,21600" o:gfxdata="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SSCvXUAAAABQEAAA8AAAAAAAAAAQAgAAAAIgAAAGRycy9kb3ducmV2LnhtbFBLAQIUABQAAAAI&#10;AIdO4kDskzBZKgIAACgEAAAOAAAAAAAAAAEAIAAAACMBAABkcnMvZTJvRG9jLnhtbFBLBQYAAAAA&#10;BgAGAFkBAAC/BQAAAAA=&#10;">
                        <v:fill on="f" focussize="0,0"/>
                        <v:stroke weight="1pt" color="#000000 [3213]" joinstyle="round" dashstyle="3 1" endarrow="open"/>
                        <v:imagedata o:title=""/>
                        <o:lock v:ext="edit" aspectratio="f"/>
                      </v:shape>
                      <v:shape id="直接箭头连接符 27" o:spid="_x0000_s1026" o:spt="32" type="#_x0000_t32" style="position:absolute;left:1932940;top:1007745;height:0;width:342900;" filled="f" stroked="t" coordsize="21600,21600" o:gfxdata="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0kgr11AAAAAUBAAAPAAAAAAAAAAEAIAAAACIA&#10;AABkcnMvZG93bnJldi54bWxQSwECFAAUAAAACACHTuJANHGJHA0CAADlAwAADgAAAAAAAAABACAA&#10;AAAjAQAAZHJzL2Uyb0RvYy54bWxQSwUGAAAAAAYABgBZAQAAogUAAAAA&#10;">
                        <v:fill on="f" focussize="0,0"/>
                        <v:stroke weight="1pt" color="#000000 [3213]" joinstyle="round" dashstyle="3 1" endarrow="open"/>
                        <v:imagedata o:title=""/>
                        <o:lock v:ext="edit" aspectratio="f"/>
                      </v:shape>
                      <v:shape id="直接箭头连接符 27" o:spid="_x0000_s1026" o:spt="32" type="#_x0000_t32" style="position:absolute;left:1941830;top:1510030;height:0;width:342900;" filled="f" stroked="t" coordsize="21600,21600" o:gfxdata="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0kgr11AAAAAUBAAAPAAAAAAAAAAEAIAAAACIAAABk&#10;cnMvZG93bnJldi54bWxQSwECFAAUAAAACACHTuJALAPr2goCAADlAwAADgAAAAAAAAABACAAAAAj&#10;AQAAZHJzL2Uyb0RvYy54bWxQSwUGAAAAAAYABgBZAQAAnwUAAAAA&#10;">
                        <v:fill on="f" focussize="0,0"/>
                        <v:stroke weight="1pt" color="#000000 [3213]" joinstyle="round" dashstyle="3 1" endarrow="open"/>
                        <v:imagedata o:title=""/>
                        <o:lock v:ext="edit" aspectratio="f"/>
                      </v:shape>
                      <v:shape id="直接箭头连接符 27" o:spid="_x0000_s1026" o:spt="32" type="#_x0000_t32" style="position:absolute;left:1967865;top:2003425;height:0;width:342900;" filled="f" stroked="t" coordsize="21600,21600" o:gfxdata="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0kgr11AAAAAUBAAAPAAAAAAAAAAEAIAAAACIA&#10;AABkcnMvZG93bnJldi54bWxQSwECFAAUAAAACACHTuJAIudfLw0CAADlAwAADgAAAAAAAAABACAA&#10;AAAjAQAAZHJzL2Uyb0RvYy54bWxQSwUGAAAAAAYABgBZAQAAogUAAAAA&#10;">
                        <v:fill on="f" focussize="0,0"/>
                        <v:stroke weight="1pt" color="#000000 [3213]" joinstyle="round" dashstyle="3 1" endarrow="open"/>
                        <v:imagedata o:title=""/>
                        <o:lock v:ext="edit" aspectratio="f"/>
                      </v:shape>
                      <v:shape id="直接箭头连接符 27" o:spid="_x0000_s1026" o:spt="32" type="#_x0000_t32" style="position:absolute;left:1976755;top:2444750;height:0;width:342900;" filled="f" stroked="t" coordsize="21600,21600" o:gfxdata="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0kgr11AAAAAUBAAAPAAAAAAAAAAEAIAAAACIA&#10;AABkcnMvZG93bnJldi54bWxQSwECFAAUAAAACACHTuJAwbDHMA0CAADlAwAADgAAAAAAAAABACAA&#10;AAAjAQAAZHJzL2Uyb0RvYy54bWxQSwUGAAAAAAYABgBZAQAAogUAAAAA&#10;">
                        <v:fill on="f" focussize="0,0"/>
                        <v:stroke weight="1pt" color="#000000 [3213]" joinstyle="round" dashstyle="3 1" endarrow="open"/>
                        <v:imagedata o:title=""/>
                        <o:lock v:ext="edit" aspectratio="f"/>
                      </v:shape>
                      <v:shape id="文本框 43" o:spid="_x0000_s1026" o:spt="202" type="#_x0000_t202" style="position:absolute;left:3649980;top:1399540;height:251460;width:455930;" fillcolor="#FFFFFF" filled="t" stroked="f" coordsize="21600,21600" o:gfxdata="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COKjMNQAAAAFAQAADwAAAAAAAAABACAAAAAiAAAAZHJzL2Rvd25yZXYueG1sUEsBAhQA&#10;FAAAAAgAh07iQBBPHtVoAgAAugQAAA4AAAAAAAAAAQAgAAAAIwEAAGRycy9lMm9Eb2MueG1sUEsF&#10;BgAAAAAGAAYAWQEAAP0FAAAAAA==&#10;">
                        <v:fill on="t" focussize="0,0"/>
                        <v:stroke on="f" weight="0.5pt"/>
                        <v:imagedata o:title=""/>
                        <o:lock v:ext="edit" aspectratio="f"/>
                        <v:textbox inset="1mm,1mm,1mm,1mm">
                          <w:txbxContent>
                            <w:p w14:paraId="6A37CD11">
                              <w:r>
                                <w:rPr>
                                  <w:rFonts w:hint="eastAsia"/>
                                </w:rPr>
                                <w:t>VOCs</w:t>
                              </w:r>
                            </w:p>
                          </w:txbxContent>
                        </v:textbox>
                      </v:shape>
                      <v:shape id="肘形连接符 252" o:spid="_x0000_s1026" o:spt="34" type="#_x0000_t34" style="position:absolute;left:4105910;top:1514475;flip:y;height:10795;width:350520;" filled="f" stroked="t" coordsize="21600,21600" o:gfxdata="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AngVGjVAAAABQEAAA8AAAAAAAAA&#10;AQAgAAAAIgAAAGRycy9kb3ducmV2LnhtbFBLAQIUABQAAAAIAIdO4kAe86ZRTQIAAGEEAAAOAAAA&#10;AAAAAAEAIAAAACQBAABkcnMvZTJvRG9jLnhtbFBLBQYAAAAABgAGAFkBAADjBQAAAAA=&#10;" adj="10800">
                        <v:fill on="f" focussize="0,0"/>
                        <v:stroke weight="1pt" color="#00B0F0 [3204]" miterlimit="8" joinstyle="miter" dashstyle="dash" endarrow="open"/>
                        <v:imagedata o:title=""/>
                        <o:lock v:ext="edit" aspectratio="f"/>
                      </v:shape>
                      <v:shape id="直接箭头连接符 27" o:spid="_x0000_s1026" o:spt="32" type="#_x0000_t32" style="position:absolute;left:1976755;top:2973070;height:0;width:342900;" filled="f" stroked="t" coordsize="21600,21600" o:gfxdata="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NJIK9dQAAAAFAQAADwAAAAAAAAABACAAAAAi&#10;AAAAZHJzL2Rvd25yZXYueG1sUEsBAhQAFAAAAAgAh07iQMt7eucOAgAA5QMAAA4AAAAAAAAAAQAg&#10;AAAAIwEAAGRycy9lMm9Eb2MueG1sUEsFBgAAAAAGAAYAWQEAAKMFAAAAAA==&#10;">
                        <v:fill on="f" focussize="0,0"/>
                        <v:stroke weight="1pt" color="#000000 [3213]" joinstyle="round" dashstyle="3 1" endarrow="open"/>
                        <v:imagedata o:title=""/>
                        <o:lock v:ext="edit" aspectratio="f"/>
                      </v:shape>
                      <v:shape id="文本框 83" o:spid="_x0000_s1026" o:spt="202" type="#_x0000_t202" style="position:absolute;left:2325370;top:2816860;height:273050;width:981075;" fillcolor="#FFFFFF" filled="t" stroked="t" coordsize="21600,21600" o:gfxdata="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aF8QI1AAAAAUBAAAPAAAAAAAAAAEAIAAAACIAAABkcnMv&#10;ZG93bnJldi54bWxQSwECFAAUAAAACACHTuJAh8QGHkACAACfBAAADgAAAAAAAAABACAAAAAjAQAA&#10;ZHJzL2Uyb0RvYy54bWxQSwUGAAAAAAYABgBZAQAA1QUAAAAA&#10;">
                        <v:fill on="t" focussize="0,0"/>
                        <v:stroke weight="0.5pt" color="#000000" joinstyle="round"/>
                        <v:imagedata o:title=""/>
                        <o:lock v:ext="edit" aspectratio="f"/>
                        <v:textbox inset="1mm,1mm,1mm,1mm">
                          <w:txbxContent>
                            <w:p w14:paraId="7EEDFDFB">
                              <w:pPr>
                                <w:jc w:val="center"/>
                              </w:pPr>
                              <w:r>
                                <w:rPr>
                                  <w:rFonts w:hint="eastAsia"/>
                                </w:rPr>
                                <w:t>封箱机</w:t>
                              </w:r>
                            </w:p>
                          </w:txbxContent>
                        </v:textbox>
                      </v:shape>
                      <w10:wrap type="none"/>
                      <w10:anchorlock/>
                    </v:group>
                  </w:pict>
                </mc:Fallback>
              </mc:AlternateContent>
            </w:r>
          </w:p>
          <w:p w14:paraId="1304D4B4">
            <w:pPr>
              <w:pStyle w:val="16"/>
              <w:autoSpaceDE w:val="0"/>
              <w:autoSpaceDN w:val="0"/>
              <w:adjustRightInd w:val="0"/>
              <w:snapToGrid w:val="0"/>
              <w:spacing w:line="360" w:lineRule="auto"/>
              <w:jc w:val="center"/>
              <w:rPr>
                <w:rFonts w:ascii="Times New Roman" w:hAnsi="Times New Roman"/>
                <w:color w:val="auto"/>
                <w:sz w:val="24"/>
                <w:szCs w:val="24"/>
              </w:rPr>
            </w:pPr>
            <w:r>
              <w:rPr>
                <w:rFonts w:ascii="Times New Roman" w:hAnsi="Times New Roman" w:eastAsia="宋体"/>
                <w:b/>
                <w:bCs/>
                <w:color w:val="auto"/>
                <w:sz w:val="24"/>
                <w:szCs w:val="24"/>
              </w:rPr>
              <w:t>图</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图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2</w:t>
            </w:r>
            <w:r>
              <w:rPr>
                <w:rFonts w:ascii="Times New Roman" w:hAnsi="Times New Roman" w:eastAsia="宋体"/>
                <w:b/>
                <w:bCs/>
                <w:color w:val="auto"/>
                <w:sz w:val="24"/>
                <w:szCs w:val="24"/>
              </w:rPr>
              <w:fldChar w:fldCharType="end"/>
            </w:r>
            <w:r>
              <w:rPr>
                <w:rFonts w:ascii="Times New Roman" w:hAnsi="Times New Roman" w:eastAsia="宋体"/>
                <w:b/>
                <w:bCs/>
                <w:color w:val="auto"/>
                <w:sz w:val="24"/>
                <w:szCs w:val="24"/>
              </w:rPr>
              <w:t xml:space="preserve"> 盘式蚊香产品生产工艺流程图</w:t>
            </w:r>
          </w:p>
          <w:p w14:paraId="601DEAA5">
            <w:pPr>
              <w:adjustRightInd w:val="0"/>
              <w:snapToGrid w:val="0"/>
              <w:spacing w:line="360" w:lineRule="auto"/>
              <w:ind w:firstLine="482" w:firstLineChars="200"/>
              <w:rPr>
                <w:b/>
                <w:bCs/>
                <w:color w:val="auto"/>
                <w:sz w:val="24"/>
                <w:szCs w:val="24"/>
              </w:rPr>
            </w:pPr>
            <w:r>
              <w:rPr>
                <w:b/>
                <w:bCs/>
                <w:color w:val="auto"/>
                <w:sz w:val="24"/>
                <w:szCs w:val="24"/>
              </w:rPr>
              <w:t>盘式蚊香产品工艺描述：</w:t>
            </w:r>
          </w:p>
          <w:p w14:paraId="032930CC">
            <w:pPr>
              <w:adjustRightInd w:val="0"/>
              <w:snapToGrid w:val="0"/>
              <w:spacing w:line="360" w:lineRule="auto"/>
              <w:ind w:firstLine="480" w:firstLineChars="200"/>
              <w:rPr>
                <w:color w:val="auto"/>
                <w:sz w:val="24"/>
                <w:szCs w:val="32"/>
              </w:rPr>
            </w:pPr>
            <w:r>
              <w:rPr>
                <w:color w:val="auto"/>
                <w:sz w:val="24"/>
                <w:szCs w:val="24"/>
              </w:rPr>
              <w:t>先进行药液制备，按一定比例将原药、煤油放入</w:t>
            </w:r>
            <w:r>
              <w:rPr>
                <w:rFonts w:hint="eastAsia"/>
                <w:color w:val="auto"/>
                <w:sz w:val="24"/>
                <w:szCs w:val="24"/>
                <w:lang w:val="en-US" w:eastAsia="zh-CN"/>
              </w:rPr>
              <w:t>密闭</w:t>
            </w:r>
            <w:r>
              <w:rPr>
                <w:color w:val="auto"/>
                <w:sz w:val="24"/>
                <w:szCs w:val="24"/>
              </w:rPr>
              <w:t>搅拌锅内搅拌混合均匀。将搅拌混合好的原药放料进入密闭中转桶内，由密闭中转桶转移至蚊香自动包装机（成套设备），通过泵输送至</w:t>
            </w:r>
            <w:r>
              <w:rPr>
                <w:color w:val="auto"/>
                <w:sz w:val="24"/>
                <w:szCs w:val="32"/>
              </w:rPr>
              <w:t>喷药工序的供料系统，输送管路均为密闭。</w:t>
            </w:r>
            <w:r>
              <w:rPr>
                <w:color w:val="auto"/>
                <w:sz w:val="24"/>
                <w:szCs w:val="24"/>
              </w:rPr>
              <w:t>本项目搅拌工序工作时搅拌锅为密闭密封状态，搅拌完成后通过下口管道输送至密闭中转桶中进行中转，且项目原药、煤油等物料根据上文理化性质介绍可知沸点较高，挥发性较低，所以搅拌工序挥发产生的有机废气主要产生于搅拌前的投料操作。</w:t>
            </w:r>
          </w:p>
          <w:p w14:paraId="2598F6A9">
            <w:pPr>
              <w:adjustRightInd w:val="0"/>
              <w:snapToGrid w:val="0"/>
              <w:spacing w:line="360" w:lineRule="auto"/>
              <w:ind w:firstLine="480" w:firstLineChars="200"/>
              <w:rPr>
                <w:color w:val="auto"/>
                <w:sz w:val="24"/>
                <w:szCs w:val="32"/>
              </w:rPr>
            </w:pPr>
            <w:r>
              <w:rPr>
                <w:color w:val="auto"/>
                <w:sz w:val="24"/>
                <w:szCs w:val="32"/>
              </w:rPr>
              <w:t>上片工序为将香坯放置于</w:t>
            </w:r>
            <w:r>
              <w:rPr>
                <w:color w:val="auto"/>
                <w:sz w:val="24"/>
                <w:szCs w:val="24"/>
              </w:rPr>
              <w:t>蚊香自动包装机输送线上，蚊香自动包装机生产线进行自动输送。输送线经过喷药工序时，通过输送线上端喷药喷头将混合好的原药均匀喷洒至香坯上，滴落的原药经下端收集回</w:t>
            </w:r>
            <w:r>
              <w:rPr>
                <w:color w:val="auto"/>
                <w:sz w:val="24"/>
                <w:szCs w:val="32"/>
              </w:rPr>
              <w:t>供料系统进行循环喷洒，喷药工序会产生挥发性有机污染物，喷药工序均为密闭操作，设备上端直连废气收集系统，仅留进料、出料口。喷好药后的蚊香经过输送线进行自动计数数片、同时整理蚊香的端头，将整理好的蚊香通过热封设备完成包膜，起到防潮、防药剂挥发的作用，后将成品装箱即可。</w:t>
            </w:r>
          </w:p>
          <w:p w14:paraId="149F7DF7">
            <w:pPr>
              <w:pStyle w:val="5"/>
              <w:numPr>
                <w:ilvl w:val="0"/>
                <w:numId w:val="18"/>
              </w:numPr>
              <w:adjustRightInd w:val="0"/>
              <w:snapToGrid w:val="0"/>
              <w:spacing w:line="360" w:lineRule="auto"/>
              <w:ind w:firstLine="482" w:firstLineChars="200"/>
              <w:rPr>
                <w:b/>
                <w:bCs/>
                <w:color w:val="auto"/>
                <w:sz w:val="24"/>
                <w:szCs w:val="24"/>
              </w:rPr>
            </w:pPr>
            <w:r>
              <w:rPr>
                <w:b/>
                <w:bCs/>
                <w:color w:val="auto"/>
                <w:sz w:val="24"/>
                <w:szCs w:val="24"/>
              </w:rPr>
              <w:t>电热蚊香液生产工艺及产污流程：</w:t>
            </w:r>
          </w:p>
          <w:p w14:paraId="3245B436">
            <w:pPr>
              <w:adjustRightInd w:val="0"/>
              <w:snapToGrid w:val="0"/>
              <w:rPr>
                <w:color w:val="auto"/>
                <w:szCs w:val="21"/>
              </w:rPr>
            </w:pPr>
            <w:r>
              <w:rPr>
                <w:color w:val="auto"/>
                <w:szCs w:val="21"/>
              </w:rPr>
              <mc:AlternateContent>
                <mc:Choice Requires="wpc">
                  <w:drawing>
                    <wp:inline distT="0" distB="0" distL="114300" distR="114300">
                      <wp:extent cx="5171440" cy="2661285"/>
                      <wp:effectExtent l="4445" t="4445" r="5715" b="20320"/>
                      <wp:docPr id="232" name="画布 232"/>
                      <wp:cNvGraphicFramePr/>
                      <a:graphic xmlns:a="http://schemas.openxmlformats.org/drawingml/2006/main">
                        <a:graphicData uri="http://schemas.microsoft.com/office/word/2010/wordprocessingCanvas">
                          <wpc:wpc>
                            <wpc:bg>
                              <a:noFill/>
                            </wpc:bg>
                            <wpc:whole>
                              <a:ln w="6350" cap="flat" cmpd="sng">
                                <a:solidFill>
                                  <a:srgbClr val="000000"/>
                                </a:solidFill>
                                <a:prstDash val="solid"/>
                                <a:round/>
                                <a:headEnd type="none" w="med" len="med"/>
                                <a:tailEnd type="none" w="med" len="med"/>
                              </a:ln>
                            </wpc:whole>
                            <wps:wsp>
                              <wps:cNvPr id="45" name="直接箭头连接符 52"/>
                              <wps:cNvCnPr/>
                              <wps:spPr>
                                <a:xfrm>
                                  <a:off x="1587500" y="577215"/>
                                  <a:ext cx="0" cy="285115"/>
                                </a:xfrm>
                                <a:prstGeom prst="straightConnector1">
                                  <a:avLst/>
                                </a:prstGeom>
                                <a:noFill/>
                                <a:ln w="9525" cap="flat" cmpd="sng" algn="ctr">
                                  <a:solidFill>
                                    <a:sysClr val="windowText" lastClr="000000"/>
                                  </a:solidFill>
                                  <a:prstDash val="solid"/>
                                  <a:tailEnd type="arrow"/>
                                </a:ln>
                                <a:effectLst/>
                              </wps:spPr>
                              <wps:bodyPr/>
                            </wps:wsp>
                            <wps:wsp>
                              <wps:cNvPr id="46" name="文本框 54"/>
                              <wps:cNvSpPr txBox="1"/>
                              <wps:spPr>
                                <a:xfrm>
                                  <a:off x="1282065" y="1365250"/>
                                  <a:ext cx="655320" cy="251460"/>
                                </a:xfrm>
                                <a:prstGeom prst="rect">
                                  <a:avLst/>
                                </a:prstGeom>
                                <a:solidFill>
                                  <a:sysClr val="window" lastClr="FFFFFF"/>
                                </a:solidFill>
                                <a:ln w="6350">
                                  <a:solidFill>
                                    <a:prstClr val="black"/>
                                  </a:solidFill>
                                </a:ln>
                                <a:effectLst/>
                              </wps:spPr>
                              <wps:txbx>
                                <w:txbxContent>
                                  <w:p w14:paraId="12E825D7">
                                    <w:pPr>
                                      <w:jc w:val="center"/>
                                    </w:pPr>
                                    <w:r>
                                      <w:rPr>
                                        <w:rFonts w:hint="eastAsia"/>
                                      </w:rPr>
                                      <w:t>装芯棒</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47" name="文本框 124"/>
                              <wps:cNvSpPr txBox="1"/>
                              <wps:spPr>
                                <a:xfrm>
                                  <a:off x="1247140" y="2340610"/>
                                  <a:ext cx="725805" cy="260985"/>
                                </a:xfrm>
                                <a:prstGeom prst="rect">
                                  <a:avLst/>
                                </a:prstGeom>
                                <a:solidFill>
                                  <a:sysClr val="window" lastClr="FFFFFF"/>
                                </a:solidFill>
                                <a:ln w="6350">
                                  <a:solidFill>
                                    <a:prstClr val="black"/>
                                  </a:solidFill>
                                </a:ln>
                                <a:effectLst/>
                              </wps:spPr>
                              <wps:txbx>
                                <w:txbxContent>
                                  <w:p w14:paraId="5C4A03D7">
                                    <w:pPr>
                                      <w:jc w:val="center"/>
                                    </w:pPr>
                                    <w:r>
                                      <w:rPr>
                                        <w:rFonts w:hint="eastAsia"/>
                                      </w:rPr>
                                      <w:t>包装</w:t>
                                    </w:r>
                                  </w:p>
                                  <w:p w14:paraId="317474EA"/>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48" name="直接箭头连接符 161"/>
                              <wps:cNvCnPr/>
                              <wps:spPr>
                                <a:xfrm>
                                  <a:off x="1609725" y="1129665"/>
                                  <a:ext cx="0" cy="235585"/>
                                </a:xfrm>
                                <a:prstGeom prst="straightConnector1">
                                  <a:avLst/>
                                </a:prstGeom>
                                <a:ln w="9525" cap="flat" cmpd="sng">
                                  <a:solidFill>
                                    <a:srgbClr val="000000"/>
                                  </a:solidFill>
                                  <a:prstDash val="solid"/>
                                  <a:round/>
                                  <a:headEnd type="none" w="med" len="med"/>
                                  <a:tailEnd type="arrow" w="med" len="med"/>
                                </a:ln>
                              </wps:spPr>
                              <wps:bodyPr/>
                            </wps:wsp>
                            <wps:wsp>
                              <wps:cNvPr id="49" name="直接箭头连接符 162"/>
                              <wps:cNvCnPr/>
                              <wps:spPr>
                                <a:xfrm>
                                  <a:off x="1592580" y="2122170"/>
                                  <a:ext cx="0" cy="218440"/>
                                </a:xfrm>
                                <a:prstGeom prst="straightConnector1">
                                  <a:avLst/>
                                </a:prstGeom>
                                <a:ln w="9525" cap="flat" cmpd="sng">
                                  <a:solidFill>
                                    <a:srgbClr val="000000"/>
                                  </a:solidFill>
                                  <a:prstDash val="solid"/>
                                  <a:round/>
                                  <a:headEnd type="none" w="med" len="med"/>
                                  <a:tailEnd type="arrow" w="med" len="med"/>
                                </a:ln>
                              </wps:spPr>
                              <wps:bodyPr/>
                            </wps:wsp>
                            <wps:wsp>
                              <wps:cNvPr id="50" name="直接箭头连接符 253"/>
                              <wps:cNvCnPr/>
                              <wps:spPr>
                                <a:xfrm>
                                  <a:off x="2971800" y="1545590"/>
                                  <a:ext cx="686435" cy="0"/>
                                </a:xfrm>
                                <a:prstGeom prst="straightConnector1">
                                  <a:avLst/>
                                </a:prstGeom>
                                <a:ln w="9525" cap="flat" cmpd="sng">
                                  <a:solidFill>
                                    <a:srgbClr val="00B0F0"/>
                                  </a:solidFill>
                                  <a:prstDash val="dash"/>
                                  <a:round/>
                                  <a:headEnd type="none" w="med" len="med"/>
                                  <a:tailEnd type="arrow" w="med" len="med"/>
                                </a:ln>
                              </wps:spPr>
                              <wps:bodyPr/>
                            </wps:wsp>
                            <wps:wsp>
                              <wps:cNvPr id="51" name="文本框 1"/>
                              <wps:cNvSpPr txBox="1"/>
                              <wps:spPr>
                                <a:xfrm>
                                  <a:off x="1286510" y="334010"/>
                                  <a:ext cx="647065" cy="251460"/>
                                </a:xfrm>
                                <a:prstGeom prst="rect">
                                  <a:avLst/>
                                </a:prstGeom>
                                <a:solidFill>
                                  <a:sysClr val="window" lastClr="FFFFFF"/>
                                </a:solidFill>
                                <a:ln w="6350">
                                  <a:solidFill>
                                    <a:prstClr val="black"/>
                                  </a:solidFill>
                                </a:ln>
                                <a:effectLst/>
                              </wps:spPr>
                              <wps:txbx>
                                <w:txbxContent>
                                  <w:p w14:paraId="0A13037E">
                                    <w:pPr>
                                      <w:jc w:val="center"/>
                                    </w:pPr>
                                    <w:r>
                                      <w:rPr>
                                        <w:rFonts w:hint="eastAsia"/>
                                      </w:rPr>
                                      <w:t>投料搅拌</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52" name="直接箭头连接符 39"/>
                              <wps:cNvCnPr/>
                              <wps:spPr>
                                <a:xfrm>
                                  <a:off x="2934970" y="459740"/>
                                  <a:ext cx="610870" cy="17780"/>
                                </a:xfrm>
                                <a:prstGeom prst="straightConnector1">
                                  <a:avLst/>
                                </a:prstGeom>
                                <a:ln w="9525" cap="flat" cmpd="sng">
                                  <a:solidFill>
                                    <a:srgbClr val="00B0F0"/>
                                  </a:solidFill>
                                  <a:prstDash val="dash"/>
                                  <a:round/>
                                  <a:headEnd type="none" w="med" len="med"/>
                                  <a:tailEnd type="arrow" w="med" len="med"/>
                                </a:ln>
                              </wps:spPr>
                              <wps:bodyPr/>
                            </wps:wsp>
                            <wps:wsp>
                              <wps:cNvPr id="53" name="文本框 43"/>
                              <wps:cNvSpPr txBox="1"/>
                              <wps:spPr>
                                <a:xfrm>
                                  <a:off x="3545840" y="351790"/>
                                  <a:ext cx="455930" cy="251460"/>
                                </a:xfrm>
                                <a:prstGeom prst="rect">
                                  <a:avLst/>
                                </a:prstGeom>
                                <a:solidFill>
                                  <a:sysClr val="window" lastClr="FFFFFF"/>
                                </a:solidFill>
                                <a:ln w="6350">
                                  <a:noFill/>
                                </a:ln>
                                <a:effectLst/>
                              </wps:spPr>
                              <wps:txbx>
                                <w:txbxContent>
                                  <w:p w14:paraId="0016AEA1">
                                    <w:r>
                                      <w:rPr>
                                        <w:rFonts w:hint="eastAsia"/>
                                      </w:rPr>
                                      <w:t>VOCs</w:t>
                                    </w:r>
                                  </w:p>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54" name="文本框 84"/>
                              <wps:cNvSpPr txBox="1"/>
                              <wps:spPr>
                                <a:xfrm>
                                  <a:off x="248920" y="21590"/>
                                  <a:ext cx="558165" cy="251460"/>
                                </a:xfrm>
                                <a:prstGeom prst="rect">
                                  <a:avLst/>
                                </a:prstGeom>
                                <a:solidFill>
                                  <a:sysClr val="window" lastClr="FFFFFF"/>
                                </a:solidFill>
                                <a:ln w="6350">
                                  <a:noFill/>
                                </a:ln>
                                <a:effectLst/>
                              </wps:spPr>
                              <wps:txbx>
                                <w:txbxContent>
                                  <w:p w14:paraId="5FA15220">
                                    <w:r>
                                      <w:rPr>
                                        <w:rFonts w:hint="eastAsia"/>
                                      </w:rPr>
                                      <w:t>原辅料</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55" name="文本框 84"/>
                              <wps:cNvSpPr txBox="1"/>
                              <wps:spPr>
                                <a:xfrm>
                                  <a:off x="1388110" y="20320"/>
                                  <a:ext cx="388620" cy="251460"/>
                                </a:xfrm>
                                <a:prstGeom prst="rect">
                                  <a:avLst/>
                                </a:prstGeom>
                                <a:solidFill>
                                  <a:sysClr val="window" lastClr="FFFFFF"/>
                                </a:solidFill>
                                <a:ln w="6350">
                                  <a:noFill/>
                                </a:ln>
                                <a:effectLst/>
                              </wps:spPr>
                              <wps:txbx>
                                <w:txbxContent>
                                  <w:p w14:paraId="1CF4E33D">
                                    <w:r>
                                      <w:rPr>
                                        <w:rFonts w:hint="eastAsia"/>
                                      </w:rPr>
                                      <w:t>工序</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56" name="文本框 84"/>
                              <wps:cNvSpPr txBox="1"/>
                              <wps:spPr>
                                <a:xfrm>
                                  <a:off x="2480945" y="39370"/>
                                  <a:ext cx="388620" cy="251460"/>
                                </a:xfrm>
                                <a:prstGeom prst="rect">
                                  <a:avLst/>
                                </a:prstGeom>
                                <a:solidFill>
                                  <a:sysClr val="window" lastClr="FFFFFF"/>
                                </a:solidFill>
                                <a:ln w="6350">
                                  <a:noFill/>
                                </a:ln>
                                <a:effectLst/>
                              </wps:spPr>
                              <wps:txbx>
                                <w:txbxContent>
                                  <w:p w14:paraId="3FED7357">
                                    <w:r>
                                      <w:rPr>
                                        <w:rFonts w:hint="eastAsia"/>
                                      </w:rPr>
                                      <w:t>设备</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57" name="文本框 84"/>
                              <wps:cNvSpPr txBox="1"/>
                              <wps:spPr>
                                <a:xfrm>
                                  <a:off x="3528695" y="30480"/>
                                  <a:ext cx="483870" cy="251460"/>
                                </a:xfrm>
                                <a:prstGeom prst="rect">
                                  <a:avLst/>
                                </a:prstGeom>
                                <a:solidFill>
                                  <a:sysClr val="window" lastClr="FFFFFF"/>
                                </a:solidFill>
                                <a:ln w="6350">
                                  <a:noFill/>
                                </a:ln>
                                <a:effectLst/>
                              </wps:spPr>
                              <wps:txbx>
                                <w:txbxContent>
                                  <w:p w14:paraId="4187BE3A">
                                    <w:r>
                                      <w:rPr>
                                        <w:rFonts w:hint="eastAsia"/>
                                      </w:rPr>
                                      <w:t>污染物</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58" name="直接箭头连接符 27"/>
                              <wps:cNvCnPr/>
                              <wps:spPr>
                                <a:xfrm>
                                  <a:off x="868045" y="459740"/>
                                  <a:ext cx="418465" cy="0"/>
                                </a:xfrm>
                                <a:prstGeom prst="straightConnector1">
                                  <a:avLst/>
                                </a:prstGeom>
                                <a:noFill/>
                                <a:ln w="12700" cap="flat" cmpd="sng" algn="ctr">
                                  <a:solidFill>
                                    <a:schemeClr val="tx1"/>
                                  </a:solidFill>
                                  <a:prstDash val="sysDash"/>
                                  <a:tailEnd type="arrow"/>
                                </a:ln>
                                <a:effectLst/>
                              </wps:spPr>
                              <wps:bodyPr/>
                            </wps:wsp>
                            <wps:wsp>
                              <wps:cNvPr id="59" name="文本框 51"/>
                              <wps:cNvSpPr txBox="1"/>
                              <wps:spPr>
                                <a:xfrm>
                                  <a:off x="154305" y="334010"/>
                                  <a:ext cx="713740" cy="251460"/>
                                </a:xfrm>
                                <a:prstGeom prst="rect">
                                  <a:avLst/>
                                </a:prstGeom>
                                <a:solidFill>
                                  <a:sysClr val="window" lastClr="FFFFFF"/>
                                </a:solidFill>
                                <a:ln w="6350">
                                  <a:noFill/>
                                </a:ln>
                                <a:effectLst/>
                              </wps:spPr>
                              <wps:txbx>
                                <w:txbxContent>
                                  <w:p w14:paraId="40CB7C94">
                                    <w:r>
                                      <w:rPr>
                                        <w:rFonts w:hint="eastAsia"/>
                                      </w:rPr>
                                      <w:t>原药、煤油</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60" name="文本框 62"/>
                              <wps:cNvSpPr txBox="1"/>
                              <wps:spPr>
                                <a:xfrm>
                                  <a:off x="1303655" y="864235"/>
                                  <a:ext cx="612140" cy="265430"/>
                                </a:xfrm>
                                <a:prstGeom prst="rect">
                                  <a:avLst/>
                                </a:prstGeom>
                                <a:solidFill>
                                  <a:sysClr val="window" lastClr="FFFFFF"/>
                                </a:solidFill>
                                <a:ln w="6350">
                                  <a:solidFill>
                                    <a:prstClr val="black"/>
                                  </a:solidFill>
                                </a:ln>
                                <a:effectLst/>
                              </wps:spPr>
                              <wps:txbx>
                                <w:txbxContent>
                                  <w:p w14:paraId="3E6C9B6F">
                                    <w:pPr>
                                      <w:jc w:val="center"/>
                                    </w:pPr>
                                    <w:r>
                                      <w:rPr>
                                        <w:rFonts w:hint="eastAsia"/>
                                      </w:rPr>
                                      <w:t>装瓶</w:t>
                                    </w:r>
                                  </w:p>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61" name="文本框 83"/>
                              <wps:cNvSpPr txBox="1"/>
                              <wps:spPr>
                                <a:xfrm>
                                  <a:off x="2265045" y="323215"/>
                                  <a:ext cx="669925" cy="27305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AA367A1">
                                    <w:pPr>
                                      <w:jc w:val="center"/>
                                    </w:pPr>
                                    <w:r>
                                      <w:rPr>
                                        <w:rFonts w:hint="eastAsia"/>
                                      </w:rPr>
                                      <w:t>搅拌机</w:t>
                                    </w:r>
                                  </w:p>
                                </w:txbxContent>
                              </wps:txbx>
                              <wps:bodyPr wrap="square" lIns="36000" tIns="36000" rIns="36000" bIns="36000" upright="1">
                                <a:noAutofit/>
                              </wps:bodyPr>
                            </wps:wsp>
                            <wps:wsp>
                              <wps:cNvPr id="62" name="直接箭头连接符 27"/>
                              <wps:cNvCnPr/>
                              <wps:spPr>
                                <a:xfrm>
                                  <a:off x="1933575" y="459740"/>
                                  <a:ext cx="331470" cy="0"/>
                                </a:xfrm>
                                <a:prstGeom prst="straightConnector1">
                                  <a:avLst/>
                                </a:prstGeom>
                                <a:noFill/>
                                <a:ln w="12700" cap="flat" cmpd="sng" algn="ctr">
                                  <a:solidFill>
                                    <a:schemeClr val="tx1"/>
                                  </a:solidFill>
                                  <a:prstDash val="sysDash"/>
                                  <a:tailEnd type="arrow"/>
                                </a:ln>
                                <a:effectLst/>
                              </wps:spPr>
                              <wps:bodyPr/>
                            </wps:wsp>
                            <wps:wsp>
                              <wps:cNvPr id="63" name="文本框 83"/>
                              <wps:cNvSpPr txBox="1"/>
                              <wps:spPr>
                                <a:xfrm>
                                  <a:off x="2284730" y="863600"/>
                                  <a:ext cx="669925" cy="41148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0CF5DDC0">
                                    <w:pPr>
                                      <w:jc w:val="center"/>
                                    </w:pPr>
                                    <w:r>
                                      <w:rPr>
                                        <w:rFonts w:hint="eastAsia"/>
                                      </w:rPr>
                                      <w:t>全自动灌装机</w:t>
                                    </w:r>
                                  </w:p>
                                </w:txbxContent>
                              </wps:txbx>
                              <wps:bodyPr wrap="square" lIns="36000" tIns="36000" rIns="36000" bIns="36000" anchor="ctr" anchorCtr="0" upright="1">
                                <a:noAutofit/>
                              </wps:bodyPr>
                            </wps:wsp>
                            <wps:wsp>
                              <wps:cNvPr id="64" name="直接箭头连接符 161"/>
                              <wps:cNvCnPr/>
                              <wps:spPr>
                                <a:xfrm>
                                  <a:off x="1609725" y="1616710"/>
                                  <a:ext cx="635" cy="232410"/>
                                </a:xfrm>
                                <a:prstGeom prst="straightConnector1">
                                  <a:avLst/>
                                </a:prstGeom>
                                <a:ln w="9525" cap="flat" cmpd="sng">
                                  <a:solidFill>
                                    <a:srgbClr val="000000"/>
                                  </a:solidFill>
                                  <a:prstDash val="solid"/>
                                  <a:round/>
                                  <a:headEnd type="none" w="med" len="med"/>
                                  <a:tailEnd type="arrow" w="med" len="med"/>
                                </a:ln>
                              </wps:spPr>
                              <wps:bodyPr/>
                            </wps:wsp>
                            <wps:wsp>
                              <wps:cNvPr id="66" name="文本框 62"/>
                              <wps:cNvSpPr txBox="1"/>
                              <wps:spPr>
                                <a:xfrm>
                                  <a:off x="1268095" y="1849120"/>
                                  <a:ext cx="683895" cy="273050"/>
                                </a:xfrm>
                                <a:prstGeom prst="rect">
                                  <a:avLst/>
                                </a:prstGeom>
                                <a:solidFill>
                                  <a:sysClr val="window" lastClr="FFFFFF"/>
                                </a:solidFill>
                                <a:ln w="6350">
                                  <a:solidFill>
                                    <a:prstClr val="black"/>
                                  </a:solidFill>
                                </a:ln>
                                <a:effectLst/>
                              </wps:spPr>
                              <wps:txbx>
                                <w:txbxContent>
                                  <w:p w14:paraId="4C38ADA1">
                                    <w:pPr>
                                      <w:jc w:val="center"/>
                                    </w:pPr>
                                    <w:r>
                                      <w:rPr>
                                        <w:rFonts w:hint="eastAsia"/>
                                      </w:rPr>
                                      <w:t>加瓶盖</w:t>
                                    </w:r>
                                  </w:p>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67" name="文本框 51"/>
                              <wps:cNvSpPr txBox="1"/>
                              <wps:spPr>
                                <a:xfrm>
                                  <a:off x="4490085" y="575945"/>
                                  <a:ext cx="638175" cy="960755"/>
                                </a:xfrm>
                                <a:prstGeom prst="rect">
                                  <a:avLst/>
                                </a:prstGeom>
                                <a:solidFill>
                                  <a:sysClr val="window" lastClr="FFFFFF"/>
                                </a:solidFill>
                                <a:ln w="6350">
                                  <a:noFill/>
                                </a:ln>
                                <a:effectLst/>
                              </wps:spPr>
                              <wps:txbx>
                                <w:txbxContent>
                                  <w:p w14:paraId="1056D750">
                                    <w:r>
                                      <w:rPr>
                                        <w:rFonts w:hint="eastAsia"/>
                                      </w:rPr>
                                      <w:t>二级活性炭+</w:t>
                                    </w:r>
                                    <w:r>
                                      <w:rPr>
                                        <w:rFonts w:hint="eastAsia"/>
                                        <w:szCs w:val="21"/>
                                      </w:rPr>
                                      <w:t>楼顶（22.5m）</w:t>
                                    </w:r>
                                    <w:r>
                                      <w:rPr>
                                        <w:rFonts w:hint="eastAsia"/>
                                      </w:rPr>
                                      <w:t>排气筒（DA001）</w:t>
                                    </w:r>
                                  </w:p>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68" name="文本框 84"/>
                              <wps:cNvSpPr txBox="1"/>
                              <wps:spPr>
                                <a:xfrm>
                                  <a:off x="4643755" y="19050"/>
                                  <a:ext cx="483870" cy="424815"/>
                                </a:xfrm>
                                <a:prstGeom prst="rect">
                                  <a:avLst/>
                                </a:prstGeom>
                                <a:solidFill>
                                  <a:sysClr val="window" lastClr="FFFFFF"/>
                                </a:solidFill>
                                <a:ln w="6350">
                                  <a:noFill/>
                                </a:ln>
                                <a:effectLst/>
                              </wps:spPr>
                              <wps:txbx>
                                <w:txbxContent>
                                  <w:p w14:paraId="298995DF">
                                    <w:r>
                                      <w:rPr>
                                        <w:rFonts w:hint="eastAsia"/>
                                      </w:rPr>
                                      <w:t>污染防治措施</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69" name="文本框 51"/>
                              <wps:cNvSpPr txBox="1"/>
                              <wps:spPr>
                                <a:xfrm>
                                  <a:off x="432435" y="1373505"/>
                                  <a:ext cx="365760" cy="251460"/>
                                </a:xfrm>
                                <a:prstGeom prst="rect">
                                  <a:avLst/>
                                </a:prstGeom>
                                <a:solidFill>
                                  <a:sysClr val="window" lastClr="FFFFFF"/>
                                </a:solidFill>
                                <a:ln w="6350">
                                  <a:noFill/>
                                </a:ln>
                                <a:effectLst/>
                              </wps:spPr>
                              <wps:txbx>
                                <w:txbxContent>
                                  <w:p w14:paraId="1FA6E3A4">
                                    <w:pPr>
                                      <w:rPr>
                                        <w:rFonts w:hint="default" w:eastAsia="宋体"/>
                                        <w:lang w:val="en-US" w:eastAsia="zh-CN"/>
                                      </w:rPr>
                                    </w:pPr>
                                    <w:r>
                                      <w:rPr>
                                        <w:rFonts w:hint="eastAsia"/>
                                        <w:lang w:val="en-US" w:eastAsia="zh-CN"/>
                                      </w:rPr>
                                      <w:t>芯棒</w:t>
                                    </w:r>
                                  </w:p>
                                </w:txbxContent>
                              </wps:txbx>
                              <wps:bodyPr rot="0" spcFirstLastPara="0" vertOverflow="overflow" horzOverflow="overflow" vert="horz" wrap="square" lIns="36000" tIns="36000" rIns="36000" bIns="36000" numCol="1" spcCol="0" rtlCol="0" fromWordArt="0" anchor="t" anchorCtr="0" forceAA="0" compatLnSpc="1">
                                <a:spAutoFit/>
                              </wps:bodyPr>
                            </wps:wsp>
                            <wps:wsp>
                              <wps:cNvPr id="70" name="直接箭头连接符 27"/>
                              <wps:cNvCnPr/>
                              <wps:spPr>
                                <a:xfrm>
                                  <a:off x="824865" y="1490980"/>
                                  <a:ext cx="457200" cy="0"/>
                                </a:xfrm>
                                <a:prstGeom prst="straightConnector1">
                                  <a:avLst/>
                                </a:prstGeom>
                                <a:noFill/>
                                <a:ln w="12700" cap="flat" cmpd="sng" algn="ctr">
                                  <a:solidFill>
                                    <a:schemeClr val="tx1"/>
                                  </a:solidFill>
                                  <a:prstDash val="sysDash"/>
                                  <a:tailEnd type="arrow"/>
                                </a:ln>
                                <a:effectLst/>
                              </wps:spPr>
                              <wps:bodyPr/>
                            </wps:wsp>
                            <wps:wsp>
                              <wps:cNvPr id="71" name="直接箭头连接符 27"/>
                              <wps:cNvCnPr/>
                              <wps:spPr>
                                <a:xfrm>
                                  <a:off x="1932940" y="1007745"/>
                                  <a:ext cx="342900" cy="0"/>
                                </a:xfrm>
                                <a:prstGeom prst="straightConnector1">
                                  <a:avLst/>
                                </a:prstGeom>
                                <a:noFill/>
                                <a:ln w="12700" cap="flat" cmpd="sng" algn="ctr">
                                  <a:solidFill>
                                    <a:schemeClr val="tx1"/>
                                  </a:solidFill>
                                  <a:prstDash val="sysDash"/>
                                  <a:tailEnd type="arrow"/>
                                </a:ln>
                                <a:effectLst/>
                              </wps:spPr>
                              <wps:bodyPr/>
                            </wps:wsp>
                            <wps:wsp>
                              <wps:cNvPr id="73" name="直接箭头连接符 27"/>
                              <wps:cNvCnPr/>
                              <wps:spPr>
                                <a:xfrm>
                                  <a:off x="1941830" y="1510030"/>
                                  <a:ext cx="342900" cy="0"/>
                                </a:xfrm>
                                <a:prstGeom prst="straightConnector1">
                                  <a:avLst/>
                                </a:prstGeom>
                                <a:noFill/>
                                <a:ln w="12700" cap="flat" cmpd="sng" algn="ctr">
                                  <a:solidFill>
                                    <a:schemeClr val="tx1"/>
                                  </a:solidFill>
                                  <a:prstDash val="sysDash"/>
                                  <a:tailEnd type="arrow"/>
                                </a:ln>
                                <a:effectLst/>
                              </wps:spPr>
                              <wps:bodyPr/>
                            </wps:wsp>
                            <wps:wsp>
                              <wps:cNvPr id="74" name="直接箭头连接符 27"/>
                              <wps:cNvCnPr/>
                              <wps:spPr>
                                <a:xfrm>
                                  <a:off x="1976755" y="2444750"/>
                                  <a:ext cx="342900" cy="0"/>
                                </a:xfrm>
                                <a:prstGeom prst="straightConnector1">
                                  <a:avLst/>
                                </a:prstGeom>
                                <a:noFill/>
                                <a:ln w="12700" cap="flat" cmpd="sng" algn="ctr">
                                  <a:solidFill>
                                    <a:schemeClr val="tx1"/>
                                  </a:solidFill>
                                  <a:prstDash val="sysDash"/>
                                  <a:tailEnd type="arrow"/>
                                </a:ln>
                                <a:effectLst/>
                              </wps:spPr>
                              <wps:bodyPr/>
                            </wps:wsp>
                            <wps:wsp>
                              <wps:cNvPr id="75" name="文本框 43"/>
                              <wps:cNvSpPr txBox="1"/>
                              <wps:spPr>
                                <a:xfrm>
                                  <a:off x="3649980" y="1420495"/>
                                  <a:ext cx="455930" cy="251460"/>
                                </a:xfrm>
                                <a:prstGeom prst="rect">
                                  <a:avLst/>
                                </a:prstGeom>
                                <a:solidFill>
                                  <a:sysClr val="window" lastClr="FFFFFF"/>
                                </a:solidFill>
                                <a:ln w="6350">
                                  <a:noFill/>
                                </a:ln>
                                <a:effectLst/>
                              </wps:spPr>
                              <wps:txbx>
                                <w:txbxContent>
                                  <w:p w14:paraId="44FA6A47">
                                    <w:r>
                                      <w:rPr>
                                        <w:rFonts w:hint="eastAsia"/>
                                      </w:rPr>
                                      <w:t>VOCs</w:t>
                                    </w:r>
                                  </w:p>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76" name="文本框 83"/>
                              <wps:cNvSpPr txBox="1"/>
                              <wps:spPr>
                                <a:xfrm>
                                  <a:off x="2292985" y="1348740"/>
                                  <a:ext cx="669925" cy="41148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42B70BE9">
                                    <w:pPr>
                                      <w:jc w:val="center"/>
                                    </w:pPr>
                                    <w:r>
                                      <w:rPr>
                                        <w:rFonts w:hint="eastAsia"/>
                                        <w:szCs w:val="21"/>
                                      </w:rPr>
                                      <w:t>自动插芯棒机</w:t>
                                    </w:r>
                                  </w:p>
                                </w:txbxContent>
                              </wps:txbx>
                              <wps:bodyPr wrap="square" lIns="36000" tIns="36000" rIns="36000" bIns="36000" anchor="ctr" anchorCtr="0" upright="1">
                                <a:noAutofit/>
                              </wps:bodyPr>
                            </wps:wsp>
                            <wps:wsp>
                              <wps:cNvPr id="77" name="文本框 83"/>
                              <wps:cNvSpPr txBox="1"/>
                              <wps:spPr>
                                <a:xfrm>
                                  <a:off x="2316480" y="2340610"/>
                                  <a:ext cx="782320" cy="27305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7705F5E1">
                                    <w:pPr>
                                      <w:jc w:val="center"/>
                                    </w:pPr>
                                    <w:r>
                                      <w:rPr>
                                        <w:rFonts w:hint="eastAsia"/>
                                      </w:rPr>
                                      <w:t>自动封口机</w:t>
                                    </w:r>
                                  </w:p>
                                </w:txbxContent>
                              </wps:txbx>
                              <wps:bodyPr wrap="square" lIns="36000" tIns="36000" rIns="36000" bIns="36000" upright="1">
                                <a:noAutofit/>
                              </wps:bodyPr>
                            </wps:wsp>
                            <wps:wsp>
                              <wps:cNvPr id="78" name="直接箭头连接符 39"/>
                              <wps:cNvCnPr>
                                <a:stCxn id="276" idx="3"/>
                                <a:endCxn id="310" idx="1"/>
                              </wps:cNvCnPr>
                              <wps:spPr>
                                <a:xfrm flipV="1">
                                  <a:off x="2954655" y="1061720"/>
                                  <a:ext cx="608330" cy="7620"/>
                                </a:xfrm>
                                <a:prstGeom prst="straightConnector1">
                                  <a:avLst/>
                                </a:prstGeom>
                                <a:ln w="9525" cap="flat" cmpd="sng">
                                  <a:solidFill>
                                    <a:srgbClr val="00B0F0"/>
                                  </a:solidFill>
                                  <a:prstDash val="dash"/>
                                  <a:round/>
                                  <a:headEnd type="none" w="med" len="med"/>
                                  <a:tailEnd type="arrow" w="med" len="med"/>
                                </a:ln>
                              </wps:spPr>
                              <wps:bodyPr/>
                            </wps:wsp>
                            <wps:wsp>
                              <wps:cNvPr id="79" name="文本框 43"/>
                              <wps:cNvSpPr txBox="1"/>
                              <wps:spPr>
                                <a:xfrm>
                                  <a:off x="3562985" y="935990"/>
                                  <a:ext cx="455930" cy="251460"/>
                                </a:xfrm>
                                <a:prstGeom prst="rect">
                                  <a:avLst/>
                                </a:prstGeom>
                                <a:solidFill>
                                  <a:sysClr val="window" lastClr="FFFFFF"/>
                                </a:solidFill>
                                <a:ln w="6350">
                                  <a:noFill/>
                                </a:ln>
                                <a:effectLst/>
                              </wps:spPr>
                              <wps:txbx>
                                <w:txbxContent>
                                  <w:p w14:paraId="455ACF76">
                                    <w:r>
                                      <w:rPr>
                                        <w:rFonts w:hint="eastAsia"/>
                                      </w:rPr>
                                      <w:t>VOCs</w:t>
                                    </w:r>
                                  </w:p>
                                </w:txbxContent>
                              </wps:txbx>
                              <wps:bodyPr rot="0" spcFirstLastPara="0" vertOverflow="overflow" horzOverflow="overflow" vert="horz" wrap="square" lIns="36000" tIns="36000" rIns="36000" bIns="36000" numCol="1" spcCol="0" rtlCol="0" fromWordArt="0" anchor="t" anchorCtr="0" forceAA="0" compatLnSpc="1">
                                <a:noAutofit/>
                              </wps:bodyPr>
                            </wps:wsp>
                            <wps:wsp>
                              <wps:cNvPr id="80" name="肘形连接符 252"/>
                              <wps:cNvCnPr>
                                <a:stCxn id="310" idx="3"/>
                                <a:endCxn id="288" idx="1"/>
                              </wps:cNvCnPr>
                              <wps:spPr>
                                <a:xfrm flipV="1">
                                  <a:off x="4018915" y="1056640"/>
                                  <a:ext cx="471170" cy="5080"/>
                                </a:xfrm>
                                <a:prstGeom prst="bentConnector3">
                                  <a:avLst>
                                    <a:gd name="adj1" fmla="val 50000"/>
                                  </a:avLst>
                                </a:prstGeom>
                                <a:ln w="12700" cmpd="sng">
                                  <a:solidFill>
                                    <a:srgbClr val="00B0F0"/>
                                  </a:solidFill>
                                  <a:prstDash val="dash"/>
                                  <a:tailEnd type="arrow"/>
                                </a:ln>
                              </wps:spPr>
                              <wps:style>
                                <a:lnRef idx="2">
                                  <a:schemeClr val="accent1"/>
                                </a:lnRef>
                                <a:fillRef idx="0">
                                  <a:srgbClr val="FFFFFF"/>
                                </a:fillRef>
                                <a:effectRef idx="0">
                                  <a:srgbClr val="FFFFFF"/>
                                </a:effectRef>
                                <a:fontRef idx="minor">
                                  <a:schemeClr val="tx1"/>
                                </a:fontRef>
                              </wps:style>
                              <wps:bodyPr/>
                            </wps:wsp>
                          </wpc:wpc>
                        </a:graphicData>
                      </a:graphic>
                    </wp:inline>
                  </w:drawing>
                </mc:Choice>
                <mc:Fallback>
                  <w:pict>
                    <v:group id="_x0000_s1026" o:spid="_x0000_s1026" o:spt="203" style="height:209.55pt;width:407.2pt;" coordsize="5171440,2661285" editas="canvas" o:gfxdata="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&#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">
                      <o:lock v:ext="edit" aspectratio="f"/>
                      <v:shape id="_x0000_s1026" o:spid="_x0000_s1026" style="position:absolute;left:0;top:0;height:2661285;width:5171440;" filled="f" stroked="t" coordsize="21600,21600" o:gfxdata="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">
                        <v:fill on="f" focussize="0,0"/>
                        <v:stroke weight="0.5pt" color="#000000" joinstyle="round"/>
                        <v:imagedata o:title=""/>
                        <o:lock v:ext="edit" aspectratio="f"/>
                      </v:shape>
                      <v:shape id="直接箭头连接符 52" o:spid="_x0000_s1026" o:spt="32" type="#_x0000_t32" style="position:absolute;left:1587500;top:577215;height:285115;width:0;" filled="f" stroked="t" coordsize="21600,21600" o:gfxdata="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cYjOk1QAAAAUBAAAPAAAAAAAA&#10;AAEAIAAAACIAAABkcnMvZG93bnJldi54bWxQSwECFAAUAAAACACHTuJAkHlOlhUCAAD1AwAADgAA&#10;AAAAAAABACAAAAAkAQAAZHJzL2Uyb0RvYy54bWxQSwUGAAAAAAYABgBZAQAAqwUAAAAA&#10;">
                        <v:fill on="f" focussize="0,0"/>
                        <v:stroke color="#000000" joinstyle="round" endarrow="open"/>
                        <v:imagedata o:title=""/>
                        <o:lock v:ext="edit" aspectratio="f"/>
                      </v:shape>
                      <v:shape id="文本框 54" o:spid="_x0000_s1026" o:spt="202" type="#_x0000_t202" style="position:absolute;left:1282065;top:1365250;height:251460;width:655320;" fillcolor="#FFFFFF" filled="t" stroked="t" coordsize="21600,21600" o:gfxdata="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Rm4lJNYAAAAFAQAADwAAAAAAAAABACAAAAAiAAAAZHJzL2Rvd25yZXYu&#10;eG1sUEsBAhQAFAAAAAgAh07iQCTz+ppvAgAA4gQAAA4AAAAAAAAAAQAgAAAAJQEAAGRycy9lMm9E&#10;b2MueG1sUEsFBgAAAAAGAAYAWQEAAAYGAAAAAA==&#10;">
                        <v:fill on="t" focussize="0,0"/>
                        <v:stroke weight="0.5pt" color="#000000" joinstyle="round"/>
                        <v:imagedata o:title=""/>
                        <o:lock v:ext="edit" aspectratio="f"/>
                        <v:textbox inset="1mm,1mm,1mm,1mm" style="mso-fit-shape-to-text:t;">
                          <w:txbxContent>
                            <w:p w14:paraId="12E825D7">
                              <w:pPr>
                                <w:jc w:val="center"/>
                              </w:pPr>
                              <w:r>
                                <w:rPr>
                                  <w:rFonts w:hint="eastAsia"/>
                                </w:rPr>
                                <w:t>装芯棒</w:t>
                              </w:r>
                            </w:p>
                          </w:txbxContent>
                        </v:textbox>
                      </v:shape>
                      <v:shape id="文本框 124" o:spid="_x0000_s1026" o:spt="202" type="#_x0000_t202" style="position:absolute;left:1247140;top:2340610;height:260985;width:725805;" fillcolor="#FFFFFF" filled="t" stroked="t" coordsize="21600,21600" o:gfxdata="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jOIF3NMAAAAFAQAADwAAAAAAAAABACAAAAAiAAAAZHJzL2Rvd25yZXYu&#10;eG1sUEsBAhQAFAAAAAgAh07iQHXbfP1yAgAA4wQAAA4AAAAAAAAAAQAgAAAAIgEAAGRycy9lMm9E&#10;b2MueG1sUEsFBgAAAAAGAAYAWQEAAAYGAAAAAA==&#10;">
                        <v:fill on="t" focussize="0,0"/>
                        <v:stroke weight="0.5pt" color="#000000" joinstyle="round"/>
                        <v:imagedata o:title=""/>
                        <o:lock v:ext="edit" aspectratio="f"/>
                        <v:textbox inset="1mm,1mm,1mm,1mm">
                          <w:txbxContent>
                            <w:p w14:paraId="5C4A03D7">
                              <w:pPr>
                                <w:jc w:val="center"/>
                              </w:pPr>
                              <w:r>
                                <w:rPr>
                                  <w:rFonts w:hint="eastAsia"/>
                                </w:rPr>
                                <w:t>包装</w:t>
                              </w:r>
                            </w:p>
                            <w:p w14:paraId="317474EA"/>
                          </w:txbxContent>
                        </v:textbox>
                      </v:shape>
                      <v:shape id="直接箭头连接符 161" o:spid="_x0000_s1026" o:spt="32" type="#_x0000_t32" style="position:absolute;left:1609725;top:1129665;height:235585;width:0;" filled="f" stroked="t" coordsize="21600,21600" o:gfxdata="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xiM6TVAAAABQEAAA8AAAAA&#10;AAAAAQAgAAAAIgAAAGRycy9kb3ducmV2LnhtbFBLAQIUABQAAAAIAIdO4kB1biMNFwIAAAUEAAAO&#10;AAAAAAAAAAEAIAAAACQBAABkcnMvZTJvRG9jLnhtbFBLBQYAAAAABgAGAFkBAACtBQAAAAA=&#10;">
                        <v:fill on="f" focussize="0,0"/>
                        <v:stroke color="#000000" joinstyle="round" endarrow="open"/>
                        <v:imagedata o:title=""/>
                        <o:lock v:ext="edit" aspectratio="f"/>
                      </v:shape>
                      <v:shape id="直接箭头连接符 162" o:spid="_x0000_s1026" o:spt="32" type="#_x0000_t32" style="position:absolute;left:1592580;top:2122170;height:218440;width:0;" filled="f" stroked="t" coordsize="21600,21600" o:gfxdata="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GIzpNUAAAAFAQAADwAAAAAA&#10;AAABACAAAAAiAAAAZHJzL2Rvd25yZXYueG1sUEsBAhQAFAAAAAgAh07iQLkjbHcWAgAABQQAAA4A&#10;AAAAAAAAAQAgAAAAJAEAAGRycy9lMm9Eb2MueG1sUEsFBgAAAAAGAAYAWQEAAKwFAAAAAA==&#10;">
                        <v:fill on="f" focussize="0,0"/>
                        <v:stroke color="#000000" joinstyle="round" endarrow="open"/>
                        <v:imagedata o:title=""/>
                        <o:lock v:ext="edit" aspectratio="f"/>
                      </v:shape>
                      <v:shape id="直接箭头连接符 253" o:spid="_x0000_s1026" o:spt="32" type="#_x0000_t32" style="position:absolute;left:2971800;top:1545590;height:0;width:686435;" filled="f" stroked="t" coordsize="21600,21600" o:gfxdata="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RT9wZ2AAAAAUBAAAP&#10;AAAAAAAAAAEAIAAAACIAAABkcnMvZG93bnJldi54bWxQSwECFAAUAAAACACHTuJABg+oxxgCAAAE&#10;BAAADgAAAAAAAAABACAAAAAnAQAAZHJzL2Uyb0RvYy54bWxQSwUGAAAAAAYABgBZAQAAsQUAAAAA&#10;">
                        <v:fill on="f" focussize="0,0"/>
                        <v:stroke color="#00B0F0" joinstyle="round" dashstyle="dash" endarrow="open"/>
                        <v:imagedata o:title=""/>
                        <o:lock v:ext="edit" aspectratio="f"/>
                      </v:shape>
                      <v:shape id="文本框 1" o:spid="_x0000_s1026" o:spt="202" type="#_x0000_t202" style="position:absolute;left:1286510;top:334010;height:251460;width:647065;" fillcolor="#FFFFFF" filled="t" stroked="t" coordsize="21600,21600" o:gfxdata="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EZuJSTWAAAABQEAAA8AAAAAAAAAAQAgAAAAIgAAAGRycy9kb3ducmV2&#10;LnhtbFBLAQIUABQAAAAIAIdO4kD1eQQ5cAIAAOAEAAAOAAAAAAAAAAEAIAAAACUBAABkcnMvZTJv&#10;RG9jLnhtbFBLBQYAAAAABgAGAFkBAAAHBgAAAAA=&#10;">
                        <v:fill on="t" focussize="0,0"/>
                        <v:stroke weight="0.5pt" color="#000000" joinstyle="round"/>
                        <v:imagedata o:title=""/>
                        <o:lock v:ext="edit" aspectratio="f"/>
                        <v:textbox inset="1mm,1mm,1mm,1mm" style="mso-fit-shape-to-text:t;">
                          <w:txbxContent>
                            <w:p w14:paraId="0A13037E">
                              <w:pPr>
                                <w:jc w:val="center"/>
                              </w:pPr>
                              <w:r>
                                <w:rPr>
                                  <w:rFonts w:hint="eastAsia"/>
                                </w:rPr>
                                <w:t>投料搅拌</w:t>
                              </w:r>
                            </w:p>
                          </w:txbxContent>
                        </v:textbox>
                      </v:shape>
                      <v:shape id="直接箭头连接符 39" o:spid="_x0000_s1026" o:spt="32" type="#_x0000_t32" style="position:absolute;left:2934970;top:459740;height:17780;width:610870;" filled="f" stroked="t" coordsize="21600,21600" o:gfxdata="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RT9wZ2AAAAAUB&#10;AAAPAAAAAAAAAAEAIAAAACIAAABkcnMvZG93bnJldi54bWxQSwECFAAUAAAACACHTuJAOLc/fxsC&#10;AAAGBAAADgAAAAAAAAABACAAAAAnAQAAZHJzL2Uyb0RvYy54bWxQSwUGAAAAAAYABgBZAQAAtAUA&#10;AAAA&#10;">
                        <v:fill on="f" focussize="0,0"/>
                        <v:stroke color="#00B0F0" joinstyle="round" dashstyle="dash" endarrow="open"/>
                        <v:imagedata o:title=""/>
                        <o:lock v:ext="edit" aspectratio="f"/>
                      </v:shape>
                      <v:shape id="文本框 43" o:spid="_x0000_s1026" o:spt="202" type="#_x0000_t202" style="position:absolute;left:3545840;top:351790;height:251460;width:455930;" fillcolor="#FFFFFF" filled="t" stroked="f" coordsize="21600,21600" o:gfxdata="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4XYuTWAAAABQEAAA8AAAAAAAAAAQAgAAAAIgAAAGRycy9kb3ducmV2LnhtbFBLAQIU&#10;ABQAAAAIAIdO4kAC3F+3ZwIAALkEAAAOAAAAAAAAAAEAIAAAACUBAABkcnMvZTJvRG9jLnhtbFBL&#10;BQYAAAAABgAGAFkBAAD+BQAAAAA=&#10;">
                        <v:fill on="t" focussize="0,0"/>
                        <v:stroke on="f" weight="0.5pt"/>
                        <v:imagedata o:title=""/>
                        <o:lock v:ext="edit" aspectratio="f"/>
                        <v:textbox inset="1mm,1mm,1mm,1mm">
                          <w:txbxContent>
                            <w:p w14:paraId="0016AEA1">
                              <w:r>
                                <w:rPr>
                                  <w:rFonts w:hint="eastAsia"/>
                                </w:rPr>
                                <w:t>VOCs</w:t>
                              </w:r>
                            </w:p>
                          </w:txbxContent>
                        </v:textbox>
                      </v:shape>
                      <v:shape id="文本框 84" o:spid="_x0000_s1026" o:spt="202" type="#_x0000_t202" style="position:absolute;left:248920;top:21590;height:251460;width:558165;" fillcolor="#FFFFFF" filled="t" stroked="f" coordsize="21600,21600" o:gfxdata="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RRKQbVAAAABQEAAA8AAAAAAAAAAQAgAAAAIgAAAGRycy9kb3ducmV2LnhtbFBLAQIUABQA&#10;AAAIAIdO4kBAUvv0ZQIAALcEAAAOAAAAAAAAAAEAIAAAACQBAABkcnMvZTJvRG9jLnhtbFBLBQYA&#10;AAAABgAGAFkBAAD7BQAAAAA=&#10;">
                        <v:fill on="t" focussize="0,0"/>
                        <v:stroke on="f" weight="0.5pt"/>
                        <v:imagedata o:title=""/>
                        <o:lock v:ext="edit" aspectratio="f"/>
                        <v:textbox inset="1mm,1mm,1mm,1mm" style="mso-fit-shape-to-text:t;">
                          <w:txbxContent>
                            <w:p w14:paraId="5FA15220">
                              <w:r>
                                <w:rPr>
                                  <w:rFonts w:hint="eastAsia"/>
                                </w:rPr>
                                <w:t>原辅料</w:t>
                              </w:r>
                            </w:p>
                          </w:txbxContent>
                        </v:textbox>
                      </v:shape>
                      <v:shape id="文本框 84" o:spid="_x0000_s1026" o:spt="202" type="#_x0000_t202" style="position:absolute;left:1388110;top:20320;height:251460;width:388620;" fillcolor="#FFFFFF" filled="t" stroked="f" coordsize="21600,21600" o:gfxdata="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RRKQbVAAAABQEAAA8AAAAAAAAAAQAgAAAAIgAAAGRycy9kb3ducmV2LnhtbFBLAQIUABQAAAAI&#10;AIdO4kDgod0eYgIAALgEAAAOAAAAAAAAAAEAIAAAACQBAABkcnMvZTJvRG9jLnhtbFBLBQYAAAAA&#10;BgAGAFkBAAD4BQAAAAA=&#10;">
                        <v:fill on="t" focussize="0,0"/>
                        <v:stroke on="f" weight="0.5pt"/>
                        <v:imagedata o:title=""/>
                        <o:lock v:ext="edit" aspectratio="f"/>
                        <v:textbox inset="1mm,1mm,1mm,1mm" style="mso-fit-shape-to-text:t;">
                          <w:txbxContent>
                            <w:p w14:paraId="1CF4E33D">
                              <w:r>
                                <w:rPr>
                                  <w:rFonts w:hint="eastAsia"/>
                                </w:rPr>
                                <w:t>工序</w:t>
                              </w:r>
                            </w:p>
                          </w:txbxContent>
                        </v:textbox>
                      </v:shape>
                      <v:shape id="文本框 84" o:spid="_x0000_s1026" o:spt="202" type="#_x0000_t202" style="position:absolute;left:2480945;top:39370;height:251460;width:388620;" fillcolor="#FFFFFF" filled="t" stroked="f" coordsize="21600,21600" o:gfxdata="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RRKQbVAAAABQEAAA8AAAAAAAAAAQAgAAAAIgAAAGRycy9kb3ducmV2LnhtbFBLAQIU&#10;ABQAAAAIAIdO4kDSbC6xaAIAALgEAAAOAAAAAAAAAAEAIAAAACQBAABkcnMvZTJvRG9jLnhtbFBL&#10;BQYAAAAABgAGAFkBAAD+BQAAAAA=&#10;">
                        <v:fill on="t" focussize="0,0"/>
                        <v:stroke on="f" weight="0.5pt"/>
                        <v:imagedata o:title=""/>
                        <o:lock v:ext="edit" aspectratio="f"/>
                        <v:textbox inset="1mm,1mm,1mm,1mm" style="mso-fit-shape-to-text:t;">
                          <w:txbxContent>
                            <w:p w14:paraId="3FED7357">
                              <w:r>
                                <w:rPr>
                                  <w:rFonts w:hint="eastAsia"/>
                                </w:rPr>
                                <w:t>设备</w:t>
                              </w:r>
                            </w:p>
                          </w:txbxContent>
                        </v:textbox>
                      </v:shape>
                      <v:shape id="文本框 84" o:spid="_x0000_s1026" o:spt="202" type="#_x0000_t202" style="position:absolute;left:3528695;top:30480;height:251460;width:483870;" fillcolor="#FFFFFF" filled="t" stroked="f" coordsize="21600,21600" o:gfxdata="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hFEpBtUAAAAFAQAADwAAAAAAAAABACAAAAAiAAAAZHJzL2Rvd25yZXYueG1sUEsBAhQA&#10;FAAAAAgAh07iQJ7fRQVnAgAAuAQAAA4AAAAAAAAAAQAgAAAAJAEAAGRycy9lMm9Eb2MueG1sUEsF&#10;BgAAAAAGAAYAWQEAAP0FAAAAAA==&#10;">
                        <v:fill on="t" focussize="0,0"/>
                        <v:stroke on="f" weight="0.5pt"/>
                        <v:imagedata o:title=""/>
                        <o:lock v:ext="edit" aspectratio="f"/>
                        <v:textbox inset="1mm,1mm,1mm,1mm" style="mso-fit-shape-to-text:t;">
                          <w:txbxContent>
                            <w:p w14:paraId="4187BE3A">
                              <w:r>
                                <w:rPr>
                                  <w:rFonts w:hint="eastAsia"/>
                                </w:rPr>
                                <w:t>污染物</w:t>
                              </w:r>
                            </w:p>
                          </w:txbxContent>
                        </v:textbox>
                      </v:shape>
                      <v:shape id="直接箭头连接符 27" o:spid="_x0000_s1026" o:spt="32" type="#_x0000_t32" style="position:absolute;left:868045;top:459740;height:0;width:418465;" filled="f" stroked="t" coordsize="21600,21600" o:gfxdata="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mfLIdUAAAAFAQAADwAAAAAAAAABACAAAAAi&#10;AAAAZHJzL2Rvd25yZXYueG1sUEsBAhQAFAAAAAgAh07iQCn5Z3ENAgAA4wMAAA4AAAAAAAAAAQAg&#10;AAAAJAEAAGRycy9lMm9Eb2MueG1sUEsFBgAAAAAGAAYAWQEAAKMFAAAAAA==&#10;">
                        <v:fill on="f" focussize="0,0"/>
                        <v:stroke weight="1pt" color="#000000 [3213]" joinstyle="round" dashstyle="3 1" endarrow="open"/>
                        <v:imagedata o:title=""/>
                        <o:lock v:ext="edit" aspectratio="f"/>
                      </v:shape>
                      <v:shape id="文本框 51" o:spid="_x0000_s1026" o:spt="202" type="#_x0000_t202" style="position:absolute;left:154305;top:334010;height:251460;width:713740;" fillcolor="#FFFFFF" filled="t" stroked="f" coordsize="21600,21600" o:gfxdata="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hFEpBtUAAAAFAQAADwAAAAAAAAABACAAAAAiAAAAZHJzL2Rvd25yZXYueG1sUEsBAhQA&#10;FAAAAAgAh07iQKOAAPJnAgAAuAQAAA4AAAAAAAAAAQAgAAAAJAEAAGRycy9lMm9Eb2MueG1sUEsF&#10;BgAAAAAGAAYAWQEAAP0FAAAAAA==&#10;">
                        <v:fill on="t" focussize="0,0"/>
                        <v:stroke on="f" weight="0.5pt"/>
                        <v:imagedata o:title=""/>
                        <o:lock v:ext="edit" aspectratio="f"/>
                        <v:textbox inset="1mm,1mm,1mm,1mm" style="mso-fit-shape-to-text:t;">
                          <w:txbxContent>
                            <w:p w14:paraId="40CB7C94">
                              <w:r>
                                <w:rPr>
                                  <w:rFonts w:hint="eastAsia"/>
                                </w:rPr>
                                <w:t>原药、煤油</w:t>
                              </w:r>
                            </w:p>
                          </w:txbxContent>
                        </v:textbox>
                      </v:shape>
                      <v:shape id="文本框 62" o:spid="_x0000_s1026" o:spt="202" type="#_x0000_t202" style="position:absolute;left:1303655;top:864235;height:265430;width:612140;" fillcolor="#FFFFFF" filled="t" stroked="t" coordsize="21600,21600" o:gfxdata="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jOIF3NMAAAAFAQAADwAAAAAAAAABACAAAAAiAAAAZHJzL2Rvd25yZXYu&#10;eG1sUEsBAhQAFAAAAAgAh07iQLskfnVyAgAA4QQAAA4AAAAAAAAAAQAgAAAAIgEAAGRycy9lMm9E&#10;b2MueG1sUEsFBgAAAAAGAAYAWQEAAAYGAAAAAA==&#10;">
                        <v:fill on="t" focussize="0,0"/>
                        <v:stroke weight="0.5pt" color="#000000" joinstyle="round"/>
                        <v:imagedata o:title=""/>
                        <o:lock v:ext="edit" aspectratio="f"/>
                        <v:textbox inset="1mm,1mm,1mm,1mm">
                          <w:txbxContent>
                            <w:p w14:paraId="3E6C9B6F">
                              <w:pPr>
                                <w:jc w:val="center"/>
                              </w:pPr>
                              <w:r>
                                <w:rPr>
                                  <w:rFonts w:hint="eastAsia"/>
                                </w:rPr>
                                <w:t>装瓶</w:t>
                              </w:r>
                            </w:p>
                          </w:txbxContent>
                        </v:textbox>
                      </v:shape>
                      <v:shape id="文本框 83" o:spid="_x0000_s1026" o:spt="202" type="#_x0000_t202" style="position:absolute;left:2265045;top:323215;height:273050;width:669925;" fillcolor="#FFFFFF" filled="t" stroked="t" coordsize="21600,21600" o:gfxdata="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ziBdzTAAAABQEAAA8AAAAAAAAAAQAgAAAAIgAAAGRycy9k&#10;b3ducmV2LnhtbFBLAQIUABQAAAAIAIdO4kAbC36vQAIAAJ4EAAAOAAAAAAAAAAEAIAAAACIBAABk&#10;cnMvZTJvRG9jLnhtbFBLBQYAAAAABgAGAFkBAADUBQAAAAA=&#10;">
                        <v:fill on="t" focussize="0,0"/>
                        <v:stroke weight="0.5pt" color="#000000" joinstyle="round"/>
                        <v:imagedata o:title=""/>
                        <o:lock v:ext="edit" aspectratio="f"/>
                        <v:textbox inset="1mm,1mm,1mm,1mm">
                          <w:txbxContent>
                            <w:p w14:paraId="5AA367A1">
                              <w:pPr>
                                <w:jc w:val="center"/>
                              </w:pPr>
                              <w:r>
                                <w:rPr>
                                  <w:rFonts w:hint="eastAsia"/>
                                </w:rPr>
                                <w:t>搅拌机</w:t>
                              </w:r>
                            </w:p>
                          </w:txbxContent>
                        </v:textbox>
                      </v:shape>
                      <v:shape id="直接箭头连接符 27" o:spid="_x0000_s1026" o:spt="32" type="#_x0000_t32" style="position:absolute;left:1933575;top:459740;height:0;width:331470;" filled="f" stroked="t" coordsize="21600,21600" o:gfxdata="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mfLIdUAAAAFAQAADwAAAAAAAAABACAAAAAi&#10;AAAAZHJzL2Rvd25yZXYueG1sUEsBAhQAFAAAAAgAh07iQNmW6GENAgAA5AMAAA4AAAAAAAAAAQAg&#10;AAAAJAEAAGRycy9lMm9Eb2MueG1sUEsFBgAAAAAGAAYAWQEAAKMFAAAAAA==&#10;">
                        <v:fill on="f" focussize="0,0"/>
                        <v:stroke weight="1pt" color="#000000 [3213]" joinstyle="round" dashstyle="3 1" endarrow="open"/>
                        <v:imagedata o:title=""/>
                        <o:lock v:ext="edit" aspectratio="f"/>
                      </v:shape>
                      <v:shape id="文本框 83" o:spid="_x0000_s1026" o:spt="202" type="#_x0000_t202" style="position:absolute;left:2284730;top:863600;height:411480;width:669925;v-text-anchor:middle;" fillcolor="#FFFFFF" filled="t" stroked="t" coordsize="21600,21600" o:gfxdata="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qeY7+0wAAAAUBAAAPAAAAAAAAAAEA&#10;IAAAACIAAABkcnMvZG93bnJldi54bWxQSwECFAAUAAAACACHTuJA2oT++k0CAAC5BAAADgAAAAAA&#10;AAABACAAAAAiAQAAZHJzL2Uyb0RvYy54bWxQSwUGAAAAAAYABgBZAQAA4QUAAAAA&#10;">
                        <v:fill on="t" focussize="0,0"/>
                        <v:stroke weight="0.5pt" color="#000000" joinstyle="round"/>
                        <v:imagedata o:title=""/>
                        <o:lock v:ext="edit" aspectratio="f"/>
                        <v:textbox inset="1mm,1mm,1mm,1mm">
                          <w:txbxContent>
                            <w:p w14:paraId="0CF5DDC0">
                              <w:pPr>
                                <w:jc w:val="center"/>
                              </w:pPr>
                              <w:r>
                                <w:rPr>
                                  <w:rFonts w:hint="eastAsia"/>
                                </w:rPr>
                                <w:t>全自动灌装机</w:t>
                              </w:r>
                            </w:p>
                          </w:txbxContent>
                        </v:textbox>
                      </v:shape>
                      <v:shape id="直接箭头连接符 161" o:spid="_x0000_s1026" o:spt="32" type="#_x0000_t32" style="position:absolute;left:1609725;top:1616710;height:232410;width:635;" filled="f" stroked="t" coordsize="21600,21600" o:gfxdata="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xiM6TVAAAABQEAAA8AAAAA&#10;AAAAAQAgAAAAIgAAAGRycy9kb3ducmV2LnhtbFBLAQIUABQAAAAIAIdO4kCSkA+bFwIAAAcEAAAO&#10;AAAAAAAAAAEAIAAAACQBAABkcnMvZTJvRG9jLnhtbFBLBQYAAAAABgAGAFkBAACtBQAAAAA=&#10;">
                        <v:fill on="f" focussize="0,0"/>
                        <v:stroke color="#000000" joinstyle="round" endarrow="open"/>
                        <v:imagedata o:title=""/>
                        <o:lock v:ext="edit" aspectratio="f"/>
                      </v:shape>
                      <v:shape id="文本框 62" o:spid="_x0000_s1026" o:spt="202" type="#_x0000_t202" style="position:absolute;left:1268095;top:1849120;height:273050;width:683895;" fillcolor="#FFFFFF" filled="t" stroked="t" coordsize="21600,21600" o:gfxdata="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IziBdzTAAAABQEAAA8AAAAAAAAAAQAgAAAAIgAAAGRycy9kb3ducmV2Lnht&#10;bFBLAQIUABQAAAAIAIdO4kBF/zuGcAIAAOIEAAAOAAAAAAAAAAEAIAAAACIBAABkcnMvZTJvRG9j&#10;LnhtbFBLBQYAAAAABgAGAFkBAAAEBgAAAAA=&#10;">
                        <v:fill on="t" focussize="0,0"/>
                        <v:stroke weight="0.5pt" color="#000000" joinstyle="round"/>
                        <v:imagedata o:title=""/>
                        <o:lock v:ext="edit" aspectratio="f"/>
                        <v:textbox inset="1mm,1mm,1mm,1mm">
                          <w:txbxContent>
                            <w:p w14:paraId="4C38ADA1">
                              <w:pPr>
                                <w:jc w:val="center"/>
                              </w:pPr>
                              <w:r>
                                <w:rPr>
                                  <w:rFonts w:hint="eastAsia"/>
                                </w:rPr>
                                <w:t>加瓶盖</w:t>
                              </w:r>
                            </w:p>
                          </w:txbxContent>
                        </v:textbox>
                      </v:shape>
                      <v:shape id="文本框 51" o:spid="_x0000_s1026" o:spt="202" type="#_x0000_t202" style="position:absolute;left:4490085;top:575945;height:960755;width:638175;" fillcolor="#FFFFFF" filled="t" stroked="f" coordsize="21600,21600" o:gfxdata="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Xhdi5NYAAAAFAQAADwAAAAAAAAABACAAAAAiAAAAZHJzL2Rvd25yZXYueG1sUEsB&#10;AhQAFAAAAAgAh07iQABR5OFpAgAAuQQAAA4AAAAAAAAAAQAgAAAAJQEAAGRycy9lMm9Eb2MueG1s&#10;UEsFBgAAAAAGAAYAWQEAAAAGAAAAAA==&#10;">
                        <v:fill on="t" focussize="0,0"/>
                        <v:stroke on="f" weight="0.5pt"/>
                        <v:imagedata o:title=""/>
                        <o:lock v:ext="edit" aspectratio="f"/>
                        <v:textbox inset="1mm,1mm,1mm,1mm">
                          <w:txbxContent>
                            <w:p w14:paraId="1056D750">
                              <w:r>
                                <w:rPr>
                                  <w:rFonts w:hint="eastAsia"/>
                                </w:rPr>
                                <w:t>二级活性炭+</w:t>
                              </w:r>
                              <w:r>
                                <w:rPr>
                                  <w:rFonts w:hint="eastAsia"/>
                                  <w:szCs w:val="21"/>
                                </w:rPr>
                                <w:t>楼顶（22.5m）</w:t>
                              </w:r>
                              <w:r>
                                <w:rPr>
                                  <w:rFonts w:hint="eastAsia"/>
                                </w:rPr>
                                <w:t>排气筒（DA001）</w:t>
                              </w:r>
                            </w:p>
                          </w:txbxContent>
                        </v:textbox>
                      </v:shape>
                      <v:shape id="文本框 84" o:spid="_x0000_s1026" o:spt="202" type="#_x0000_t202" style="position:absolute;left:4643755;top:19050;height:424815;width:483870;" fillcolor="#FFFFFF" filled="t" stroked="f" coordsize="21600,21600" o:gfxdata="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hFEpBtUAAAAFAQAADwAAAAAAAAABACAAAAAiAAAAZHJzL2Rvd25yZXYueG1sUEsBAhQAFAAA&#10;AAgAh07iQFl3pKJkAgAAuAQAAA4AAAAAAAAAAQAgAAAAJAEAAGRycy9lMm9Eb2MueG1sUEsFBgAA&#10;AAAGAAYAWQEAAPoFAAAAAA==&#10;">
                        <v:fill on="t" focussize="0,0"/>
                        <v:stroke on="f" weight="0.5pt"/>
                        <v:imagedata o:title=""/>
                        <o:lock v:ext="edit" aspectratio="f"/>
                        <v:textbox inset="1mm,1mm,1mm,1mm" style="mso-fit-shape-to-text:t;">
                          <w:txbxContent>
                            <w:p w14:paraId="298995DF">
                              <w:r>
                                <w:rPr>
                                  <w:rFonts w:hint="eastAsia"/>
                                </w:rPr>
                                <w:t>污染防治措施</w:t>
                              </w:r>
                            </w:p>
                          </w:txbxContent>
                        </v:textbox>
                      </v:shape>
                      <v:shape id="文本框 51" o:spid="_x0000_s1026" o:spt="202" type="#_x0000_t202" style="position:absolute;left:432435;top:1373505;height:251460;width:365760;" fillcolor="#FFFFFF" filled="t" stroked="f" coordsize="21600,21600" o:gfxdata="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RRKQbVAAAABQEAAA8AAAAAAAAAAQAgAAAAIgAAAGRycy9kb3ducmV2LnhtbFBLAQIUABQA&#10;AAAIAIdO4kAt5hjrZQIAALkEAAAOAAAAAAAAAAEAIAAAACQBAABkcnMvZTJvRG9jLnhtbFBLBQYA&#10;AAAABgAGAFkBAAD7BQAAAAA=&#10;">
                        <v:fill on="t" focussize="0,0"/>
                        <v:stroke on="f" weight="0.5pt"/>
                        <v:imagedata o:title=""/>
                        <o:lock v:ext="edit" aspectratio="f"/>
                        <v:textbox inset="1mm,1mm,1mm,1mm" style="mso-fit-shape-to-text:t;">
                          <w:txbxContent>
                            <w:p w14:paraId="1FA6E3A4">
                              <w:pPr>
                                <w:rPr>
                                  <w:rFonts w:hint="default" w:eastAsia="宋体"/>
                                  <w:lang w:val="en-US" w:eastAsia="zh-CN"/>
                                </w:rPr>
                              </w:pPr>
                              <w:r>
                                <w:rPr>
                                  <w:rFonts w:hint="eastAsia"/>
                                  <w:lang w:val="en-US" w:eastAsia="zh-CN"/>
                                </w:rPr>
                                <w:t>芯棒</w:t>
                              </w:r>
                            </w:p>
                          </w:txbxContent>
                        </v:textbox>
                      </v:shape>
                      <v:shape id="直接箭头连接符 27" o:spid="_x0000_s1026" o:spt="32" type="#_x0000_t32" style="position:absolute;left:824865;top:1490980;height:0;width:457200;" filled="f" stroked="t" coordsize="21600,21600" o:gfxdata="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Z8sh1QAAAAUBAAAPAAAAAAAAAAEAIAAAACIA&#10;AABkcnMvZG93bnJldi54bWxQSwECFAAUAAAACACHTuJAPyCpZgwCAADkAwAADgAAAAAAAAABACAA&#10;AAAkAQAAZHJzL2Uyb0RvYy54bWxQSwUGAAAAAAYABgBZAQAAogUAAAAA&#10;">
                        <v:fill on="f" focussize="0,0"/>
                        <v:stroke weight="1pt" color="#000000 [3213]" joinstyle="round" dashstyle="3 1" endarrow="open"/>
                        <v:imagedata o:title=""/>
                        <o:lock v:ext="edit" aspectratio="f"/>
                      </v:shape>
                      <v:shape id="直接箭头连接符 27" o:spid="_x0000_s1026" o:spt="32" type="#_x0000_t32" style="position:absolute;left:1932940;top:1007745;height:0;width:342900;" filled="f" stroked="t" coordsize="21600,21600" o:gfxdata="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Z8sh1QAAAAUBAAAPAAAAAAAAAAEAIAAAACIA&#10;AABkcnMvZG93bnJldi54bWxQSwECFAAUAAAACACHTuJAGQEgJQwCAADlAwAADgAAAAAAAAABACAA&#10;AAAkAQAAZHJzL2Uyb0RvYy54bWxQSwUGAAAAAAYABgBZAQAAogUAAAAA&#10;">
                        <v:fill on="f" focussize="0,0"/>
                        <v:stroke weight="1pt" color="#000000 [3213]" joinstyle="round" dashstyle="3 1" endarrow="open"/>
                        <v:imagedata o:title=""/>
                        <o:lock v:ext="edit" aspectratio="f"/>
                      </v:shape>
                      <v:shape id="直接箭头连接符 27" o:spid="_x0000_s1026" o:spt="32" type="#_x0000_t32" style="position:absolute;left:1941830;top:1510030;height:0;width:342900;" filled="f" stroked="t" coordsize="21600,21600" o:gfxdata="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JnyyHVAAAABQEAAA8AAAAAAAAAAQAgAAAAIgAA&#10;AGRycy9kb3ducmV2LnhtbFBLAQIUABQAAAAIAIdO4kBpqRG9CwIAAOUDAAAOAAAAAAAAAAEAIAAA&#10;ACQBAABkcnMvZTJvRG9jLnhtbFBLBQYAAAAABgAGAFkBAAChBQAAAAA=&#10;">
                        <v:fill on="f" focussize="0,0"/>
                        <v:stroke weight="1pt" color="#000000 [3213]" joinstyle="round" dashstyle="3 1" endarrow="open"/>
                        <v:imagedata o:title=""/>
                        <o:lock v:ext="edit" aspectratio="f"/>
                      </v:shape>
                      <v:shape id="直接箭头连接符 27" o:spid="_x0000_s1026" o:spt="32" type="#_x0000_t32" style="position:absolute;left:1976755;top:2444750;height:0;width:342900;" filled="f" stroked="t" coordsize="21600,21600" o:gfxdata="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JnyyHVAAAABQEAAA8AAAAAAAAAAQAgAAAA&#10;IgAAAGRycy9kb3ducmV2LnhtbFBLAQIUABQAAAAIAIdO4kBYezSWDgIAAOUDAAAOAAAAAAAAAAEA&#10;IAAAACQBAABkcnMvZTJvRG9jLnhtbFBLBQYAAAAABgAGAFkBAACkBQAAAAA=&#10;">
                        <v:fill on="f" focussize="0,0"/>
                        <v:stroke weight="1pt" color="#000000 [3213]" joinstyle="round" dashstyle="3 1" endarrow="open"/>
                        <v:imagedata o:title=""/>
                        <o:lock v:ext="edit" aspectratio="f"/>
                      </v:shape>
                      <v:shape id="文本框 43" o:spid="_x0000_s1026" o:spt="202" type="#_x0000_t202" style="position:absolute;left:3649980;top:1420495;height:251460;width:455930;" fillcolor="#FFFFFF" filled="t" stroked="f" coordsize="21600,21600" o:gfxdata="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F4XYuTWAAAABQEAAA8AAAAAAAAAAQAgAAAAIgAAAGRycy9kb3ducmV2LnhtbFBL&#10;AQIUABQAAAAIAIdO4kCLkO71agIAALoEAAAOAAAAAAAAAAEAIAAAACUBAABkcnMvZTJvRG9jLnht&#10;bFBLBQYAAAAABgAGAFkBAAABBgAAAAA=&#10;">
                        <v:fill on="t" focussize="0,0"/>
                        <v:stroke on="f" weight="0.5pt"/>
                        <v:imagedata o:title=""/>
                        <o:lock v:ext="edit" aspectratio="f"/>
                        <v:textbox inset="1mm,1mm,1mm,1mm">
                          <w:txbxContent>
                            <w:p w14:paraId="44FA6A47">
                              <w:r>
                                <w:rPr>
                                  <w:rFonts w:hint="eastAsia"/>
                                </w:rPr>
                                <w:t>VOCs</w:t>
                              </w:r>
                            </w:p>
                          </w:txbxContent>
                        </v:textbox>
                      </v:shape>
                      <v:shape id="文本框 83" o:spid="_x0000_s1026" o:spt="202" type="#_x0000_t202" style="position:absolute;left:2292985;top:1348740;height:411480;width:669925;v-text-anchor:middle;" fillcolor="#FFFFFF" filled="t" stroked="t" coordsize="21600,21600" o:gfxdata="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p5jv7TAAAABQEAAA8AAAAAAAAA&#10;AQAgAAAAIgAAAGRycy9kb3ducmV2LnhtbFBLAQIUABQAAAAIAIdO4kBQ1MjnTwIAALoEAAAOAAAA&#10;AAAAAAEAIAAAACIBAABkcnMvZTJvRG9jLnhtbFBLBQYAAAAABgAGAFkBAADjBQAAAAA=&#10;">
                        <v:fill on="t" focussize="0,0"/>
                        <v:stroke weight="0.5pt" color="#000000" joinstyle="round"/>
                        <v:imagedata o:title=""/>
                        <o:lock v:ext="edit" aspectratio="f"/>
                        <v:textbox inset="1mm,1mm,1mm,1mm">
                          <w:txbxContent>
                            <w:p w14:paraId="42B70BE9">
                              <w:pPr>
                                <w:jc w:val="center"/>
                              </w:pPr>
                              <w:r>
                                <w:rPr>
                                  <w:rFonts w:hint="eastAsia"/>
                                  <w:szCs w:val="21"/>
                                </w:rPr>
                                <w:t>自动插芯棒机</w:t>
                              </w:r>
                            </w:p>
                          </w:txbxContent>
                        </v:textbox>
                      </v:shape>
                      <v:shape id="文本框 83" o:spid="_x0000_s1026" o:spt="202" type="#_x0000_t202" style="position:absolute;left:2316480;top:2340610;height:273050;width:782320;" fillcolor="#FFFFFF" filled="t" stroked="t" coordsize="21600,21600" o:gfxdata="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M4gXc0wAAAAUBAAAPAAAAAAAAAAEAIAAAACIAAABkcnMvZG93&#10;bnJldi54bWxQSwECFAAUAAAACACHTuJAQp2/pT4CAACfBAAADgAAAAAAAAABACAAAAAiAQAAZHJz&#10;L2Uyb0RvYy54bWxQSwUGAAAAAAYABgBZAQAA0gUAAAAA&#10;">
                        <v:fill on="t" focussize="0,0"/>
                        <v:stroke weight="0.5pt" color="#000000" joinstyle="round"/>
                        <v:imagedata o:title=""/>
                        <o:lock v:ext="edit" aspectratio="f"/>
                        <v:textbox inset="1mm,1mm,1mm,1mm">
                          <w:txbxContent>
                            <w:p w14:paraId="7705F5E1">
                              <w:pPr>
                                <w:jc w:val="center"/>
                              </w:pPr>
                              <w:r>
                                <w:rPr>
                                  <w:rFonts w:hint="eastAsia"/>
                                </w:rPr>
                                <w:t>自动封口机</w:t>
                              </w:r>
                            </w:p>
                          </w:txbxContent>
                        </v:textbox>
                      </v:shape>
                      <v:shape id="直接箭头连接符 39" o:spid="_x0000_s1026" o:spt="32" type="#_x0000_t32" style="position:absolute;left:2954655;top:1061720;flip:y;height:7620;width:608330;" filled="f" stroked="t" coordsize="21600,21600" o:gfxdata="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vVncedYAAAAFAQAADwAAAAAAAAABACAAAAAiAAAAZHJz&#10;L2Rvd25yZXYueG1sUEsBAhQAFAAAAAgAh07iQEKE/gQ/AgAAVAQAAA4AAAAAAAAAAQAgAAAAJQEA&#10;AGRycy9lMm9Eb2MueG1sUEsFBgAAAAAGAAYAWQEAANYFAAAAAA==&#10;">
                        <v:fill on="f" focussize="0,0"/>
                        <v:stroke color="#00B0F0" joinstyle="round" dashstyle="dash" endarrow="open"/>
                        <v:imagedata o:title=""/>
                        <o:lock v:ext="edit" aspectratio="f"/>
                      </v:shape>
                      <v:shape id="文本框 43" o:spid="_x0000_s1026" o:spt="202" type="#_x0000_t202" style="position:absolute;left:3562985;top:935990;height:251460;width:455930;" fillcolor="#FFFFFF" filled="t" stroked="f" coordsize="21600,21600" o:gfxdata="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F4XYuTWAAAABQEAAA8AAAAAAAAAAQAgAAAAIgAAAGRycy9kb3ducmV2LnhtbFBL&#10;AQIUABQAAAAIAIdO4kDjGXCJagIAALkEAAAOAAAAAAAAAAEAIAAAACUBAABkcnMvZTJvRG9jLnht&#10;bFBLBQYAAAAABgAGAFkBAAABBgAAAAA=&#10;">
                        <v:fill on="t" focussize="0,0"/>
                        <v:stroke on="f" weight="0.5pt"/>
                        <v:imagedata o:title=""/>
                        <o:lock v:ext="edit" aspectratio="f"/>
                        <v:textbox inset="1mm,1mm,1mm,1mm">
                          <w:txbxContent>
                            <w:p w14:paraId="455ACF76">
                              <w:r>
                                <w:rPr>
                                  <w:rFonts w:hint="eastAsia"/>
                                </w:rPr>
                                <w:t>VOCs</w:t>
                              </w:r>
                            </w:p>
                          </w:txbxContent>
                        </v:textbox>
                      </v:shape>
                      <v:shape id="肘形连接符 252" o:spid="_x0000_s1026" o:spt="34" type="#_x0000_t34" style="position:absolute;left:4018915;top:1056640;flip:y;height:5080;width:471170;" filled="f" stroked="t" coordsize="21600,21600" o:gfxdata="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fFZW81gAAAAUBAAAPAAAAAAAA&#10;AAEAIAAAACIAAABkcnMvZG93bnJldi54bWxQSwECFAAUAAAACACHTuJA380rlU0CAABgBAAADgAA&#10;AAAAAAABACAAAAAlAQAAZHJzL2Uyb0RvYy54bWxQSwUGAAAAAAYABgBZAQAA5AUAAAAA&#10;" adj="10800">
                        <v:fill on="f" focussize="0,0"/>
                        <v:stroke weight="1pt" color="#00B0F0 [3204]" miterlimit="8" joinstyle="miter" dashstyle="dash" endarrow="open"/>
                        <v:imagedata o:title=""/>
                        <o:lock v:ext="edit" aspectratio="f"/>
                      </v:shape>
                      <w10:wrap type="none"/>
                      <w10:anchorlock/>
                    </v:group>
                  </w:pict>
                </mc:Fallback>
              </mc:AlternateContent>
            </w:r>
          </w:p>
          <w:p w14:paraId="32AA0849">
            <w:pPr>
              <w:pStyle w:val="16"/>
              <w:autoSpaceDE w:val="0"/>
              <w:autoSpaceDN w:val="0"/>
              <w:adjustRightInd w:val="0"/>
              <w:snapToGrid w:val="0"/>
              <w:spacing w:line="360" w:lineRule="auto"/>
              <w:jc w:val="center"/>
              <w:rPr>
                <w:rFonts w:ascii="Times New Roman" w:hAnsi="Times New Roman"/>
                <w:color w:val="auto"/>
                <w:sz w:val="24"/>
                <w:szCs w:val="24"/>
              </w:rPr>
            </w:pPr>
            <w:r>
              <w:rPr>
                <w:rFonts w:ascii="Times New Roman" w:hAnsi="Times New Roman" w:eastAsia="宋体"/>
                <w:b/>
                <w:bCs/>
                <w:color w:val="auto"/>
                <w:sz w:val="24"/>
                <w:szCs w:val="24"/>
              </w:rPr>
              <w:t>图</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图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3</w:t>
            </w:r>
            <w:r>
              <w:rPr>
                <w:rFonts w:ascii="Times New Roman" w:hAnsi="Times New Roman" w:eastAsia="宋体"/>
                <w:b/>
                <w:bCs/>
                <w:color w:val="auto"/>
                <w:sz w:val="24"/>
                <w:szCs w:val="24"/>
              </w:rPr>
              <w:fldChar w:fldCharType="end"/>
            </w:r>
            <w:r>
              <w:rPr>
                <w:rFonts w:ascii="Times New Roman" w:hAnsi="Times New Roman" w:eastAsia="宋体"/>
                <w:b/>
                <w:bCs/>
                <w:color w:val="auto"/>
                <w:sz w:val="24"/>
                <w:szCs w:val="24"/>
              </w:rPr>
              <w:t xml:space="preserve"> 电热蚊香液产品生产工艺流程图</w:t>
            </w:r>
          </w:p>
          <w:p w14:paraId="27C47FE4">
            <w:pPr>
              <w:adjustRightInd w:val="0"/>
              <w:snapToGrid w:val="0"/>
              <w:spacing w:line="360" w:lineRule="auto"/>
              <w:ind w:firstLine="482" w:firstLineChars="200"/>
              <w:rPr>
                <w:b/>
                <w:bCs/>
                <w:color w:val="auto"/>
                <w:sz w:val="24"/>
                <w:szCs w:val="24"/>
              </w:rPr>
            </w:pPr>
            <w:r>
              <w:rPr>
                <w:b/>
                <w:bCs/>
                <w:color w:val="auto"/>
                <w:sz w:val="24"/>
                <w:szCs w:val="24"/>
              </w:rPr>
              <w:t>电热蚊香液产品工艺描述：</w:t>
            </w:r>
          </w:p>
          <w:p w14:paraId="1939A608">
            <w:pPr>
              <w:adjustRightInd w:val="0"/>
              <w:snapToGrid w:val="0"/>
              <w:spacing w:line="360" w:lineRule="auto"/>
              <w:ind w:firstLine="480" w:firstLineChars="200"/>
              <w:rPr>
                <w:color w:val="auto"/>
                <w:sz w:val="24"/>
                <w:szCs w:val="24"/>
              </w:rPr>
            </w:pPr>
            <w:r>
              <w:rPr>
                <w:color w:val="auto"/>
                <w:sz w:val="24"/>
                <w:szCs w:val="24"/>
              </w:rPr>
              <w:t>配制药液：按一定比例往药液搅拌机内加入煤油、原药，使用药液搅拌机进行搅拌混合，本项目搅拌工序工作时搅拌机为密闭密封状态，搅拌完成后通过下口管道输送至密闭中转桶中进行中转，且项目原药、煤油等物料根据上文理化性质介绍可知沸点较高，挥发性较低，所以搅拌工序挥发产生的有机废气主要产生于搅拌前的投料操作。</w:t>
            </w:r>
          </w:p>
          <w:p w14:paraId="7A0EAE43">
            <w:pPr>
              <w:adjustRightInd w:val="0"/>
              <w:snapToGrid w:val="0"/>
              <w:spacing w:line="360" w:lineRule="auto"/>
              <w:ind w:firstLine="480" w:firstLineChars="200"/>
              <w:rPr>
                <w:color w:val="auto"/>
                <w:sz w:val="24"/>
                <w:szCs w:val="24"/>
              </w:rPr>
            </w:pPr>
            <w:r>
              <w:rPr>
                <w:color w:val="auto"/>
                <w:sz w:val="24"/>
                <w:szCs w:val="24"/>
              </w:rPr>
              <w:t>混合好的原药采用全自动灌装机进行灌装，灌装好原药后采用自动插芯棒机进行进行芯棒套装，灌装工序及插芯棒工序会产生有机废气，后人工用旋盖器将产品密封，最后将产品包装成箱入库。</w:t>
            </w:r>
          </w:p>
          <w:p w14:paraId="1C56250E">
            <w:pPr>
              <w:pStyle w:val="16"/>
              <w:autoSpaceDE w:val="0"/>
              <w:autoSpaceDN w:val="0"/>
              <w:adjustRightInd w:val="0"/>
              <w:snapToGrid w:val="0"/>
              <w:spacing w:line="360" w:lineRule="auto"/>
              <w:jc w:val="center"/>
              <w:rPr>
                <w:rFonts w:ascii="Times New Roman" w:hAnsi="Times New Roman" w:eastAsia="宋体"/>
                <w:b/>
                <w:bCs/>
                <w:color w:val="auto"/>
                <w:kern w:val="0"/>
                <w:sz w:val="24"/>
                <w:szCs w:val="24"/>
              </w:rPr>
            </w:pPr>
            <w:r>
              <w:rPr>
                <w:rFonts w:ascii="Times New Roman" w:hAnsi="Times New Roman" w:eastAsia="宋体"/>
                <w:b/>
                <w:bCs/>
                <w:color w:val="auto"/>
                <w:kern w:val="0"/>
                <w:sz w:val="24"/>
                <w:szCs w:val="24"/>
              </w:rPr>
              <w:t>表</w:t>
            </w:r>
            <w:r>
              <w:rPr>
                <w:rFonts w:ascii="Times New Roman" w:hAnsi="Times New Roman" w:eastAsia="宋体"/>
                <w:b/>
                <w:bCs/>
                <w:color w:val="auto"/>
                <w:kern w:val="0"/>
                <w:sz w:val="24"/>
                <w:szCs w:val="24"/>
              </w:rPr>
              <w:fldChar w:fldCharType="begin"/>
            </w:r>
            <w:r>
              <w:rPr>
                <w:rFonts w:ascii="Times New Roman" w:hAnsi="Times New Roman" w:eastAsia="宋体"/>
                <w:b/>
                <w:bCs/>
                <w:color w:val="auto"/>
                <w:kern w:val="0"/>
                <w:sz w:val="24"/>
                <w:szCs w:val="24"/>
              </w:rPr>
              <w:instrText xml:space="preserve"> SEQ 表 \* ARABIC </w:instrText>
            </w:r>
            <w:r>
              <w:rPr>
                <w:rFonts w:ascii="Times New Roman" w:hAnsi="Times New Roman" w:eastAsia="宋体"/>
                <w:b/>
                <w:bCs/>
                <w:color w:val="auto"/>
                <w:kern w:val="0"/>
                <w:sz w:val="24"/>
                <w:szCs w:val="24"/>
              </w:rPr>
              <w:fldChar w:fldCharType="separate"/>
            </w:r>
            <w:r>
              <w:rPr>
                <w:rFonts w:ascii="Times New Roman" w:hAnsi="Times New Roman" w:eastAsia="宋体"/>
                <w:b/>
                <w:bCs/>
                <w:color w:val="auto"/>
                <w:kern w:val="0"/>
                <w:sz w:val="24"/>
                <w:szCs w:val="24"/>
              </w:rPr>
              <w:t>15</w:t>
            </w:r>
            <w:r>
              <w:rPr>
                <w:rFonts w:ascii="Times New Roman" w:hAnsi="Times New Roman" w:eastAsia="宋体"/>
                <w:b/>
                <w:bCs/>
                <w:color w:val="auto"/>
                <w:kern w:val="0"/>
                <w:sz w:val="24"/>
                <w:szCs w:val="24"/>
              </w:rPr>
              <w:fldChar w:fldCharType="end"/>
            </w:r>
            <w:r>
              <w:rPr>
                <w:rFonts w:ascii="Times New Roman" w:hAnsi="Times New Roman" w:eastAsia="宋体"/>
                <w:b/>
                <w:bCs/>
                <w:color w:val="auto"/>
                <w:kern w:val="0"/>
                <w:sz w:val="24"/>
                <w:szCs w:val="24"/>
              </w:rPr>
              <w:t xml:space="preserve">  项目主要产污工序一览表</w:t>
            </w:r>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
              <w:gridCol w:w="988"/>
              <w:gridCol w:w="2124"/>
              <w:gridCol w:w="1755"/>
              <w:gridCol w:w="2607"/>
            </w:tblGrid>
            <w:tr w14:paraId="6796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360" w:type="pct"/>
                  <w:vAlign w:val="center"/>
                </w:tcPr>
                <w:p w14:paraId="2FD843EF">
                  <w:pPr>
                    <w:adjustRightInd w:val="0"/>
                    <w:snapToGrid w:val="0"/>
                    <w:jc w:val="center"/>
                    <w:rPr>
                      <w:b/>
                      <w:color w:val="auto"/>
                      <w:szCs w:val="21"/>
                    </w:rPr>
                  </w:pPr>
                  <w:r>
                    <w:rPr>
                      <w:b/>
                      <w:color w:val="auto"/>
                      <w:szCs w:val="21"/>
                    </w:rPr>
                    <w:t>序号</w:t>
                  </w:r>
                </w:p>
              </w:tc>
              <w:tc>
                <w:tcPr>
                  <w:tcW w:w="613" w:type="pct"/>
                  <w:vAlign w:val="center"/>
                </w:tcPr>
                <w:p w14:paraId="16B2E3FF">
                  <w:pPr>
                    <w:adjustRightInd w:val="0"/>
                    <w:snapToGrid w:val="0"/>
                    <w:jc w:val="center"/>
                    <w:rPr>
                      <w:b/>
                      <w:color w:val="auto"/>
                      <w:szCs w:val="21"/>
                    </w:rPr>
                  </w:pPr>
                  <w:r>
                    <w:rPr>
                      <w:b/>
                      <w:color w:val="auto"/>
                      <w:szCs w:val="21"/>
                    </w:rPr>
                    <w:t>污染类别</w:t>
                  </w:r>
                </w:p>
              </w:tc>
              <w:tc>
                <w:tcPr>
                  <w:tcW w:w="1318" w:type="pct"/>
                  <w:vAlign w:val="center"/>
                </w:tcPr>
                <w:p w14:paraId="67E15BA4">
                  <w:pPr>
                    <w:adjustRightInd w:val="0"/>
                    <w:snapToGrid w:val="0"/>
                    <w:jc w:val="center"/>
                    <w:rPr>
                      <w:b/>
                      <w:color w:val="auto"/>
                      <w:szCs w:val="21"/>
                    </w:rPr>
                  </w:pPr>
                  <w:r>
                    <w:rPr>
                      <w:b/>
                      <w:color w:val="auto"/>
                      <w:szCs w:val="21"/>
                    </w:rPr>
                    <w:t>污染源名称</w:t>
                  </w:r>
                </w:p>
              </w:tc>
              <w:tc>
                <w:tcPr>
                  <w:tcW w:w="1089" w:type="pct"/>
                  <w:vAlign w:val="center"/>
                </w:tcPr>
                <w:p w14:paraId="4B8590A6">
                  <w:pPr>
                    <w:adjustRightInd w:val="0"/>
                    <w:snapToGrid w:val="0"/>
                    <w:jc w:val="center"/>
                    <w:rPr>
                      <w:b/>
                      <w:color w:val="auto"/>
                      <w:szCs w:val="21"/>
                    </w:rPr>
                  </w:pPr>
                  <w:r>
                    <w:rPr>
                      <w:b/>
                      <w:color w:val="auto"/>
                      <w:szCs w:val="21"/>
                    </w:rPr>
                    <w:t>产生工艺</w:t>
                  </w:r>
                </w:p>
              </w:tc>
              <w:tc>
                <w:tcPr>
                  <w:tcW w:w="1618" w:type="pct"/>
                  <w:vAlign w:val="center"/>
                </w:tcPr>
                <w:p w14:paraId="5E0B03A0">
                  <w:pPr>
                    <w:adjustRightInd w:val="0"/>
                    <w:snapToGrid w:val="0"/>
                    <w:jc w:val="center"/>
                    <w:rPr>
                      <w:b/>
                      <w:color w:val="auto"/>
                      <w:szCs w:val="21"/>
                    </w:rPr>
                  </w:pPr>
                  <w:r>
                    <w:rPr>
                      <w:b/>
                      <w:color w:val="auto"/>
                      <w:szCs w:val="21"/>
                    </w:rPr>
                    <w:t>主要污染因子</w:t>
                  </w:r>
                </w:p>
              </w:tc>
            </w:tr>
            <w:tr w14:paraId="7625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360" w:type="pct"/>
                  <w:vAlign w:val="center"/>
                </w:tcPr>
                <w:p w14:paraId="23A9D870">
                  <w:pPr>
                    <w:adjustRightInd w:val="0"/>
                    <w:snapToGrid w:val="0"/>
                    <w:jc w:val="center"/>
                    <w:rPr>
                      <w:bCs/>
                      <w:color w:val="auto"/>
                      <w:szCs w:val="21"/>
                    </w:rPr>
                  </w:pPr>
                  <w:r>
                    <w:rPr>
                      <w:bCs/>
                      <w:color w:val="auto"/>
                      <w:szCs w:val="21"/>
                    </w:rPr>
                    <w:t>1</w:t>
                  </w:r>
                </w:p>
              </w:tc>
              <w:tc>
                <w:tcPr>
                  <w:tcW w:w="613" w:type="pct"/>
                  <w:vAlign w:val="center"/>
                </w:tcPr>
                <w:p w14:paraId="45E114AF">
                  <w:pPr>
                    <w:adjustRightInd w:val="0"/>
                    <w:snapToGrid w:val="0"/>
                    <w:jc w:val="center"/>
                    <w:rPr>
                      <w:bCs/>
                      <w:color w:val="auto"/>
                      <w:szCs w:val="21"/>
                    </w:rPr>
                  </w:pPr>
                  <w:r>
                    <w:rPr>
                      <w:bCs/>
                      <w:color w:val="auto"/>
                      <w:szCs w:val="21"/>
                    </w:rPr>
                    <w:t>废气</w:t>
                  </w:r>
                </w:p>
              </w:tc>
              <w:tc>
                <w:tcPr>
                  <w:tcW w:w="1318" w:type="pct"/>
                  <w:shd w:val="clear" w:color="auto" w:fill="auto"/>
                  <w:vAlign w:val="center"/>
                </w:tcPr>
                <w:p w14:paraId="66E348CD">
                  <w:pPr>
                    <w:jc w:val="center"/>
                    <w:rPr>
                      <w:bCs/>
                      <w:color w:val="auto"/>
                      <w:szCs w:val="21"/>
                    </w:rPr>
                  </w:pPr>
                  <w:r>
                    <w:rPr>
                      <w:bCs/>
                      <w:color w:val="auto"/>
                      <w:szCs w:val="21"/>
                    </w:rPr>
                    <w:t>投料搅拌、喷药、灌装、</w:t>
                  </w:r>
                  <w:r>
                    <w:rPr>
                      <w:color w:val="auto"/>
                    </w:rPr>
                    <w:t>装芯棒</w:t>
                  </w:r>
                </w:p>
              </w:tc>
              <w:tc>
                <w:tcPr>
                  <w:tcW w:w="1089" w:type="pct"/>
                  <w:shd w:val="clear" w:color="auto" w:fill="auto"/>
                  <w:vAlign w:val="center"/>
                </w:tcPr>
                <w:p w14:paraId="386CC866">
                  <w:pPr>
                    <w:adjustRightInd w:val="0"/>
                    <w:snapToGrid w:val="0"/>
                    <w:jc w:val="center"/>
                    <w:rPr>
                      <w:bCs/>
                      <w:color w:val="auto"/>
                      <w:szCs w:val="21"/>
                    </w:rPr>
                  </w:pPr>
                  <w:r>
                    <w:rPr>
                      <w:bCs/>
                      <w:color w:val="auto"/>
                      <w:szCs w:val="21"/>
                    </w:rPr>
                    <w:t>投料、搅拌、喷药、灌装</w:t>
                  </w:r>
                </w:p>
              </w:tc>
              <w:tc>
                <w:tcPr>
                  <w:tcW w:w="1618" w:type="pct"/>
                  <w:shd w:val="clear" w:color="auto" w:fill="auto"/>
                  <w:vAlign w:val="center"/>
                </w:tcPr>
                <w:p w14:paraId="4050C86C">
                  <w:pPr>
                    <w:adjustRightInd w:val="0"/>
                    <w:snapToGrid w:val="0"/>
                    <w:jc w:val="center"/>
                    <w:rPr>
                      <w:rFonts w:hint="default" w:eastAsia="宋体"/>
                      <w:bCs/>
                      <w:color w:val="auto"/>
                      <w:szCs w:val="21"/>
                      <w:lang w:val="en-US" w:eastAsia="zh-CN"/>
                    </w:rPr>
                  </w:pPr>
                  <w:r>
                    <w:rPr>
                      <w:color w:val="auto"/>
                    </w:rPr>
                    <w:t>挥发有机物（以NMHC表征）</w:t>
                  </w:r>
                  <w:r>
                    <w:rPr>
                      <w:rFonts w:hint="eastAsia"/>
                      <w:color w:val="auto"/>
                      <w:lang w:eastAsia="zh-CN"/>
                    </w:rPr>
                    <w:t>、</w:t>
                  </w:r>
                  <w:r>
                    <w:rPr>
                      <w:rFonts w:hint="eastAsia"/>
                      <w:color w:val="auto"/>
                      <w:lang w:val="en-US" w:eastAsia="zh-CN"/>
                    </w:rPr>
                    <w:t>生产异味</w:t>
                  </w:r>
                </w:p>
              </w:tc>
            </w:tr>
            <w:tr w14:paraId="01A8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360" w:type="pct"/>
                  <w:tcBorders>
                    <w:top w:val="nil"/>
                  </w:tcBorders>
                  <w:vAlign w:val="center"/>
                </w:tcPr>
                <w:p w14:paraId="1DD64549">
                  <w:pPr>
                    <w:adjustRightInd w:val="0"/>
                    <w:snapToGrid w:val="0"/>
                    <w:jc w:val="center"/>
                    <w:rPr>
                      <w:bCs/>
                      <w:color w:val="auto"/>
                      <w:szCs w:val="21"/>
                    </w:rPr>
                  </w:pPr>
                  <w:r>
                    <w:rPr>
                      <w:bCs/>
                      <w:color w:val="auto"/>
                      <w:szCs w:val="21"/>
                    </w:rPr>
                    <w:t>2</w:t>
                  </w:r>
                </w:p>
              </w:tc>
              <w:tc>
                <w:tcPr>
                  <w:tcW w:w="613" w:type="pct"/>
                  <w:tcBorders>
                    <w:top w:val="nil"/>
                  </w:tcBorders>
                  <w:vAlign w:val="center"/>
                </w:tcPr>
                <w:p w14:paraId="402CC362">
                  <w:pPr>
                    <w:adjustRightInd w:val="0"/>
                    <w:snapToGrid w:val="0"/>
                    <w:jc w:val="center"/>
                    <w:rPr>
                      <w:bCs/>
                      <w:color w:val="auto"/>
                      <w:szCs w:val="21"/>
                    </w:rPr>
                  </w:pPr>
                  <w:r>
                    <w:rPr>
                      <w:bCs/>
                      <w:color w:val="auto"/>
                      <w:szCs w:val="21"/>
                    </w:rPr>
                    <w:t>废水</w:t>
                  </w:r>
                </w:p>
              </w:tc>
              <w:tc>
                <w:tcPr>
                  <w:tcW w:w="1318" w:type="pct"/>
                  <w:tcBorders>
                    <w:top w:val="nil"/>
                  </w:tcBorders>
                  <w:vAlign w:val="center"/>
                </w:tcPr>
                <w:p w14:paraId="1050537B">
                  <w:pPr>
                    <w:adjustRightInd w:val="0"/>
                    <w:snapToGrid w:val="0"/>
                    <w:jc w:val="center"/>
                    <w:rPr>
                      <w:bCs/>
                      <w:color w:val="auto"/>
                      <w:szCs w:val="21"/>
                    </w:rPr>
                  </w:pPr>
                  <w:r>
                    <w:rPr>
                      <w:bCs/>
                      <w:color w:val="auto"/>
                      <w:szCs w:val="21"/>
                    </w:rPr>
                    <w:t>生活污水</w:t>
                  </w:r>
                </w:p>
              </w:tc>
              <w:tc>
                <w:tcPr>
                  <w:tcW w:w="1089" w:type="pct"/>
                  <w:tcBorders>
                    <w:top w:val="nil"/>
                  </w:tcBorders>
                  <w:vAlign w:val="center"/>
                </w:tcPr>
                <w:p w14:paraId="749F5718">
                  <w:pPr>
                    <w:adjustRightInd w:val="0"/>
                    <w:snapToGrid w:val="0"/>
                    <w:jc w:val="center"/>
                    <w:rPr>
                      <w:bCs/>
                      <w:color w:val="auto"/>
                      <w:szCs w:val="21"/>
                    </w:rPr>
                  </w:pPr>
                  <w:r>
                    <w:rPr>
                      <w:bCs/>
                      <w:color w:val="auto"/>
                      <w:szCs w:val="21"/>
                    </w:rPr>
                    <w:t>办公生活</w:t>
                  </w:r>
                </w:p>
              </w:tc>
              <w:tc>
                <w:tcPr>
                  <w:tcW w:w="1618" w:type="pct"/>
                  <w:tcBorders>
                    <w:top w:val="nil"/>
                  </w:tcBorders>
                  <w:vAlign w:val="center"/>
                </w:tcPr>
                <w:p w14:paraId="1FDD2384">
                  <w:pPr>
                    <w:adjustRightInd w:val="0"/>
                    <w:snapToGrid w:val="0"/>
                    <w:jc w:val="center"/>
                    <w:rPr>
                      <w:bCs/>
                      <w:color w:val="auto"/>
                      <w:szCs w:val="21"/>
                    </w:rPr>
                  </w:pPr>
                  <w:r>
                    <w:rPr>
                      <w:bCs/>
                      <w:color w:val="auto"/>
                      <w:szCs w:val="21"/>
                    </w:rPr>
                    <w:t>COD</w:t>
                  </w:r>
                  <w:r>
                    <w:rPr>
                      <w:bCs/>
                      <w:color w:val="auto"/>
                      <w:szCs w:val="21"/>
                      <w:vertAlign w:val="subscript"/>
                    </w:rPr>
                    <w:t>Cr</w:t>
                  </w:r>
                  <w:r>
                    <w:rPr>
                      <w:bCs/>
                      <w:color w:val="auto"/>
                      <w:szCs w:val="21"/>
                    </w:rPr>
                    <w:t>、BOD</w:t>
                  </w:r>
                  <w:r>
                    <w:rPr>
                      <w:bCs/>
                      <w:color w:val="auto"/>
                      <w:szCs w:val="21"/>
                      <w:vertAlign w:val="subscript"/>
                    </w:rPr>
                    <w:t>5</w:t>
                  </w:r>
                  <w:r>
                    <w:rPr>
                      <w:bCs/>
                      <w:color w:val="auto"/>
                      <w:szCs w:val="21"/>
                    </w:rPr>
                    <w:t>、氨氮、SS</w:t>
                  </w:r>
                </w:p>
              </w:tc>
            </w:tr>
            <w:tr w14:paraId="48D1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360" w:type="pct"/>
                  <w:tcBorders>
                    <w:top w:val="nil"/>
                  </w:tcBorders>
                  <w:vAlign w:val="center"/>
                </w:tcPr>
                <w:p w14:paraId="2CAEF71E">
                  <w:pPr>
                    <w:adjustRightInd w:val="0"/>
                    <w:snapToGrid w:val="0"/>
                    <w:jc w:val="center"/>
                    <w:rPr>
                      <w:bCs/>
                      <w:color w:val="auto"/>
                      <w:szCs w:val="21"/>
                    </w:rPr>
                  </w:pPr>
                  <w:r>
                    <w:rPr>
                      <w:bCs/>
                      <w:color w:val="auto"/>
                      <w:szCs w:val="21"/>
                    </w:rPr>
                    <w:t>3</w:t>
                  </w:r>
                </w:p>
              </w:tc>
              <w:tc>
                <w:tcPr>
                  <w:tcW w:w="613" w:type="pct"/>
                  <w:tcBorders>
                    <w:top w:val="nil"/>
                  </w:tcBorders>
                  <w:vAlign w:val="center"/>
                </w:tcPr>
                <w:p w14:paraId="4F4B02CE">
                  <w:pPr>
                    <w:adjustRightInd w:val="0"/>
                    <w:snapToGrid w:val="0"/>
                    <w:jc w:val="center"/>
                    <w:rPr>
                      <w:bCs/>
                      <w:color w:val="auto"/>
                      <w:szCs w:val="21"/>
                    </w:rPr>
                  </w:pPr>
                  <w:r>
                    <w:rPr>
                      <w:bCs/>
                      <w:color w:val="auto"/>
                      <w:szCs w:val="21"/>
                    </w:rPr>
                    <w:t>噪声</w:t>
                  </w:r>
                </w:p>
              </w:tc>
              <w:tc>
                <w:tcPr>
                  <w:tcW w:w="1318" w:type="pct"/>
                  <w:tcBorders>
                    <w:top w:val="nil"/>
                  </w:tcBorders>
                  <w:vAlign w:val="center"/>
                </w:tcPr>
                <w:p w14:paraId="0BB77411">
                  <w:pPr>
                    <w:adjustRightInd w:val="0"/>
                    <w:snapToGrid w:val="0"/>
                    <w:jc w:val="center"/>
                    <w:rPr>
                      <w:bCs/>
                      <w:color w:val="auto"/>
                      <w:szCs w:val="21"/>
                    </w:rPr>
                  </w:pPr>
                  <w:r>
                    <w:rPr>
                      <w:bCs/>
                      <w:color w:val="auto"/>
                      <w:szCs w:val="21"/>
                    </w:rPr>
                    <w:t>设备运行噪声</w:t>
                  </w:r>
                </w:p>
              </w:tc>
              <w:tc>
                <w:tcPr>
                  <w:tcW w:w="1089" w:type="pct"/>
                  <w:tcBorders>
                    <w:top w:val="nil"/>
                  </w:tcBorders>
                  <w:vAlign w:val="center"/>
                </w:tcPr>
                <w:p w14:paraId="17EC5618">
                  <w:pPr>
                    <w:adjustRightInd w:val="0"/>
                    <w:snapToGrid w:val="0"/>
                    <w:jc w:val="center"/>
                    <w:rPr>
                      <w:bCs/>
                      <w:color w:val="auto"/>
                      <w:szCs w:val="21"/>
                    </w:rPr>
                  </w:pPr>
                  <w:r>
                    <w:rPr>
                      <w:bCs/>
                      <w:color w:val="auto"/>
                      <w:szCs w:val="21"/>
                    </w:rPr>
                    <w:t>设备运转</w:t>
                  </w:r>
                </w:p>
              </w:tc>
              <w:tc>
                <w:tcPr>
                  <w:tcW w:w="1618" w:type="pct"/>
                  <w:tcBorders>
                    <w:top w:val="nil"/>
                  </w:tcBorders>
                  <w:vAlign w:val="center"/>
                </w:tcPr>
                <w:p w14:paraId="60AF86BF">
                  <w:pPr>
                    <w:adjustRightInd w:val="0"/>
                    <w:snapToGrid w:val="0"/>
                    <w:jc w:val="center"/>
                    <w:rPr>
                      <w:bCs/>
                      <w:color w:val="auto"/>
                      <w:szCs w:val="21"/>
                    </w:rPr>
                  </w:pPr>
                  <w:r>
                    <w:rPr>
                      <w:bCs/>
                      <w:color w:val="auto"/>
                      <w:szCs w:val="21"/>
                    </w:rPr>
                    <w:t>机械噪声</w:t>
                  </w:r>
                </w:p>
              </w:tc>
            </w:tr>
            <w:tr w14:paraId="122A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360" w:type="pct"/>
                  <w:vMerge w:val="restart"/>
                  <w:vAlign w:val="center"/>
                </w:tcPr>
                <w:p w14:paraId="1D55F12A">
                  <w:pPr>
                    <w:adjustRightInd w:val="0"/>
                    <w:snapToGrid w:val="0"/>
                    <w:jc w:val="center"/>
                    <w:rPr>
                      <w:bCs/>
                      <w:color w:val="auto"/>
                      <w:szCs w:val="21"/>
                    </w:rPr>
                  </w:pPr>
                  <w:r>
                    <w:rPr>
                      <w:bCs/>
                      <w:color w:val="auto"/>
                      <w:szCs w:val="21"/>
                    </w:rPr>
                    <w:t>4</w:t>
                  </w:r>
                </w:p>
              </w:tc>
              <w:tc>
                <w:tcPr>
                  <w:tcW w:w="613" w:type="pct"/>
                  <w:vMerge w:val="restart"/>
                  <w:vAlign w:val="center"/>
                </w:tcPr>
                <w:p w14:paraId="05119541">
                  <w:pPr>
                    <w:adjustRightInd w:val="0"/>
                    <w:snapToGrid w:val="0"/>
                    <w:jc w:val="center"/>
                    <w:rPr>
                      <w:bCs/>
                      <w:color w:val="auto"/>
                      <w:szCs w:val="21"/>
                    </w:rPr>
                  </w:pPr>
                  <w:r>
                    <w:rPr>
                      <w:bCs/>
                      <w:color w:val="auto"/>
                      <w:szCs w:val="21"/>
                    </w:rPr>
                    <w:t>一般固废</w:t>
                  </w:r>
                </w:p>
              </w:tc>
              <w:tc>
                <w:tcPr>
                  <w:tcW w:w="1318" w:type="pct"/>
                  <w:vAlign w:val="center"/>
                </w:tcPr>
                <w:p w14:paraId="0E978C8C">
                  <w:pPr>
                    <w:adjustRightInd w:val="0"/>
                    <w:snapToGrid w:val="0"/>
                    <w:jc w:val="center"/>
                    <w:rPr>
                      <w:bCs/>
                      <w:color w:val="auto"/>
                      <w:szCs w:val="21"/>
                    </w:rPr>
                  </w:pPr>
                  <w:r>
                    <w:rPr>
                      <w:bCs/>
                      <w:color w:val="auto"/>
                      <w:szCs w:val="21"/>
                    </w:rPr>
                    <w:t>生活垃圾</w:t>
                  </w:r>
                </w:p>
              </w:tc>
              <w:tc>
                <w:tcPr>
                  <w:tcW w:w="1089" w:type="pct"/>
                  <w:vAlign w:val="center"/>
                </w:tcPr>
                <w:p w14:paraId="66F79798">
                  <w:pPr>
                    <w:adjustRightInd w:val="0"/>
                    <w:snapToGrid w:val="0"/>
                    <w:jc w:val="center"/>
                    <w:rPr>
                      <w:bCs/>
                      <w:color w:val="auto"/>
                      <w:szCs w:val="21"/>
                    </w:rPr>
                  </w:pPr>
                  <w:r>
                    <w:rPr>
                      <w:bCs/>
                      <w:color w:val="auto"/>
                      <w:szCs w:val="21"/>
                    </w:rPr>
                    <w:t>办公生活</w:t>
                  </w:r>
                </w:p>
              </w:tc>
              <w:tc>
                <w:tcPr>
                  <w:tcW w:w="1618" w:type="pct"/>
                  <w:vAlign w:val="center"/>
                </w:tcPr>
                <w:p w14:paraId="437FA006">
                  <w:pPr>
                    <w:adjustRightInd w:val="0"/>
                    <w:snapToGrid w:val="0"/>
                    <w:jc w:val="center"/>
                    <w:rPr>
                      <w:bCs/>
                      <w:color w:val="auto"/>
                      <w:szCs w:val="21"/>
                    </w:rPr>
                  </w:pPr>
                  <w:r>
                    <w:rPr>
                      <w:bCs/>
                      <w:color w:val="auto"/>
                      <w:szCs w:val="21"/>
                    </w:rPr>
                    <w:t>生活垃圾</w:t>
                  </w:r>
                </w:p>
              </w:tc>
            </w:tr>
            <w:tr w14:paraId="6692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360" w:type="pct"/>
                  <w:vMerge w:val="continue"/>
                  <w:vAlign w:val="center"/>
                </w:tcPr>
                <w:p w14:paraId="11BB932C">
                  <w:pPr>
                    <w:jc w:val="center"/>
                    <w:rPr>
                      <w:color w:val="auto"/>
                    </w:rPr>
                  </w:pPr>
                </w:p>
              </w:tc>
              <w:tc>
                <w:tcPr>
                  <w:tcW w:w="613" w:type="pct"/>
                  <w:vMerge w:val="continue"/>
                  <w:vAlign w:val="center"/>
                </w:tcPr>
                <w:p w14:paraId="6409C138">
                  <w:pPr>
                    <w:jc w:val="center"/>
                    <w:rPr>
                      <w:color w:val="auto"/>
                    </w:rPr>
                  </w:pPr>
                </w:p>
              </w:tc>
              <w:tc>
                <w:tcPr>
                  <w:tcW w:w="1318" w:type="pct"/>
                  <w:vAlign w:val="center"/>
                </w:tcPr>
                <w:p w14:paraId="6546710F">
                  <w:pPr>
                    <w:jc w:val="center"/>
                    <w:rPr>
                      <w:bCs/>
                      <w:color w:val="auto"/>
                      <w:szCs w:val="21"/>
                    </w:rPr>
                  </w:pPr>
                  <w:r>
                    <w:rPr>
                      <w:bCs/>
                      <w:color w:val="auto"/>
                      <w:szCs w:val="21"/>
                    </w:rPr>
                    <w:t>一般废包装材料</w:t>
                  </w:r>
                </w:p>
              </w:tc>
              <w:tc>
                <w:tcPr>
                  <w:tcW w:w="1089" w:type="pct"/>
                  <w:vAlign w:val="center"/>
                </w:tcPr>
                <w:p w14:paraId="5A6C45FB">
                  <w:pPr>
                    <w:jc w:val="center"/>
                    <w:rPr>
                      <w:bCs/>
                      <w:color w:val="auto"/>
                      <w:szCs w:val="21"/>
                    </w:rPr>
                  </w:pPr>
                  <w:r>
                    <w:rPr>
                      <w:bCs/>
                      <w:color w:val="auto"/>
                      <w:szCs w:val="21"/>
                    </w:rPr>
                    <w:t>包装</w:t>
                  </w:r>
                </w:p>
              </w:tc>
              <w:tc>
                <w:tcPr>
                  <w:tcW w:w="1618" w:type="pct"/>
                  <w:vAlign w:val="center"/>
                </w:tcPr>
                <w:p w14:paraId="06C59FDB">
                  <w:pPr>
                    <w:jc w:val="center"/>
                    <w:rPr>
                      <w:bCs/>
                      <w:color w:val="auto"/>
                      <w:szCs w:val="21"/>
                    </w:rPr>
                  </w:pPr>
                  <w:r>
                    <w:rPr>
                      <w:bCs/>
                      <w:color w:val="auto"/>
                      <w:szCs w:val="21"/>
                    </w:rPr>
                    <w:t>塑料</w:t>
                  </w:r>
                </w:p>
              </w:tc>
            </w:tr>
            <w:tr w14:paraId="1396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360" w:type="pct"/>
                  <w:vMerge w:val="restart"/>
                  <w:vAlign w:val="center"/>
                </w:tcPr>
                <w:p w14:paraId="124A50D2">
                  <w:pPr>
                    <w:adjustRightInd w:val="0"/>
                    <w:snapToGrid w:val="0"/>
                    <w:jc w:val="center"/>
                    <w:rPr>
                      <w:bCs/>
                      <w:color w:val="auto"/>
                      <w:szCs w:val="21"/>
                    </w:rPr>
                  </w:pPr>
                  <w:r>
                    <w:rPr>
                      <w:bCs/>
                      <w:color w:val="auto"/>
                      <w:szCs w:val="21"/>
                    </w:rPr>
                    <w:t>5</w:t>
                  </w:r>
                </w:p>
              </w:tc>
              <w:tc>
                <w:tcPr>
                  <w:tcW w:w="613" w:type="pct"/>
                  <w:vMerge w:val="restart"/>
                  <w:vAlign w:val="center"/>
                </w:tcPr>
                <w:p w14:paraId="480B3432">
                  <w:pPr>
                    <w:adjustRightInd w:val="0"/>
                    <w:snapToGrid w:val="0"/>
                    <w:jc w:val="center"/>
                    <w:rPr>
                      <w:bCs/>
                      <w:color w:val="auto"/>
                      <w:szCs w:val="21"/>
                    </w:rPr>
                  </w:pPr>
                  <w:r>
                    <w:rPr>
                      <w:bCs/>
                      <w:color w:val="auto"/>
                      <w:szCs w:val="21"/>
                    </w:rPr>
                    <w:t>危险废物</w:t>
                  </w:r>
                </w:p>
              </w:tc>
              <w:tc>
                <w:tcPr>
                  <w:tcW w:w="1318" w:type="pct"/>
                  <w:vAlign w:val="center"/>
                </w:tcPr>
                <w:p w14:paraId="70DE4CEF">
                  <w:pPr>
                    <w:jc w:val="center"/>
                    <w:rPr>
                      <w:bCs/>
                      <w:color w:val="auto"/>
                      <w:szCs w:val="21"/>
                    </w:rPr>
                  </w:pPr>
                  <w:r>
                    <w:rPr>
                      <w:bCs/>
                      <w:color w:val="auto"/>
                      <w:szCs w:val="21"/>
                    </w:rPr>
                    <w:t>废原料包装材料</w:t>
                  </w:r>
                </w:p>
              </w:tc>
              <w:tc>
                <w:tcPr>
                  <w:tcW w:w="1089" w:type="pct"/>
                  <w:vAlign w:val="center"/>
                </w:tcPr>
                <w:p w14:paraId="1B3A66CF">
                  <w:pPr>
                    <w:adjustRightInd w:val="0"/>
                    <w:snapToGrid w:val="0"/>
                    <w:jc w:val="center"/>
                    <w:rPr>
                      <w:bCs/>
                      <w:color w:val="auto"/>
                      <w:szCs w:val="21"/>
                    </w:rPr>
                  </w:pPr>
                  <w:r>
                    <w:rPr>
                      <w:bCs/>
                      <w:color w:val="auto"/>
                      <w:szCs w:val="21"/>
                    </w:rPr>
                    <w:t>生产过程</w:t>
                  </w:r>
                </w:p>
              </w:tc>
              <w:tc>
                <w:tcPr>
                  <w:tcW w:w="1618" w:type="pct"/>
                  <w:vAlign w:val="center"/>
                </w:tcPr>
                <w:p w14:paraId="2A86E1F3">
                  <w:pPr>
                    <w:jc w:val="center"/>
                    <w:rPr>
                      <w:bCs/>
                      <w:color w:val="auto"/>
                      <w:szCs w:val="21"/>
                    </w:rPr>
                  </w:pPr>
                  <w:r>
                    <w:rPr>
                      <w:bCs/>
                      <w:color w:val="auto"/>
                      <w:szCs w:val="21"/>
                    </w:rPr>
                    <w:t>有机污染物</w:t>
                  </w:r>
                </w:p>
              </w:tc>
            </w:tr>
            <w:tr w14:paraId="378A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60" w:type="pct"/>
                  <w:vMerge w:val="continue"/>
                  <w:vAlign w:val="center"/>
                </w:tcPr>
                <w:p w14:paraId="2285D3E9">
                  <w:pPr>
                    <w:adjustRightInd w:val="0"/>
                    <w:snapToGrid w:val="0"/>
                    <w:jc w:val="center"/>
                    <w:rPr>
                      <w:bCs/>
                      <w:color w:val="auto"/>
                      <w:szCs w:val="21"/>
                    </w:rPr>
                  </w:pPr>
                </w:p>
              </w:tc>
              <w:tc>
                <w:tcPr>
                  <w:tcW w:w="613" w:type="pct"/>
                  <w:vMerge w:val="continue"/>
                  <w:vAlign w:val="center"/>
                </w:tcPr>
                <w:p w14:paraId="031F4ECA">
                  <w:pPr>
                    <w:adjustRightInd w:val="0"/>
                    <w:snapToGrid w:val="0"/>
                    <w:jc w:val="center"/>
                    <w:rPr>
                      <w:bCs/>
                      <w:color w:val="auto"/>
                      <w:szCs w:val="21"/>
                    </w:rPr>
                  </w:pPr>
                </w:p>
              </w:tc>
              <w:tc>
                <w:tcPr>
                  <w:tcW w:w="1318" w:type="pct"/>
                  <w:vAlign w:val="center"/>
                </w:tcPr>
                <w:p w14:paraId="631E5740">
                  <w:pPr>
                    <w:jc w:val="center"/>
                    <w:rPr>
                      <w:bCs/>
                      <w:color w:val="auto"/>
                      <w:szCs w:val="21"/>
                    </w:rPr>
                  </w:pPr>
                  <w:r>
                    <w:rPr>
                      <w:bCs/>
                      <w:color w:val="auto"/>
                      <w:szCs w:val="21"/>
                    </w:rPr>
                    <w:t>废活性炭</w:t>
                  </w:r>
                </w:p>
              </w:tc>
              <w:tc>
                <w:tcPr>
                  <w:tcW w:w="1089" w:type="pct"/>
                  <w:vAlign w:val="center"/>
                </w:tcPr>
                <w:p w14:paraId="1E06111D">
                  <w:pPr>
                    <w:adjustRightInd w:val="0"/>
                    <w:snapToGrid w:val="0"/>
                    <w:jc w:val="center"/>
                    <w:rPr>
                      <w:bCs/>
                      <w:color w:val="auto"/>
                      <w:szCs w:val="21"/>
                    </w:rPr>
                  </w:pPr>
                  <w:r>
                    <w:rPr>
                      <w:bCs/>
                      <w:color w:val="auto"/>
                      <w:szCs w:val="21"/>
                    </w:rPr>
                    <w:t>废气处理</w:t>
                  </w:r>
                </w:p>
              </w:tc>
              <w:tc>
                <w:tcPr>
                  <w:tcW w:w="1618" w:type="pct"/>
                  <w:vAlign w:val="center"/>
                </w:tcPr>
                <w:p w14:paraId="69CB4E5D">
                  <w:pPr>
                    <w:jc w:val="center"/>
                    <w:rPr>
                      <w:bCs/>
                      <w:color w:val="auto"/>
                      <w:szCs w:val="21"/>
                    </w:rPr>
                  </w:pPr>
                  <w:r>
                    <w:rPr>
                      <w:bCs/>
                      <w:color w:val="auto"/>
                      <w:szCs w:val="21"/>
                    </w:rPr>
                    <w:t>废活性炭</w:t>
                  </w:r>
                </w:p>
              </w:tc>
            </w:tr>
          </w:tbl>
          <w:p w14:paraId="4C1C6A11">
            <w:pPr>
              <w:pStyle w:val="89"/>
              <w:spacing w:before="0" w:beforeLines="0"/>
              <w:ind w:firstLine="0" w:firstLineChars="0"/>
              <w:rPr>
                <w:rFonts w:cs="Times New Roman"/>
                <w:bCs/>
                <w:color w:val="auto"/>
                <w:szCs w:val="21"/>
              </w:rPr>
            </w:pPr>
          </w:p>
        </w:tc>
      </w:tr>
      <w:tr w14:paraId="4B274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2" w:hRule="atLeast"/>
          <w:jc w:val="center"/>
        </w:trPr>
        <w:tc>
          <w:tcPr>
            <w:tcW w:w="239" w:type="pct"/>
            <w:vAlign w:val="center"/>
          </w:tcPr>
          <w:p w14:paraId="0E1DD350">
            <w:pPr>
              <w:pStyle w:val="89"/>
              <w:adjustRightInd w:val="0"/>
              <w:snapToGrid w:val="0"/>
              <w:spacing w:before="0" w:beforeLines="0" w:line="240" w:lineRule="auto"/>
              <w:ind w:firstLine="0" w:firstLineChars="0"/>
              <w:rPr>
                <w:rFonts w:cs="Times New Roman"/>
                <w:color w:val="auto"/>
              </w:rPr>
            </w:pPr>
            <w:r>
              <w:rPr>
                <w:rFonts w:cs="Times New Roman"/>
                <w:color w:val="auto"/>
              </w:rPr>
              <w:t>与项目有关的原有环境污染问题</w:t>
            </w:r>
          </w:p>
        </w:tc>
        <w:tc>
          <w:tcPr>
            <w:tcW w:w="4760" w:type="pct"/>
          </w:tcPr>
          <w:p w14:paraId="29406D1F">
            <w:pPr>
              <w:pStyle w:val="89"/>
              <w:adjustRightInd w:val="0"/>
              <w:snapToGrid w:val="0"/>
              <w:spacing w:before="0" w:beforeLines="0"/>
              <w:ind w:firstLine="0" w:firstLineChars="0"/>
              <w:rPr>
                <w:rFonts w:cs="Times New Roman"/>
                <w:b/>
                <w:color w:val="auto"/>
                <w:sz w:val="24"/>
                <w:szCs w:val="24"/>
              </w:rPr>
            </w:pPr>
            <w:r>
              <w:rPr>
                <w:rFonts w:cs="Times New Roman"/>
                <w:b/>
                <w:color w:val="auto"/>
                <w:sz w:val="24"/>
                <w:szCs w:val="24"/>
              </w:rPr>
              <w:t>与该项目有关的原有污染情况及主要环境问题：</w:t>
            </w:r>
          </w:p>
          <w:p w14:paraId="27A6F590">
            <w:pPr>
              <w:pStyle w:val="89"/>
              <w:snapToGrid w:val="0"/>
              <w:spacing w:before="0" w:beforeLines="0"/>
              <w:ind w:firstLine="420"/>
              <w:rPr>
                <w:rFonts w:cs="Times New Roman"/>
                <w:bCs/>
                <w:color w:val="auto"/>
                <w:szCs w:val="21"/>
              </w:rPr>
            </w:pPr>
            <w:r>
              <w:rPr>
                <w:rFonts w:cs="Times New Roman"/>
                <w:bCs/>
                <w:color w:val="auto"/>
                <w:sz w:val="24"/>
                <w:szCs w:val="24"/>
              </w:rPr>
              <w:t>本项目为新建项目，不存在与项目有关的原有污染问题。据现场调查，主要环境问题为周边企业的废水、废气和噪声等及附近道路的交通噪声和汽车尾气会对周围环境产生一定的负面影响。因此必须加强环境保护工作以减轻对周围环境的影响。</w:t>
            </w:r>
          </w:p>
        </w:tc>
      </w:tr>
    </w:tbl>
    <w:p w14:paraId="3D6AFBB1">
      <w:pPr>
        <w:pStyle w:val="33"/>
        <w:adjustRightInd w:val="0"/>
        <w:snapToGrid w:val="0"/>
        <w:jc w:val="center"/>
        <w:rPr>
          <w:rFonts w:ascii="Times New Roman" w:hAnsi="Times New Roman" w:eastAsia="黑体" w:cs="Times New Roman"/>
          <w:snapToGrid w:val="0"/>
          <w:color w:val="auto"/>
          <w:sz w:val="36"/>
          <w:szCs w:val="36"/>
        </w:rPr>
        <w:sectPr>
          <w:pgSz w:w="11906" w:h="16838"/>
          <w:pgMar w:top="1417" w:right="1587" w:bottom="1417" w:left="1587" w:header="1191" w:footer="1191" w:gutter="0"/>
          <w:cols w:space="720" w:num="1"/>
          <w:docGrid w:linePitch="312" w:charSpace="0"/>
        </w:sectPr>
      </w:pPr>
    </w:p>
    <w:p w14:paraId="4C4696A2">
      <w:pPr>
        <w:pStyle w:val="33"/>
        <w:adjustRightInd w:val="0"/>
        <w:snapToGrid w:val="0"/>
        <w:spacing w:before="0" w:beforeAutospacing="0" w:after="0" w:afterAutospacing="0" w:line="14" w:lineRule="auto"/>
        <w:jc w:val="center"/>
        <w:rPr>
          <w:rFonts w:ascii="Times New Roman" w:hAnsi="Times New Roman" w:eastAsia="黑体" w:cs="Times New Roman"/>
          <w:snapToGrid w:val="0"/>
          <w:color w:val="auto"/>
          <w:sz w:val="30"/>
          <w:szCs w:val="30"/>
        </w:rPr>
      </w:pPr>
    </w:p>
    <w:p w14:paraId="4B0D9CD1">
      <w:pPr>
        <w:pStyle w:val="33"/>
        <w:adjustRightInd w:val="0"/>
        <w:snapToGrid w:val="0"/>
        <w:jc w:val="center"/>
        <w:outlineLvl w:val="0"/>
        <w:rPr>
          <w:rFonts w:ascii="Times New Roman" w:hAnsi="Times New Roman" w:eastAsia="黑体" w:cs="Times New Roman"/>
          <w:snapToGrid w:val="0"/>
          <w:color w:val="auto"/>
          <w:sz w:val="30"/>
          <w:szCs w:val="30"/>
        </w:rPr>
      </w:pPr>
      <w:bookmarkStart w:id="13" w:name="_Toc21644"/>
      <w:bookmarkStart w:id="14" w:name="_Toc17146_WPSOffice_Level1"/>
      <w:bookmarkStart w:id="15" w:name="_Toc24522_WPSOffice_Level1"/>
      <w:bookmarkStart w:id="16" w:name="_Toc7168_WPSOffice_Level1"/>
      <w:bookmarkStart w:id="17" w:name="_Toc11017"/>
      <w:bookmarkStart w:id="18" w:name="_Toc30287"/>
      <w:bookmarkStart w:id="19" w:name="_Toc31568_WPSOffice_Level1"/>
      <w:r>
        <w:rPr>
          <w:rFonts w:ascii="Times New Roman" w:hAnsi="Times New Roman" w:eastAsia="黑体" w:cs="Times New Roman"/>
          <w:snapToGrid w:val="0"/>
          <w:color w:val="auto"/>
          <w:sz w:val="30"/>
          <w:szCs w:val="30"/>
        </w:rPr>
        <w:t>三、区域环境质量现状、环境保护目标及评价标准</w:t>
      </w:r>
      <w:bookmarkEnd w:id="13"/>
      <w:bookmarkEnd w:id="14"/>
      <w:bookmarkEnd w:id="15"/>
      <w:bookmarkEnd w:id="16"/>
      <w:bookmarkEnd w:id="17"/>
      <w:bookmarkEnd w:id="18"/>
      <w:bookmarkEnd w:id="19"/>
    </w:p>
    <w:tbl>
      <w:tblPr>
        <w:tblStyle w:val="37"/>
        <w:tblW w:w="90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69"/>
        <w:gridCol w:w="8631"/>
      </w:tblGrid>
      <w:tr w14:paraId="53D3BC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369" w:type="dxa"/>
            <w:vAlign w:val="center"/>
          </w:tcPr>
          <w:p w14:paraId="6445E134">
            <w:pPr>
              <w:adjustRightInd w:val="0"/>
              <w:snapToGrid w:val="0"/>
              <w:jc w:val="center"/>
              <w:rPr>
                <w:color w:val="auto"/>
                <w:kern w:val="0"/>
                <w:szCs w:val="21"/>
              </w:rPr>
            </w:pPr>
            <w:r>
              <w:rPr>
                <w:color w:val="auto"/>
                <w:kern w:val="0"/>
                <w:szCs w:val="21"/>
              </w:rPr>
              <w:t>区域</w:t>
            </w:r>
          </w:p>
          <w:p w14:paraId="67DD7B94">
            <w:pPr>
              <w:adjustRightInd w:val="0"/>
              <w:snapToGrid w:val="0"/>
              <w:jc w:val="center"/>
              <w:rPr>
                <w:color w:val="auto"/>
                <w:kern w:val="0"/>
                <w:szCs w:val="21"/>
              </w:rPr>
            </w:pPr>
            <w:r>
              <w:rPr>
                <w:color w:val="auto"/>
                <w:kern w:val="0"/>
                <w:szCs w:val="21"/>
              </w:rPr>
              <w:t>环境</w:t>
            </w:r>
          </w:p>
          <w:p w14:paraId="36DAC7FD">
            <w:pPr>
              <w:adjustRightInd w:val="0"/>
              <w:snapToGrid w:val="0"/>
              <w:jc w:val="center"/>
              <w:rPr>
                <w:color w:val="auto"/>
                <w:kern w:val="0"/>
                <w:szCs w:val="21"/>
              </w:rPr>
            </w:pPr>
            <w:r>
              <w:rPr>
                <w:color w:val="auto"/>
                <w:kern w:val="0"/>
                <w:szCs w:val="21"/>
              </w:rPr>
              <w:t>质量</w:t>
            </w:r>
          </w:p>
          <w:p w14:paraId="02370BFB">
            <w:pPr>
              <w:adjustRightInd w:val="0"/>
              <w:snapToGrid w:val="0"/>
              <w:jc w:val="center"/>
              <w:rPr>
                <w:color w:val="auto"/>
                <w:kern w:val="0"/>
                <w:szCs w:val="21"/>
              </w:rPr>
            </w:pPr>
            <w:r>
              <w:rPr>
                <w:color w:val="auto"/>
                <w:kern w:val="0"/>
                <w:szCs w:val="21"/>
              </w:rPr>
              <w:t>现状</w:t>
            </w:r>
          </w:p>
        </w:tc>
        <w:tc>
          <w:tcPr>
            <w:tcW w:w="8631" w:type="dxa"/>
          </w:tcPr>
          <w:p w14:paraId="14D35236">
            <w:pPr>
              <w:pStyle w:val="89"/>
              <w:adjustRightInd w:val="0"/>
              <w:snapToGrid w:val="0"/>
              <w:spacing w:before="0" w:beforeLines="0"/>
              <w:ind w:firstLine="0" w:firstLineChars="0"/>
              <w:rPr>
                <w:rFonts w:cs="Times New Roman"/>
                <w:b/>
                <w:color w:val="auto"/>
                <w:sz w:val="24"/>
                <w:szCs w:val="24"/>
              </w:rPr>
            </w:pPr>
            <w:r>
              <w:rPr>
                <w:rFonts w:cs="Times New Roman"/>
                <w:b/>
                <w:color w:val="auto"/>
                <w:sz w:val="24"/>
                <w:szCs w:val="24"/>
              </w:rPr>
              <w:t>一、大气环境质量现状</w:t>
            </w:r>
          </w:p>
          <w:p w14:paraId="0A0593AD">
            <w:pPr>
              <w:adjustRightInd w:val="0"/>
              <w:snapToGrid w:val="0"/>
              <w:spacing w:line="360" w:lineRule="auto"/>
              <w:jc w:val="left"/>
              <w:rPr>
                <w:b/>
                <w:color w:val="auto"/>
                <w:kern w:val="0"/>
                <w:sz w:val="24"/>
                <w:szCs w:val="24"/>
              </w:rPr>
            </w:pPr>
            <w:r>
              <w:rPr>
                <w:b/>
                <w:color w:val="auto"/>
                <w:kern w:val="0"/>
                <w:sz w:val="24"/>
                <w:szCs w:val="24"/>
              </w:rPr>
              <w:t>1、空气质量达标区判定</w:t>
            </w:r>
          </w:p>
          <w:p w14:paraId="12FF04DB">
            <w:pPr>
              <w:adjustRightInd w:val="0"/>
              <w:snapToGrid w:val="0"/>
              <w:spacing w:line="360" w:lineRule="auto"/>
              <w:ind w:firstLine="480" w:firstLineChars="200"/>
              <w:rPr>
                <w:bCs/>
                <w:color w:val="auto"/>
                <w:sz w:val="24"/>
                <w:szCs w:val="24"/>
              </w:rPr>
            </w:pPr>
            <w:r>
              <w:rPr>
                <w:bCs/>
                <w:color w:val="auto"/>
                <w:sz w:val="24"/>
                <w:szCs w:val="24"/>
              </w:rPr>
              <w:t>根据《韶关市生态环境保护战略规划（2020-2035）》，本项目选址区域空气环境质量功能区划为二类功能区，因此，项目所在区域环境空气质量执行国家《环境空气质量标准》（GB3095-</w:t>
            </w:r>
            <w:r>
              <w:rPr>
                <w:rFonts w:hint="eastAsia"/>
                <w:bCs/>
                <w:color w:val="auto"/>
                <w:sz w:val="24"/>
                <w:szCs w:val="24"/>
                <w:lang w:val="en-US" w:eastAsia="zh-CN"/>
              </w:rPr>
              <w:t>2026</w:t>
            </w:r>
            <w:r>
              <w:rPr>
                <w:bCs/>
                <w:color w:val="auto"/>
                <w:sz w:val="24"/>
                <w:szCs w:val="24"/>
              </w:rPr>
              <w:t>）</w:t>
            </w:r>
            <w:r>
              <w:rPr>
                <w:rFonts w:hint="eastAsia"/>
                <w:bCs/>
                <w:color w:val="auto"/>
                <w:sz w:val="24"/>
                <w:szCs w:val="24"/>
                <w:lang w:val="en-US" w:eastAsia="zh-CN"/>
              </w:rPr>
              <w:t>过渡阶段</w:t>
            </w:r>
            <w:r>
              <w:rPr>
                <w:bCs/>
                <w:color w:val="auto"/>
                <w:sz w:val="24"/>
                <w:szCs w:val="24"/>
              </w:rPr>
              <w:t>二级</w:t>
            </w:r>
            <w:r>
              <w:rPr>
                <w:rFonts w:hint="eastAsia"/>
                <w:bCs/>
                <w:color w:val="auto"/>
                <w:sz w:val="24"/>
                <w:szCs w:val="24"/>
                <w:lang w:val="en-US" w:eastAsia="zh-CN"/>
              </w:rPr>
              <w:t>浓度限值标准</w:t>
            </w:r>
            <w:r>
              <w:rPr>
                <w:bCs/>
                <w:color w:val="auto"/>
                <w:sz w:val="24"/>
                <w:szCs w:val="24"/>
              </w:rPr>
              <w:t>。</w:t>
            </w:r>
          </w:p>
          <w:p w14:paraId="5C69F117">
            <w:pPr>
              <w:adjustRightInd w:val="0"/>
              <w:snapToGrid w:val="0"/>
              <w:spacing w:line="360" w:lineRule="auto"/>
              <w:ind w:firstLine="480" w:firstLineChars="200"/>
              <w:rPr>
                <w:bCs/>
                <w:color w:val="auto"/>
                <w:sz w:val="24"/>
                <w:szCs w:val="24"/>
              </w:rPr>
            </w:pPr>
            <w:r>
              <w:rPr>
                <w:bCs/>
                <w:color w:val="auto"/>
                <w:sz w:val="24"/>
                <w:szCs w:val="24"/>
              </w:rPr>
              <w:t>由《韶关市生态环境状况公报（2024年）》可知，2024年韶关乐昌市环境空气质量各项指标均符合国家《环境空气质量标准》（GB3095-</w:t>
            </w:r>
            <w:r>
              <w:rPr>
                <w:rFonts w:hint="eastAsia"/>
                <w:bCs/>
                <w:color w:val="auto"/>
                <w:sz w:val="24"/>
                <w:szCs w:val="24"/>
                <w:lang w:val="en-US" w:eastAsia="zh-CN"/>
              </w:rPr>
              <w:t>2026</w:t>
            </w:r>
            <w:r>
              <w:rPr>
                <w:bCs/>
                <w:color w:val="auto"/>
                <w:sz w:val="24"/>
                <w:szCs w:val="24"/>
              </w:rPr>
              <w:t>）</w:t>
            </w:r>
            <w:r>
              <w:rPr>
                <w:rFonts w:hint="eastAsia"/>
                <w:bCs/>
                <w:color w:val="auto"/>
                <w:sz w:val="24"/>
                <w:szCs w:val="24"/>
                <w:lang w:val="en-US" w:eastAsia="zh-CN"/>
              </w:rPr>
              <w:t>过渡阶段</w:t>
            </w:r>
            <w:r>
              <w:rPr>
                <w:bCs/>
                <w:color w:val="auto"/>
                <w:sz w:val="24"/>
                <w:szCs w:val="24"/>
              </w:rPr>
              <w:t>二级</w:t>
            </w:r>
            <w:r>
              <w:rPr>
                <w:rFonts w:hint="eastAsia"/>
                <w:bCs/>
                <w:color w:val="auto"/>
                <w:sz w:val="24"/>
                <w:szCs w:val="24"/>
                <w:lang w:val="en-US" w:eastAsia="zh-CN"/>
              </w:rPr>
              <w:t>浓度限值标准</w:t>
            </w:r>
            <w:r>
              <w:rPr>
                <w:bCs/>
                <w:color w:val="auto"/>
                <w:sz w:val="24"/>
                <w:szCs w:val="24"/>
              </w:rPr>
              <w:t>，项目所在地环境空气质量现状较好，所在区域为达标区。</w:t>
            </w:r>
          </w:p>
          <w:p w14:paraId="6752EDA6">
            <w:pPr>
              <w:adjustRightInd w:val="0"/>
              <w:snapToGrid w:val="0"/>
              <w:spacing w:line="360" w:lineRule="auto"/>
              <w:jc w:val="left"/>
              <w:rPr>
                <w:b/>
                <w:color w:val="auto"/>
                <w:kern w:val="0"/>
                <w:sz w:val="24"/>
                <w:szCs w:val="24"/>
              </w:rPr>
            </w:pPr>
            <w:r>
              <w:rPr>
                <w:b/>
                <w:color w:val="auto"/>
                <w:kern w:val="0"/>
                <w:sz w:val="24"/>
                <w:szCs w:val="24"/>
              </w:rPr>
              <w:t>2、基本污染物环境质量现状</w:t>
            </w:r>
          </w:p>
          <w:p w14:paraId="7373E187">
            <w:pPr>
              <w:pStyle w:val="16"/>
              <w:keepNext/>
              <w:jc w:val="center"/>
              <w:rPr>
                <w:rFonts w:ascii="Times New Roman" w:hAnsi="Times New Roman" w:eastAsia="宋体"/>
                <w:b/>
                <w:color w:val="auto"/>
                <w:sz w:val="21"/>
                <w:szCs w:val="21"/>
              </w:rPr>
            </w:pPr>
            <w:r>
              <w:rPr>
                <w:rFonts w:ascii="Times New Roman" w:hAnsi="Times New Roman" w:eastAsia="宋体"/>
                <w:b/>
                <w:color w:val="auto"/>
                <w:sz w:val="24"/>
                <w:szCs w:val="24"/>
              </w:rPr>
              <w:t>表</w:t>
            </w:r>
            <w:r>
              <w:rPr>
                <w:rFonts w:ascii="Times New Roman" w:hAnsi="Times New Roman" w:eastAsia="宋体"/>
                <w:b/>
                <w:color w:val="auto"/>
                <w:sz w:val="24"/>
                <w:szCs w:val="24"/>
              </w:rPr>
              <w:fldChar w:fldCharType="begin"/>
            </w:r>
            <w:r>
              <w:rPr>
                <w:rFonts w:ascii="Times New Roman" w:hAnsi="Times New Roman" w:eastAsia="宋体"/>
                <w:b/>
                <w:color w:val="auto"/>
                <w:sz w:val="24"/>
                <w:szCs w:val="24"/>
              </w:rPr>
              <w:instrText xml:space="preserve"> SEQ 表 \* ARABIC </w:instrText>
            </w:r>
            <w:r>
              <w:rPr>
                <w:rFonts w:ascii="Times New Roman" w:hAnsi="Times New Roman" w:eastAsia="宋体"/>
                <w:b/>
                <w:color w:val="auto"/>
                <w:sz w:val="24"/>
                <w:szCs w:val="24"/>
              </w:rPr>
              <w:fldChar w:fldCharType="separate"/>
            </w:r>
            <w:r>
              <w:rPr>
                <w:rFonts w:ascii="Times New Roman" w:hAnsi="Times New Roman" w:eastAsia="宋体"/>
                <w:b/>
                <w:color w:val="auto"/>
                <w:sz w:val="24"/>
                <w:szCs w:val="24"/>
              </w:rPr>
              <w:t>16</w:t>
            </w:r>
            <w:r>
              <w:rPr>
                <w:rFonts w:ascii="Times New Roman" w:hAnsi="Times New Roman" w:eastAsia="宋体"/>
                <w:b/>
                <w:color w:val="auto"/>
                <w:sz w:val="24"/>
                <w:szCs w:val="24"/>
              </w:rPr>
              <w:fldChar w:fldCharType="end"/>
            </w:r>
            <w:r>
              <w:rPr>
                <w:rFonts w:ascii="Times New Roman" w:hAnsi="Times New Roman" w:eastAsia="宋体"/>
                <w:b/>
                <w:color w:val="auto"/>
                <w:sz w:val="24"/>
                <w:szCs w:val="24"/>
              </w:rPr>
              <w:t xml:space="preserve">  2024年</w:t>
            </w:r>
            <w:r>
              <w:rPr>
                <w:rFonts w:hint="eastAsia" w:ascii="Times New Roman" w:hAnsi="Times New Roman" w:eastAsia="宋体"/>
                <w:b/>
                <w:color w:val="auto"/>
                <w:sz w:val="24"/>
                <w:szCs w:val="24"/>
                <w:lang w:val="en-US" w:eastAsia="zh-CN"/>
              </w:rPr>
              <w:t>乐昌市</w:t>
            </w:r>
            <w:r>
              <w:rPr>
                <w:rFonts w:ascii="Times New Roman" w:hAnsi="Times New Roman" w:eastAsia="宋体"/>
                <w:b/>
                <w:color w:val="auto"/>
                <w:sz w:val="24"/>
                <w:szCs w:val="24"/>
              </w:rPr>
              <w:t>环境空气质量状况 （</w:t>
            </w:r>
            <w:r>
              <w:rPr>
                <w:rFonts w:ascii="Times New Roman" w:hAnsi="Times New Roman" w:eastAsia="宋体"/>
                <w:b/>
                <w:color w:val="auto"/>
                <w:kern w:val="0"/>
                <w:sz w:val="24"/>
                <w:szCs w:val="24"/>
              </w:rPr>
              <w:t>μg/m</w:t>
            </w:r>
            <w:r>
              <w:rPr>
                <w:rFonts w:ascii="Times New Roman" w:hAnsi="Times New Roman" w:eastAsia="宋体"/>
                <w:b/>
                <w:color w:val="auto"/>
                <w:kern w:val="0"/>
                <w:sz w:val="24"/>
                <w:szCs w:val="24"/>
                <w:vertAlign w:val="superscript"/>
              </w:rPr>
              <w:t>3</w:t>
            </w:r>
            <w:r>
              <w:rPr>
                <w:rFonts w:ascii="Times New Roman" w:hAnsi="Times New Roman" w:eastAsia="宋体"/>
                <w:b/>
                <w:color w:val="auto"/>
                <w:sz w:val="24"/>
                <w:szCs w:val="24"/>
              </w:rPr>
              <w:t>）</w:t>
            </w:r>
          </w:p>
          <w:tbl>
            <w:tblPr>
              <w:tblStyle w:val="3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1343"/>
              <w:gridCol w:w="2387"/>
              <w:gridCol w:w="1681"/>
              <w:gridCol w:w="1682"/>
            </w:tblGrid>
            <w:tr w14:paraId="7548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Align w:val="center"/>
                </w:tcPr>
                <w:p w14:paraId="3F9FEB48">
                  <w:pPr>
                    <w:jc w:val="center"/>
                    <w:rPr>
                      <w:b/>
                      <w:color w:val="auto"/>
                    </w:rPr>
                  </w:pPr>
                  <w:r>
                    <w:rPr>
                      <w:b/>
                      <w:color w:val="auto"/>
                    </w:rPr>
                    <w:t>类别</w:t>
                  </w:r>
                </w:p>
              </w:tc>
              <w:tc>
                <w:tcPr>
                  <w:tcW w:w="799" w:type="pct"/>
                  <w:vAlign w:val="center"/>
                </w:tcPr>
                <w:p w14:paraId="75121114">
                  <w:pPr>
                    <w:jc w:val="center"/>
                    <w:rPr>
                      <w:b/>
                      <w:color w:val="auto"/>
                    </w:rPr>
                  </w:pPr>
                  <w:r>
                    <w:rPr>
                      <w:b/>
                      <w:color w:val="auto"/>
                    </w:rPr>
                    <w:t>监测项目</w:t>
                  </w:r>
                </w:p>
              </w:tc>
              <w:tc>
                <w:tcPr>
                  <w:tcW w:w="1420" w:type="pct"/>
                  <w:vAlign w:val="center"/>
                </w:tcPr>
                <w:p w14:paraId="512629FF">
                  <w:pPr>
                    <w:jc w:val="center"/>
                    <w:rPr>
                      <w:b/>
                      <w:color w:val="auto"/>
                    </w:rPr>
                  </w:pPr>
                  <w:r>
                    <w:rPr>
                      <w:b/>
                      <w:color w:val="auto"/>
                    </w:rPr>
                    <w:t>现状浓度</w:t>
                  </w:r>
                </w:p>
              </w:tc>
              <w:tc>
                <w:tcPr>
                  <w:tcW w:w="1000" w:type="pct"/>
                  <w:vAlign w:val="center"/>
                </w:tcPr>
                <w:p w14:paraId="4025EDAF">
                  <w:pPr>
                    <w:jc w:val="center"/>
                    <w:rPr>
                      <w:b/>
                      <w:color w:val="auto"/>
                    </w:rPr>
                  </w:pPr>
                  <w:r>
                    <w:rPr>
                      <w:b/>
                      <w:color w:val="auto"/>
                    </w:rPr>
                    <w:t>标准值</w:t>
                  </w:r>
                </w:p>
              </w:tc>
              <w:tc>
                <w:tcPr>
                  <w:tcW w:w="1000" w:type="pct"/>
                  <w:vAlign w:val="center"/>
                </w:tcPr>
                <w:p w14:paraId="0A1C2872">
                  <w:pPr>
                    <w:jc w:val="center"/>
                    <w:rPr>
                      <w:b/>
                      <w:color w:val="auto"/>
                    </w:rPr>
                  </w:pPr>
                  <w:r>
                    <w:rPr>
                      <w:b/>
                      <w:color w:val="auto"/>
                    </w:rPr>
                    <w:t>是否达标</w:t>
                  </w:r>
                </w:p>
              </w:tc>
            </w:tr>
            <w:tr w14:paraId="7648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Merge w:val="restart"/>
                  <w:vAlign w:val="center"/>
                </w:tcPr>
                <w:p w14:paraId="733FC1E4">
                  <w:pPr>
                    <w:jc w:val="center"/>
                    <w:rPr>
                      <w:b/>
                      <w:color w:val="auto"/>
                    </w:rPr>
                  </w:pPr>
                  <w:r>
                    <w:rPr>
                      <w:b/>
                      <w:color w:val="auto"/>
                    </w:rPr>
                    <w:t>年均浓度</w:t>
                  </w:r>
                </w:p>
              </w:tc>
              <w:tc>
                <w:tcPr>
                  <w:tcW w:w="799" w:type="pct"/>
                  <w:vAlign w:val="center"/>
                </w:tcPr>
                <w:p w14:paraId="6FFE4EEC">
                  <w:pPr>
                    <w:jc w:val="center"/>
                    <w:rPr>
                      <w:b/>
                      <w:color w:val="auto"/>
                    </w:rPr>
                  </w:pPr>
                  <w:r>
                    <w:rPr>
                      <w:b/>
                      <w:color w:val="auto"/>
                    </w:rPr>
                    <w:t>SO</w:t>
                  </w:r>
                  <w:r>
                    <w:rPr>
                      <w:b/>
                      <w:color w:val="auto"/>
                      <w:vertAlign w:val="subscript"/>
                    </w:rPr>
                    <w:t>2</w:t>
                  </w:r>
                </w:p>
              </w:tc>
              <w:tc>
                <w:tcPr>
                  <w:tcW w:w="2387" w:type="dxa"/>
                  <w:vAlign w:val="center"/>
                </w:tcPr>
                <w:p w14:paraId="0A26A0C2">
                  <w:pPr>
                    <w:adjustRightInd w:val="0"/>
                    <w:snapToGrid w:val="0"/>
                    <w:jc w:val="center"/>
                    <w:rPr>
                      <w:color w:val="auto"/>
                    </w:rPr>
                  </w:pPr>
                  <w:r>
                    <w:rPr>
                      <w:color w:val="auto"/>
                      <w:szCs w:val="21"/>
                    </w:rPr>
                    <w:t>6</w:t>
                  </w:r>
                </w:p>
              </w:tc>
              <w:tc>
                <w:tcPr>
                  <w:tcW w:w="1000" w:type="pct"/>
                  <w:vAlign w:val="center"/>
                </w:tcPr>
                <w:p w14:paraId="06F1F10C">
                  <w:pPr>
                    <w:jc w:val="center"/>
                    <w:rPr>
                      <w:color w:val="auto"/>
                    </w:rPr>
                  </w:pPr>
                  <w:r>
                    <w:rPr>
                      <w:color w:val="auto"/>
                    </w:rPr>
                    <w:t>60</w:t>
                  </w:r>
                </w:p>
              </w:tc>
              <w:tc>
                <w:tcPr>
                  <w:tcW w:w="1000" w:type="pct"/>
                  <w:vAlign w:val="center"/>
                </w:tcPr>
                <w:p w14:paraId="0AB9002D">
                  <w:pPr>
                    <w:jc w:val="center"/>
                    <w:rPr>
                      <w:color w:val="auto"/>
                    </w:rPr>
                  </w:pPr>
                  <w:r>
                    <w:rPr>
                      <w:color w:val="auto"/>
                    </w:rPr>
                    <w:t>达标</w:t>
                  </w:r>
                </w:p>
              </w:tc>
            </w:tr>
            <w:tr w14:paraId="79BB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Merge w:val="continue"/>
                  <w:vAlign w:val="center"/>
                </w:tcPr>
                <w:p w14:paraId="54C7B760">
                  <w:pPr>
                    <w:jc w:val="center"/>
                    <w:rPr>
                      <w:b/>
                      <w:color w:val="auto"/>
                    </w:rPr>
                  </w:pPr>
                </w:p>
              </w:tc>
              <w:tc>
                <w:tcPr>
                  <w:tcW w:w="799" w:type="pct"/>
                  <w:vAlign w:val="center"/>
                </w:tcPr>
                <w:p w14:paraId="0CD2B984">
                  <w:pPr>
                    <w:jc w:val="center"/>
                    <w:rPr>
                      <w:b/>
                      <w:color w:val="auto"/>
                    </w:rPr>
                  </w:pPr>
                  <w:r>
                    <w:rPr>
                      <w:b/>
                      <w:color w:val="auto"/>
                      <w:kern w:val="0"/>
                      <w:szCs w:val="21"/>
                    </w:rPr>
                    <w:t>NO</w:t>
                  </w:r>
                  <w:r>
                    <w:rPr>
                      <w:b/>
                      <w:color w:val="auto"/>
                      <w:kern w:val="0"/>
                      <w:szCs w:val="21"/>
                      <w:vertAlign w:val="subscript"/>
                    </w:rPr>
                    <w:t>2</w:t>
                  </w:r>
                </w:p>
              </w:tc>
              <w:tc>
                <w:tcPr>
                  <w:tcW w:w="2387" w:type="dxa"/>
                  <w:vAlign w:val="center"/>
                </w:tcPr>
                <w:p w14:paraId="0B23B60D">
                  <w:pPr>
                    <w:adjustRightInd w:val="0"/>
                    <w:snapToGrid w:val="0"/>
                    <w:jc w:val="center"/>
                    <w:rPr>
                      <w:color w:val="auto"/>
                    </w:rPr>
                  </w:pPr>
                  <w:r>
                    <w:rPr>
                      <w:color w:val="auto"/>
                      <w:szCs w:val="21"/>
                    </w:rPr>
                    <w:t>12</w:t>
                  </w:r>
                </w:p>
              </w:tc>
              <w:tc>
                <w:tcPr>
                  <w:tcW w:w="1000" w:type="pct"/>
                  <w:vAlign w:val="center"/>
                </w:tcPr>
                <w:p w14:paraId="740BD3EE">
                  <w:pPr>
                    <w:jc w:val="center"/>
                    <w:rPr>
                      <w:color w:val="auto"/>
                    </w:rPr>
                  </w:pPr>
                  <w:r>
                    <w:rPr>
                      <w:color w:val="auto"/>
                    </w:rPr>
                    <w:t>40</w:t>
                  </w:r>
                </w:p>
              </w:tc>
              <w:tc>
                <w:tcPr>
                  <w:tcW w:w="1000" w:type="pct"/>
                  <w:vAlign w:val="center"/>
                </w:tcPr>
                <w:p w14:paraId="04CE4F0B">
                  <w:pPr>
                    <w:jc w:val="center"/>
                    <w:rPr>
                      <w:color w:val="auto"/>
                    </w:rPr>
                  </w:pPr>
                  <w:r>
                    <w:rPr>
                      <w:color w:val="auto"/>
                    </w:rPr>
                    <w:t>达标</w:t>
                  </w:r>
                </w:p>
              </w:tc>
            </w:tr>
            <w:tr w14:paraId="1FBA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Merge w:val="continue"/>
                  <w:vAlign w:val="center"/>
                </w:tcPr>
                <w:p w14:paraId="1A52B32E">
                  <w:pPr>
                    <w:jc w:val="center"/>
                    <w:rPr>
                      <w:b/>
                      <w:color w:val="auto"/>
                    </w:rPr>
                  </w:pPr>
                </w:p>
              </w:tc>
              <w:tc>
                <w:tcPr>
                  <w:tcW w:w="799" w:type="pct"/>
                  <w:vAlign w:val="center"/>
                </w:tcPr>
                <w:p w14:paraId="71B0ACF9">
                  <w:pPr>
                    <w:jc w:val="center"/>
                    <w:rPr>
                      <w:b/>
                      <w:color w:val="auto"/>
                    </w:rPr>
                  </w:pPr>
                  <w:r>
                    <w:rPr>
                      <w:b/>
                      <w:color w:val="auto"/>
                      <w:kern w:val="0"/>
                      <w:szCs w:val="21"/>
                    </w:rPr>
                    <w:t>PM</w:t>
                  </w:r>
                  <w:r>
                    <w:rPr>
                      <w:b/>
                      <w:color w:val="auto"/>
                      <w:kern w:val="0"/>
                      <w:szCs w:val="21"/>
                      <w:vertAlign w:val="subscript"/>
                    </w:rPr>
                    <w:t>2.5</w:t>
                  </w:r>
                </w:p>
              </w:tc>
              <w:tc>
                <w:tcPr>
                  <w:tcW w:w="2387" w:type="dxa"/>
                  <w:vAlign w:val="center"/>
                </w:tcPr>
                <w:p w14:paraId="21E8AE51">
                  <w:pPr>
                    <w:adjustRightInd w:val="0"/>
                    <w:snapToGrid w:val="0"/>
                    <w:jc w:val="center"/>
                    <w:rPr>
                      <w:color w:val="auto"/>
                    </w:rPr>
                  </w:pPr>
                  <w:r>
                    <w:rPr>
                      <w:color w:val="auto"/>
                      <w:szCs w:val="21"/>
                    </w:rPr>
                    <w:t>21</w:t>
                  </w:r>
                </w:p>
              </w:tc>
              <w:tc>
                <w:tcPr>
                  <w:tcW w:w="1000" w:type="pct"/>
                  <w:vAlign w:val="center"/>
                </w:tcPr>
                <w:p w14:paraId="76741597">
                  <w:pPr>
                    <w:jc w:val="center"/>
                    <w:rPr>
                      <w:rFonts w:hint="default" w:eastAsia="宋体"/>
                      <w:color w:val="auto"/>
                      <w:lang w:val="en-US" w:eastAsia="zh-CN"/>
                    </w:rPr>
                  </w:pPr>
                  <w:r>
                    <w:rPr>
                      <w:rFonts w:hint="eastAsia"/>
                      <w:color w:val="auto"/>
                      <w:lang w:val="en-US" w:eastAsia="zh-CN"/>
                    </w:rPr>
                    <w:t>30</w:t>
                  </w:r>
                </w:p>
              </w:tc>
              <w:tc>
                <w:tcPr>
                  <w:tcW w:w="1000" w:type="pct"/>
                  <w:vAlign w:val="center"/>
                </w:tcPr>
                <w:p w14:paraId="5E6D3C96">
                  <w:pPr>
                    <w:jc w:val="center"/>
                    <w:rPr>
                      <w:color w:val="auto"/>
                    </w:rPr>
                  </w:pPr>
                  <w:r>
                    <w:rPr>
                      <w:color w:val="auto"/>
                    </w:rPr>
                    <w:t>达标</w:t>
                  </w:r>
                </w:p>
              </w:tc>
            </w:tr>
            <w:tr w14:paraId="4D7A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Merge w:val="continue"/>
                  <w:vAlign w:val="center"/>
                </w:tcPr>
                <w:p w14:paraId="45850B60">
                  <w:pPr>
                    <w:jc w:val="center"/>
                    <w:rPr>
                      <w:b/>
                      <w:color w:val="auto"/>
                    </w:rPr>
                  </w:pPr>
                </w:p>
              </w:tc>
              <w:tc>
                <w:tcPr>
                  <w:tcW w:w="799" w:type="pct"/>
                  <w:vAlign w:val="center"/>
                </w:tcPr>
                <w:p w14:paraId="1C1232E0">
                  <w:pPr>
                    <w:jc w:val="center"/>
                    <w:rPr>
                      <w:b/>
                      <w:color w:val="auto"/>
                    </w:rPr>
                  </w:pPr>
                  <w:r>
                    <w:rPr>
                      <w:b/>
                      <w:color w:val="auto"/>
                      <w:kern w:val="0"/>
                      <w:szCs w:val="21"/>
                    </w:rPr>
                    <w:t>PM</w:t>
                  </w:r>
                  <w:r>
                    <w:rPr>
                      <w:b/>
                      <w:color w:val="auto"/>
                      <w:kern w:val="0"/>
                      <w:szCs w:val="21"/>
                      <w:vertAlign w:val="subscript"/>
                    </w:rPr>
                    <w:t>10</w:t>
                  </w:r>
                </w:p>
              </w:tc>
              <w:tc>
                <w:tcPr>
                  <w:tcW w:w="2387" w:type="dxa"/>
                  <w:vAlign w:val="center"/>
                </w:tcPr>
                <w:p w14:paraId="01367C6B">
                  <w:pPr>
                    <w:adjustRightInd w:val="0"/>
                    <w:snapToGrid w:val="0"/>
                    <w:jc w:val="center"/>
                    <w:rPr>
                      <w:color w:val="auto"/>
                    </w:rPr>
                  </w:pPr>
                  <w:r>
                    <w:rPr>
                      <w:color w:val="auto"/>
                      <w:szCs w:val="21"/>
                    </w:rPr>
                    <w:t>31</w:t>
                  </w:r>
                </w:p>
              </w:tc>
              <w:tc>
                <w:tcPr>
                  <w:tcW w:w="1000" w:type="pct"/>
                  <w:vAlign w:val="center"/>
                </w:tcPr>
                <w:p w14:paraId="224FBB76">
                  <w:pPr>
                    <w:jc w:val="center"/>
                    <w:rPr>
                      <w:rFonts w:hint="default" w:eastAsia="宋体"/>
                      <w:color w:val="auto"/>
                      <w:lang w:val="en-US" w:eastAsia="zh-CN"/>
                    </w:rPr>
                  </w:pPr>
                  <w:r>
                    <w:rPr>
                      <w:rFonts w:hint="eastAsia"/>
                      <w:color w:val="auto"/>
                      <w:lang w:val="en-US" w:eastAsia="zh-CN"/>
                    </w:rPr>
                    <w:t>60</w:t>
                  </w:r>
                </w:p>
              </w:tc>
              <w:tc>
                <w:tcPr>
                  <w:tcW w:w="1000" w:type="pct"/>
                  <w:vAlign w:val="center"/>
                </w:tcPr>
                <w:p w14:paraId="67D7663F">
                  <w:pPr>
                    <w:jc w:val="center"/>
                    <w:rPr>
                      <w:color w:val="auto"/>
                    </w:rPr>
                  </w:pPr>
                  <w:r>
                    <w:rPr>
                      <w:color w:val="auto"/>
                    </w:rPr>
                    <w:t>达标</w:t>
                  </w:r>
                </w:p>
              </w:tc>
            </w:tr>
            <w:tr w14:paraId="45808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Merge w:val="restart"/>
                  <w:vAlign w:val="center"/>
                </w:tcPr>
                <w:p w14:paraId="6E1006A5">
                  <w:pPr>
                    <w:jc w:val="center"/>
                    <w:rPr>
                      <w:b/>
                      <w:color w:val="auto"/>
                    </w:rPr>
                  </w:pPr>
                  <w:r>
                    <w:rPr>
                      <w:b/>
                      <w:color w:val="auto"/>
                    </w:rPr>
                    <w:t>日均浓度</w:t>
                  </w:r>
                </w:p>
              </w:tc>
              <w:tc>
                <w:tcPr>
                  <w:tcW w:w="799" w:type="pct"/>
                  <w:vAlign w:val="center"/>
                </w:tcPr>
                <w:p w14:paraId="77DBE90A">
                  <w:pPr>
                    <w:jc w:val="center"/>
                    <w:rPr>
                      <w:b/>
                      <w:color w:val="auto"/>
                    </w:rPr>
                  </w:pPr>
                  <w:r>
                    <w:rPr>
                      <w:b/>
                      <w:color w:val="auto"/>
                      <w:kern w:val="0"/>
                      <w:szCs w:val="21"/>
                    </w:rPr>
                    <w:t>CO</w:t>
                  </w:r>
                </w:p>
              </w:tc>
              <w:tc>
                <w:tcPr>
                  <w:tcW w:w="1420" w:type="pct"/>
                  <w:vAlign w:val="center"/>
                </w:tcPr>
                <w:p w14:paraId="4A8823A3">
                  <w:pPr>
                    <w:jc w:val="center"/>
                    <w:rPr>
                      <w:color w:val="auto"/>
                    </w:rPr>
                  </w:pPr>
                  <w:r>
                    <w:rPr>
                      <w:color w:val="auto"/>
                      <w:kern w:val="0"/>
                      <w:szCs w:val="21"/>
                    </w:rPr>
                    <w:t>1.0mg/m</w:t>
                  </w:r>
                  <w:r>
                    <w:rPr>
                      <w:color w:val="auto"/>
                      <w:kern w:val="0"/>
                      <w:szCs w:val="21"/>
                      <w:vertAlign w:val="superscript"/>
                    </w:rPr>
                    <w:t>3</w:t>
                  </w:r>
                  <w:r>
                    <w:rPr>
                      <w:color w:val="auto"/>
                      <w:kern w:val="0"/>
                      <w:szCs w:val="21"/>
                    </w:rPr>
                    <w:t>（日均值第95百分位数）</w:t>
                  </w:r>
                </w:p>
              </w:tc>
              <w:tc>
                <w:tcPr>
                  <w:tcW w:w="1000" w:type="pct"/>
                  <w:vAlign w:val="center"/>
                </w:tcPr>
                <w:p w14:paraId="63CBF98E">
                  <w:pPr>
                    <w:jc w:val="center"/>
                    <w:rPr>
                      <w:color w:val="auto"/>
                    </w:rPr>
                  </w:pPr>
                  <w:r>
                    <w:rPr>
                      <w:color w:val="auto"/>
                      <w:kern w:val="0"/>
                      <w:szCs w:val="21"/>
                    </w:rPr>
                    <w:t>4mg/m</w:t>
                  </w:r>
                  <w:r>
                    <w:rPr>
                      <w:color w:val="auto"/>
                      <w:kern w:val="0"/>
                      <w:szCs w:val="21"/>
                      <w:vertAlign w:val="superscript"/>
                    </w:rPr>
                    <w:t>3</w:t>
                  </w:r>
                </w:p>
              </w:tc>
              <w:tc>
                <w:tcPr>
                  <w:tcW w:w="1000" w:type="pct"/>
                  <w:vAlign w:val="center"/>
                </w:tcPr>
                <w:p w14:paraId="2331B885">
                  <w:pPr>
                    <w:jc w:val="center"/>
                    <w:rPr>
                      <w:color w:val="auto"/>
                    </w:rPr>
                  </w:pPr>
                  <w:r>
                    <w:rPr>
                      <w:color w:val="auto"/>
                    </w:rPr>
                    <w:t>达标</w:t>
                  </w:r>
                </w:p>
              </w:tc>
            </w:tr>
            <w:tr w14:paraId="2215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Merge w:val="continue"/>
                  <w:vAlign w:val="center"/>
                </w:tcPr>
                <w:p w14:paraId="6F4B55B4">
                  <w:pPr>
                    <w:jc w:val="center"/>
                    <w:rPr>
                      <w:b/>
                      <w:color w:val="auto"/>
                    </w:rPr>
                  </w:pPr>
                </w:p>
              </w:tc>
              <w:tc>
                <w:tcPr>
                  <w:tcW w:w="799" w:type="pct"/>
                  <w:vAlign w:val="center"/>
                </w:tcPr>
                <w:p w14:paraId="3823DFFD">
                  <w:pPr>
                    <w:jc w:val="center"/>
                    <w:rPr>
                      <w:b/>
                      <w:color w:val="auto"/>
                    </w:rPr>
                  </w:pPr>
                  <w:r>
                    <w:rPr>
                      <w:b/>
                      <w:color w:val="auto"/>
                      <w:kern w:val="0"/>
                      <w:szCs w:val="21"/>
                    </w:rPr>
                    <w:t>O</w:t>
                  </w:r>
                  <w:r>
                    <w:rPr>
                      <w:b/>
                      <w:color w:val="auto"/>
                      <w:kern w:val="0"/>
                      <w:szCs w:val="21"/>
                      <w:vertAlign w:val="subscript"/>
                    </w:rPr>
                    <w:t>3</w:t>
                  </w:r>
                </w:p>
              </w:tc>
              <w:tc>
                <w:tcPr>
                  <w:tcW w:w="1420" w:type="pct"/>
                  <w:vAlign w:val="center"/>
                </w:tcPr>
                <w:p w14:paraId="5354C1A7">
                  <w:pPr>
                    <w:jc w:val="center"/>
                    <w:rPr>
                      <w:color w:val="auto"/>
                    </w:rPr>
                  </w:pPr>
                  <w:r>
                    <w:rPr>
                      <w:color w:val="auto"/>
                      <w:kern w:val="0"/>
                      <w:szCs w:val="21"/>
                    </w:rPr>
                    <w:t>108（最大8小时平均第90百分位数）</w:t>
                  </w:r>
                </w:p>
              </w:tc>
              <w:tc>
                <w:tcPr>
                  <w:tcW w:w="1000" w:type="pct"/>
                  <w:vAlign w:val="center"/>
                </w:tcPr>
                <w:p w14:paraId="75960E37">
                  <w:pPr>
                    <w:jc w:val="center"/>
                    <w:rPr>
                      <w:color w:val="auto"/>
                    </w:rPr>
                  </w:pPr>
                  <w:r>
                    <w:rPr>
                      <w:color w:val="auto"/>
                      <w:kern w:val="0"/>
                      <w:szCs w:val="21"/>
                    </w:rPr>
                    <w:t>160</w:t>
                  </w:r>
                </w:p>
              </w:tc>
              <w:tc>
                <w:tcPr>
                  <w:tcW w:w="1000" w:type="pct"/>
                  <w:vAlign w:val="center"/>
                </w:tcPr>
                <w:p w14:paraId="18AC3910">
                  <w:pPr>
                    <w:jc w:val="center"/>
                    <w:rPr>
                      <w:color w:val="auto"/>
                    </w:rPr>
                  </w:pPr>
                  <w:r>
                    <w:rPr>
                      <w:color w:val="auto"/>
                    </w:rPr>
                    <w:t>达标</w:t>
                  </w:r>
                </w:p>
              </w:tc>
            </w:tr>
          </w:tbl>
          <w:p w14:paraId="33A6D2BC">
            <w:pPr>
              <w:adjustRightInd w:val="0"/>
              <w:snapToGrid w:val="0"/>
              <w:spacing w:line="360" w:lineRule="auto"/>
              <w:jc w:val="left"/>
              <w:rPr>
                <w:rFonts w:hint="eastAsia" w:ascii="Times New Roman" w:hAnsi="Times New Roman" w:eastAsia="宋体" w:cs="Times New Roman"/>
                <w:b/>
                <w:color w:val="auto"/>
                <w:kern w:val="0"/>
                <w:sz w:val="24"/>
                <w:szCs w:val="24"/>
              </w:rPr>
            </w:pPr>
            <w:r>
              <w:rPr>
                <w:rFonts w:hint="eastAsia" w:ascii="Times New Roman" w:hAnsi="Times New Roman" w:eastAsia="宋体" w:cs="Times New Roman"/>
                <w:b/>
                <w:color w:val="auto"/>
                <w:kern w:val="0"/>
                <w:szCs w:val="21"/>
                <w:lang w:val="en-US" w:eastAsia="zh-CN"/>
              </w:rPr>
              <w:t>3</w:t>
            </w:r>
            <w:r>
              <w:rPr>
                <w:rFonts w:hint="eastAsia" w:ascii="Times New Roman" w:hAnsi="Times New Roman" w:eastAsia="宋体" w:cs="Times New Roman"/>
                <w:b/>
                <w:color w:val="auto"/>
                <w:kern w:val="0"/>
                <w:sz w:val="24"/>
                <w:szCs w:val="24"/>
                <w:lang w:val="en-US" w:eastAsia="zh-CN"/>
              </w:rPr>
              <w:t>、</w:t>
            </w:r>
            <w:r>
              <w:rPr>
                <w:rFonts w:hint="eastAsia" w:ascii="Times New Roman" w:hAnsi="Times New Roman" w:eastAsia="宋体" w:cs="Times New Roman"/>
                <w:b/>
                <w:color w:val="auto"/>
                <w:kern w:val="0"/>
                <w:sz w:val="24"/>
                <w:szCs w:val="24"/>
              </w:rPr>
              <w:t>特征污染物环境质量现状</w:t>
            </w:r>
          </w:p>
          <w:p w14:paraId="7C195F21">
            <w:pPr>
              <w:adjustRightInd w:val="0"/>
              <w:snapToGrid w:val="0"/>
              <w:spacing w:line="360" w:lineRule="auto"/>
              <w:ind w:firstLine="480" w:firstLineChars="200"/>
              <w:rPr>
                <w:rFonts w:ascii="Times New Roman" w:hAnsi="Times New Roman" w:eastAsia="宋体" w:cs="Times New Roman"/>
                <w:bCs/>
                <w:color w:val="auto"/>
                <w:sz w:val="24"/>
                <w:szCs w:val="24"/>
              </w:rPr>
            </w:pPr>
            <w:r>
              <w:rPr>
                <w:rFonts w:hint="eastAsia" w:ascii="Times New Roman" w:hAnsi="Times New Roman" w:eastAsia="宋体" w:cs="Times New Roman"/>
                <w:bCs/>
                <w:color w:val="auto"/>
                <w:sz w:val="24"/>
                <w:szCs w:val="24"/>
              </w:rPr>
              <w:t>根据</w:t>
            </w:r>
            <w:r>
              <w:rPr>
                <w:rFonts w:hint="eastAsia" w:ascii="Times New Roman" w:hAnsi="Times New Roman" w:eastAsia="宋体" w:cs="Times New Roman"/>
                <w:bCs/>
                <w:color w:val="auto"/>
                <w:sz w:val="24"/>
                <w:szCs w:val="24"/>
                <w:lang w:eastAsia="zh-CN"/>
              </w:rPr>
              <w:t>《</w:t>
            </w:r>
            <w:r>
              <w:rPr>
                <w:rFonts w:hint="eastAsia" w:ascii="Times New Roman" w:hAnsi="Times New Roman" w:eastAsia="宋体" w:cs="Times New Roman"/>
                <w:bCs/>
                <w:color w:val="auto"/>
                <w:sz w:val="24"/>
                <w:szCs w:val="24"/>
              </w:rPr>
              <w:t>建设项目环境影响报告表编制技术指南</w:t>
            </w:r>
            <w:r>
              <w:rPr>
                <w:rFonts w:hint="eastAsia" w:ascii="Times New Roman" w:hAnsi="Times New Roman" w:eastAsia="宋体" w:cs="Times New Roman"/>
                <w:bCs/>
                <w:color w:val="auto"/>
                <w:sz w:val="24"/>
                <w:szCs w:val="24"/>
                <w:lang w:eastAsia="zh-CN"/>
              </w:rPr>
              <w:t>（</w:t>
            </w:r>
            <w:r>
              <w:rPr>
                <w:rFonts w:hint="eastAsia" w:ascii="Times New Roman" w:hAnsi="Times New Roman" w:eastAsia="宋体" w:cs="Times New Roman"/>
                <w:bCs/>
                <w:color w:val="auto"/>
                <w:sz w:val="24"/>
                <w:szCs w:val="24"/>
              </w:rPr>
              <w:t>污染影响类)试行</w:t>
            </w:r>
            <w:r>
              <w:rPr>
                <w:rFonts w:hint="eastAsia" w:ascii="Times New Roman" w:hAnsi="Times New Roman" w:eastAsia="宋体" w:cs="Times New Roman"/>
                <w:bCs/>
                <w:color w:val="auto"/>
                <w:sz w:val="24"/>
                <w:szCs w:val="24"/>
                <w:lang w:eastAsia="zh-CN"/>
              </w:rPr>
              <w:t>）》：</w:t>
            </w:r>
            <w:r>
              <w:rPr>
                <w:rFonts w:hint="eastAsia" w:ascii="Times New Roman" w:hAnsi="Times New Roman" w:eastAsia="宋体" w:cs="Times New Roman"/>
                <w:bCs/>
                <w:color w:val="auto"/>
                <w:sz w:val="24"/>
                <w:szCs w:val="24"/>
              </w:rPr>
              <w:t>“</w:t>
            </w:r>
            <w:r>
              <w:rPr>
                <w:rFonts w:ascii="Times New Roman" w:hAnsi="Times New Roman" w:eastAsia="宋体" w:cs="Times New Roman"/>
                <w:bCs/>
                <w:color w:val="auto"/>
                <w:sz w:val="24"/>
                <w:szCs w:val="24"/>
                <w:lang w:val="en-US" w:eastAsia="zh-CN"/>
              </w:rPr>
              <w:t>排放</w:t>
            </w:r>
            <w:r>
              <w:rPr>
                <w:rFonts w:hint="eastAsia" w:ascii="Times New Roman" w:hAnsi="Times New Roman" w:eastAsia="宋体" w:cs="Times New Roman"/>
                <w:bCs/>
                <w:color w:val="auto"/>
                <w:sz w:val="24"/>
                <w:szCs w:val="24"/>
                <w:lang w:val="en-US" w:eastAsia="zh-CN"/>
              </w:rPr>
              <w:t>国家、地方环境空气质量标准中有标准限值要求的特征污染物时，引用建设项目周边5千米范围内近3年的现有监测数据，无相关数据的选择当季主导风向下风向1个点位补充不少于3天的监测数据。”本项目排放的特征污染物为非甲烷总烃、臭气浓度，非甲烷总烃、臭气浓度均没有相关国家、地方环境空气质量标准限值，</w:t>
            </w:r>
            <w:r>
              <w:rPr>
                <w:rFonts w:hint="eastAsia" w:ascii="Times New Roman" w:hAnsi="Times New Roman" w:eastAsia="宋体" w:cs="Times New Roman"/>
                <w:bCs/>
                <w:color w:val="auto"/>
                <w:sz w:val="24"/>
                <w:szCs w:val="24"/>
              </w:rPr>
              <w:t>因此，本项目无需对</w:t>
            </w:r>
            <w:r>
              <w:rPr>
                <w:rFonts w:hint="eastAsia" w:ascii="Times New Roman" w:hAnsi="Times New Roman" w:eastAsia="宋体" w:cs="Times New Roman"/>
                <w:bCs/>
                <w:color w:val="auto"/>
                <w:sz w:val="24"/>
                <w:szCs w:val="24"/>
                <w:lang w:val="en-US" w:eastAsia="zh-CN"/>
              </w:rPr>
              <w:t>非甲烷总烃、臭气浓度进行</w:t>
            </w:r>
            <w:r>
              <w:rPr>
                <w:rFonts w:hint="eastAsia" w:ascii="Times New Roman" w:hAnsi="Times New Roman" w:eastAsia="宋体" w:cs="Times New Roman"/>
                <w:bCs/>
                <w:color w:val="auto"/>
                <w:sz w:val="24"/>
                <w:szCs w:val="24"/>
              </w:rPr>
              <w:t>环境质量现状补充监测。</w:t>
            </w:r>
          </w:p>
          <w:p w14:paraId="441FB6B2">
            <w:pPr>
              <w:adjustRightInd w:val="0"/>
              <w:snapToGrid w:val="0"/>
              <w:spacing w:line="360" w:lineRule="auto"/>
              <w:jc w:val="left"/>
              <w:rPr>
                <w:b/>
                <w:color w:val="auto"/>
                <w:kern w:val="0"/>
                <w:sz w:val="24"/>
                <w:szCs w:val="24"/>
              </w:rPr>
            </w:pPr>
            <w:r>
              <w:rPr>
                <w:b/>
                <w:color w:val="auto"/>
                <w:kern w:val="0"/>
                <w:sz w:val="24"/>
                <w:szCs w:val="24"/>
              </w:rPr>
              <w:t>二、地表水环境质量现状</w:t>
            </w:r>
          </w:p>
          <w:p w14:paraId="0FB0A3C2">
            <w:pPr>
              <w:widowControl/>
              <w:adjustRightInd w:val="0"/>
              <w:snapToGrid w:val="0"/>
              <w:spacing w:line="360" w:lineRule="auto"/>
              <w:ind w:firstLine="480" w:firstLineChars="200"/>
              <w:jc w:val="left"/>
              <w:rPr>
                <w:rFonts w:hint="default" w:ascii="Times New Roman" w:hAnsi="Times New Roman" w:cs="Times New Roman"/>
                <w:bCs/>
                <w:color w:val="auto"/>
                <w:sz w:val="24"/>
                <w:szCs w:val="24"/>
                <w:lang w:bidi="ar"/>
              </w:rPr>
            </w:pPr>
            <w:r>
              <w:rPr>
                <w:rFonts w:hint="default" w:ascii="Times New Roman" w:hAnsi="Times New Roman" w:cs="Times New Roman"/>
                <w:bCs/>
                <w:color w:val="auto"/>
                <w:sz w:val="24"/>
                <w:szCs w:val="24"/>
                <w:lang w:bidi="ar"/>
              </w:rPr>
              <w:t>根据《广东省地表水环境功能区划》（粤环〔2011〕14号），本项目所在区域主要地表水及纳污水体为武江（乐昌城-犁市），为Ⅲ类水质功能区，执行《地表水环境质量标准》（GB3838-2002）中的Ⅲ类标准。</w:t>
            </w:r>
          </w:p>
          <w:p w14:paraId="0686FBD5">
            <w:pPr>
              <w:widowControl/>
              <w:adjustRightInd w:val="0"/>
              <w:snapToGrid w:val="0"/>
              <w:spacing w:line="360" w:lineRule="auto"/>
              <w:ind w:firstLine="480" w:firstLineChars="200"/>
              <w:jc w:val="left"/>
              <w:rPr>
                <w:rFonts w:hint="default" w:ascii="Times New Roman" w:hAnsi="Times New Roman" w:cs="Times New Roman"/>
                <w:bCs/>
                <w:color w:val="auto"/>
                <w:sz w:val="24"/>
                <w:szCs w:val="24"/>
                <w:lang w:bidi="ar"/>
              </w:rPr>
            </w:pPr>
            <w:r>
              <w:rPr>
                <w:rFonts w:hint="default" w:ascii="Times New Roman" w:hAnsi="Times New Roman" w:cs="Times New Roman"/>
                <w:bCs/>
                <w:color w:val="auto"/>
                <w:sz w:val="24"/>
                <w:szCs w:val="24"/>
                <w:lang w:bidi="ar"/>
              </w:rPr>
              <w:t>根据《建设项目环境影响报告表编制技术指南（污染影响类）（试行）》要求“引用与建设项目距离近的有效数据，包括近3年的规划环境影响评价的监测数据，所在流域控制单元内国家、地方控制断面监测数据，生态环境主管部门发布的水环境质量数据或地表水达标情况的结论。”根据《韶关市生态环境状况公报（2024年）》，2024 年，韶关市11条主要江河（北江、武江、浈江、南水河、墨江、锦江、马坝河、滃江、新丰江、横石水和大潭河）34个市考以上手工监测断面水质优良率为 100%，与2023年持平，其中Ⅰ类比例为2.9%、Ⅱ类比例为88.2%、Ⅲ类比例为8.8%。</w:t>
            </w:r>
          </w:p>
          <w:p w14:paraId="0377D042">
            <w:pPr>
              <w:adjustRightInd w:val="0"/>
              <w:snapToGrid w:val="0"/>
              <w:spacing w:line="360" w:lineRule="auto"/>
              <w:ind w:firstLine="480" w:firstLineChars="200"/>
              <w:jc w:val="left"/>
              <w:rPr>
                <w:bCs/>
                <w:color w:val="auto"/>
                <w:sz w:val="24"/>
                <w:szCs w:val="24"/>
              </w:rPr>
            </w:pPr>
            <w:r>
              <w:rPr>
                <w:rFonts w:hint="default" w:ascii="Times New Roman" w:hAnsi="Times New Roman" w:cs="Times New Roman"/>
                <w:bCs/>
                <w:color w:val="auto"/>
                <w:sz w:val="24"/>
                <w:szCs w:val="24"/>
                <w:lang w:bidi="ar"/>
              </w:rPr>
              <w:t>故项目所在地地表水环境质量现状良好，所在区域的地表水环境为达标区。</w:t>
            </w:r>
            <w:r>
              <w:rPr>
                <w:bCs/>
                <w:color w:val="auto"/>
                <w:sz w:val="24"/>
                <w:szCs w:val="24"/>
                <w:lang w:bidi="ar"/>
              </w:rPr>
              <w:t xml:space="preserve"> </w:t>
            </w:r>
          </w:p>
          <w:p w14:paraId="267D1818">
            <w:pPr>
              <w:adjustRightInd w:val="0"/>
              <w:snapToGrid w:val="0"/>
              <w:spacing w:line="360" w:lineRule="auto"/>
              <w:jc w:val="left"/>
              <w:rPr>
                <w:b/>
                <w:color w:val="auto"/>
                <w:kern w:val="0"/>
                <w:sz w:val="24"/>
                <w:szCs w:val="24"/>
              </w:rPr>
            </w:pPr>
            <w:r>
              <w:rPr>
                <w:b/>
                <w:color w:val="auto"/>
                <w:kern w:val="0"/>
                <w:sz w:val="24"/>
                <w:szCs w:val="24"/>
              </w:rPr>
              <w:t>三、声环境质量现状</w:t>
            </w:r>
          </w:p>
          <w:p w14:paraId="28121953">
            <w:pPr>
              <w:spacing w:line="360" w:lineRule="auto"/>
              <w:ind w:firstLine="480" w:firstLineChars="200"/>
              <w:jc w:val="left"/>
              <w:rPr>
                <w:color w:val="auto"/>
                <w:sz w:val="24"/>
                <w:szCs w:val="24"/>
              </w:rPr>
            </w:pPr>
            <w:r>
              <w:rPr>
                <w:color w:val="auto"/>
                <w:sz w:val="24"/>
                <w:szCs w:val="24"/>
              </w:rPr>
              <w:t>项目所在地为工业园区内，根据《乐昌市人民政府关于印发乐昌市声环境功能区划方案的通知》（乐府〔2022〕40号）（见附图14），本项目属于声环境功能3类区，声环境功能执行《声环境质量标准》（GB3096-2008）中的3类标准</w:t>
            </w:r>
            <w:r>
              <w:rPr>
                <w:color w:val="auto"/>
                <w:sz w:val="24"/>
                <w:szCs w:val="24"/>
                <w:lang w:val="zh-CN"/>
              </w:rPr>
              <w:t>（即昼间</w:t>
            </w:r>
            <w:r>
              <w:rPr>
                <w:color w:val="auto"/>
                <w:sz w:val="24"/>
                <w:szCs w:val="24"/>
              </w:rPr>
              <w:t>65dB(A)</w:t>
            </w:r>
            <w:r>
              <w:rPr>
                <w:color w:val="auto"/>
                <w:sz w:val="24"/>
                <w:szCs w:val="24"/>
                <w:lang w:val="zh-CN"/>
              </w:rPr>
              <w:t>、夜间</w:t>
            </w:r>
            <w:r>
              <w:rPr>
                <w:color w:val="auto"/>
                <w:sz w:val="24"/>
                <w:szCs w:val="24"/>
              </w:rPr>
              <w:t>55dB(A)）。</w:t>
            </w:r>
          </w:p>
          <w:p w14:paraId="59625F5D">
            <w:pPr>
              <w:spacing w:line="360" w:lineRule="auto"/>
              <w:ind w:firstLine="480" w:firstLineChars="200"/>
              <w:jc w:val="left"/>
              <w:rPr>
                <w:bCs/>
                <w:color w:val="auto"/>
                <w:sz w:val="24"/>
                <w:szCs w:val="24"/>
              </w:rPr>
            </w:pPr>
            <w:r>
              <w:rPr>
                <w:color w:val="auto"/>
                <w:sz w:val="24"/>
                <w:szCs w:val="24"/>
              </w:rPr>
              <w:t>项目厂界外50m内无环境保护目标，故不需进行现状监测。</w:t>
            </w:r>
          </w:p>
          <w:p w14:paraId="2DF1674D">
            <w:pPr>
              <w:adjustRightInd w:val="0"/>
              <w:snapToGrid w:val="0"/>
              <w:spacing w:line="360" w:lineRule="auto"/>
              <w:jc w:val="left"/>
              <w:rPr>
                <w:b/>
                <w:color w:val="auto"/>
                <w:kern w:val="0"/>
                <w:sz w:val="24"/>
                <w:szCs w:val="24"/>
              </w:rPr>
            </w:pPr>
            <w:r>
              <w:rPr>
                <w:b/>
                <w:color w:val="auto"/>
                <w:kern w:val="0"/>
                <w:sz w:val="24"/>
                <w:szCs w:val="24"/>
              </w:rPr>
              <w:t>四、地下水、土壤环境质量现状</w:t>
            </w:r>
          </w:p>
          <w:p w14:paraId="2114B9C2">
            <w:pPr>
              <w:spacing w:line="360" w:lineRule="auto"/>
              <w:ind w:firstLine="480" w:firstLineChars="200"/>
              <w:jc w:val="left"/>
              <w:rPr>
                <w:bCs/>
                <w:color w:val="auto"/>
                <w:sz w:val="24"/>
                <w:szCs w:val="24"/>
              </w:rPr>
            </w:pPr>
            <w:r>
              <w:rPr>
                <w:bCs/>
                <w:color w:val="auto"/>
                <w:sz w:val="24"/>
                <w:szCs w:val="24"/>
              </w:rPr>
              <w:t>根据《建设项目环境影响报告表编制技术指南（污染影响类）（试行）》，原则上不开展地下水、土壤环境质量现状</w:t>
            </w:r>
            <w:r>
              <w:rPr>
                <w:color w:val="auto"/>
                <w:sz w:val="24"/>
                <w:szCs w:val="24"/>
              </w:rPr>
              <w:t>调查。本项目</w:t>
            </w:r>
            <w:r>
              <w:rPr>
                <w:rFonts w:hint="eastAsia"/>
                <w:color w:val="auto"/>
                <w:sz w:val="24"/>
                <w:szCs w:val="24"/>
                <w:lang w:val="en-US" w:eastAsia="zh-CN"/>
              </w:rPr>
              <w:t>租用的</w:t>
            </w:r>
            <w:r>
              <w:rPr>
                <w:color w:val="auto"/>
                <w:sz w:val="24"/>
                <w:szCs w:val="24"/>
              </w:rPr>
              <w:t>已建厂房内均进行地面硬底化，不存在大气沉降、地表漫流、地下渗流等土壤污染途径，因此不开展</w:t>
            </w:r>
            <w:r>
              <w:rPr>
                <w:bCs/>
                <w:color w:val="auto"/>
                <w:sz w:val="24"/>
                <w:szCs w:val="24"/>
              </w:rPr>
              <w:t>土壤环境质量现状调查</w:t>
            </w:r>
            <w:r>
              <w:rPr>
                <w:color w:val="auto"/>
                <w:sz w:val="24"/>
                <w:szCs w:val="24"/>
              </w:rPr>
              <w:t>。</w:t>
            </w:r>
            <w:r>
              <w:rPr>
                <w:bCs/>
                <w:color w:val="auto"/>
                <w:sz w:val="24"/>
                <w:szCs w:val="24"/>
              </w:rPr>
              <w:t>本项目</w:t>
            </w:r>
            <w:r>
              <w:rPr>
                <w:color w:val="auto"/>
                <w:sz w:val="24"/>
                <w:szCs w:val="24"/>
              </w:rPr>
              <w:t>正常情况下</w:t>
            </w:r>
            <w:r>
              <w:rPr>
                <w:bCs/>
                <w:color w:val="auto"/>
                <w:sz w:val="24"/>
                <w:szCs w:val="24"/>
              </w:rPr>
              <w:t>不存在地下水污染途径，项目所在区域不存在地下水环境保护目标，</w:t>
            </w:r>
            <w:r>
              <w:rPr>
                <w:color w:val="auto"/>
                <w:sz w:val="24"/>
                <w:szCs w:val="24"/>
              </w:rPr>
              <w:t>因此不开展</w:t>
            </w:r>
            <w:r>
              <w:rPr>
                <w:bCs/>
                <w:color w:val="auto"/>
                <w:sz w:val="24"/>
                <w:szCs w:val="24"/>
              </w:rPr>
              <w:t>地下水环境质量现状调查</w:t>
            </w:r>
            <w:r>
              <w:rPr>
                <w:color w:val="auto"/>
                <w:sz w:val="24"/>
                <w:szCs w:val="24"/>
              </w:rPr>
              <w:t>。</w:t>
            </w:r>
          </w:p>
          <w:p w14:paraId="33271793">
            <w:pPr>
              <w:adjustRightInd w:val="0"/>
              <w:snapToGrid w:val="0"/>
              <w:spacing w:line="360" w:lineRule="auto"/>
              <w:jc w:val="left"/>
              <w:rPr>
                <w:b/>
                <w:color w:val="auto"/>
                <w:kern w:val="0"/>
                <w:sz w:val="24"/>
                <w:szCs w:val="24"/>
              </w:rPr>
            </w:pPr>
            <w:r>
              <w:rPr>
                <w:b/>
                <w:color w:val="auto"/>
                <w:kern w:val="0"/>
                <w:sz w:val="24"/>
                <w:szCs w:val="24"/>
              </w:rPr>
              <w:t>五、生态环境质量现状</w:t>
            </w:r>
          </w:p>
          <w:p w14:paraId="7DC042E8">
            <w:pPr>
              <w:pStyle w:val="31"/>
              <w:spacing w:after="0" w:line="360" w:lineRule="auto"/>
              <w:ind w:firstLine="480"/>
              <w:rPr>
                <w:color w:val="auto"/>
                <w:kern w:val="0"/>
                <w:szCs w:val="21"/>
              </w:rPr>
            </w:pPr>
            <w:r>
              <w:rPr>
                <w:color w:val="auto"/>
                <w:sz w:val="24"/>
                <w:szCs w:val="24"/>
              </w:rPr>
              <w:t>本项目位于乐昌市乐昌产业转移工业园内，根据现场勘踏和调查，项目用地范围内不含生态环境保护目标，不需进行生态环境调查。</w:t>
            </w:r>
          </w:p>
        </w:tc>
      </w:tr>
      <w:tr w14:paraId="58E8E2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369" w:type="dxa"/>
            <w:vAlign w:val="center"/>
          </w:tcPr>
          <w:p w14:paraId="7CFA6FE5">
            <w:pPr>
              <w:adjustRightInd w:val="0"/>
              <w:snapToGrid w:val="0"/>
              <w:jc w:val="center"/>
              <w:rPr>
                <w:color w:val="auto"/>
                <w:kern w:val="0"/>
                <w:szCs w:val="21"/>
              </w:rPr>
            </w:pPr>
            <w:r>
              <w:rPr>
                <w:color w:val="auto"/>
                <w:kern w:val="0"/>
                <w:szCs w:val="21"/>
              </w:rPr>
              <w:t>环境</w:t>
            </w:r>
          </w:p>
          <w:p w14:paraId="2EA39ABB">
            <w:pPr>
              <w:adjustRightInd w:val="0"/>
              <w:snapToGrid w:val="0"/>
              <w:jc w:val="center"/>
              <w:rPr>
                <w:color w:val="auto"/>
                <w:kern w:val="0"/>
                <w:szCs w:val="21"/>
              </w:rPr>
            </w:pPr>
            <w:r>
              <w:rPr>
                <w:color w:val="auto"/>
                <w:kern w:val="0"/>
                <w:szCs w:val="21"/>
              </w:rPr>
              <w:t>保护</w:t>
            </w:r>
          </w:p>
          <w:p w14:paraId="5573B932">
            <w:pPr>
              <w:adjustRightInd w:val="0"/>
              <w:snapToGrid w:val="0"/>
              <w:jc w:val="center"/>
              <w:rPr>
                <w:color w:val="auto"/>
                <w:kern w:val="0"/>
                <w:szCs w:val="21"/>
              </w:rPr>
            </w:pPr>
            <w:r>
              <w:rPr>
                <w:color w:val="auto"/>
                <w:kern w:val="0"/>
                <w:szCs w:val="21"/>
              </w:rPr>
              <w:t>目标</w:t>
            </w:r>
          </w:p>
        </w:tc>
        <w:tc>
          <w:tcPr>
            <w:tcW w:w="8631" w:type="dxa"/>
          </w:tcPr>
          <w:p w14:paraId="53949505">
            <w:pPr>
              <w:adjustRightInd w:val="0"/>
              <w:snapToGrid w:val="0"/>
              <w:spacing w:line="360" w:lineRule="auto"/>
              <w:ind w:firstLine="482" w:firstLineChars="200"/>
              <w:jc w:val="left"/>
              <w:rPr>
                <w:b/>
                <w:color w:val="auto"/>
                <w:kern w:val="0"/>
                <w:sz w:val="24"/>
                <w:szCs w:val="24"/>
              </w:rPr>
            </w:pPr>
            <w:r>
              <w:rPr>
                <w:b/>
                <w:color w:val="auto"/>
                <w:kern w:val="0"/>
                <w:sz w:val="24"/>
                <w:szCs w:val="24"/>
              </w:rPr>
              <w:t>1、大气环境保护目标</w:t>
            </w:r>
          </w:p>
          <w:p w14:paraId="0625C333">
            <w:pPr>
              <w:spacing w:line="360" w:lineRule="auto"/>
              <w:ind w:firstLine="480" w:firstLineChars="200"/>
              <w:rPr>
                <w:bCs/>
                <w:color w:val="auto"/>
                <w:sz w:val="24"/>
                <w:szCs w:val="24"/>
              </w:rPr>
            </w:pPr>
            <w:r>
              <w:rPr>
                <w:bCs/>
                <w:color w:val="auto"/>
                <w:sz w:val="24"/>
                <w:szCs w:val="24"/>
              </w:rPr>
              <w:t>本项目厂界外500m范围内大气保护目标具体如下。</w:t>
            </w:r>
          </w:p>
          <w:p w14:paraId="71BE41F5">
            <w:pPr>
              <w:pStyle w:val="16"/>
              <w:autoSpaceDE w:val="0"/>
              <w:autoSpaceDN w:val="0"/>
              <w:adjustRightInd w:val="0"/>
              <w:snapToGrid w:val="0"/>
              <w:jc w:val="center"/>
              <w:rPr>
                <w:rFonts w:ascii="Times New Roman" w:hAnsi="Times New Roman" w:eastAsia="宋体"/>
                <w:b/>
                <w:bCs/>
                <w:color w:val="auto"/>
                <w:kern w:val="0"/>
                <w:sz w:val="24"/>
                <w:szCs w:val="24"/>
              </w:rPr>
            </w:pPr>
            <w:r>
              <w:rPr>
                <w:rFonts w:ascii="Times New Roman" w:hAnsi="Times New Roman" w:eastAsia="宋体"/>
                <w:b/>
                <w:bCs/>
                <w:color w:val="auto"/>
                <w:kern w:val="0"/>
                <w:sz w:val="24"/>
                <w:szCs w:val="24"/>
              </w:rPr>
              <w:t>表</w:t>
            </w:r>
            <w:r>
              <w:rPr>
                <w:rFonts w:ascii="Times New Roman" w:hAnsi="Times New Roman" w:eastAsia="宋体"/>
                <w:b/>
                <w:bCs/>
                <w:color w:val="auto"/>
                <w:kern w:val="0"/>
                <w:sz w:val="24"/>
                <w:szCs w:val="24"/>
              </w:rPr>
              <w:fldChar w:fldCharType="begin"/>
            </w:r>
            <w:r>
              <w:rPr>
                <w:rFonts w:ascii="Times New Roman" w:hAnsi="Times New Roman" w:eastAsia="宋体"/>
                <w:b/>
                <w:bCs/>
                <w:color w:val="auto"/>
                <w:kern w:val="0"/>
                <w:sz w:val="24"/>
                <w:szCs w:val="24"/>
              </w:rPr>
              <w:instrText xml:space="preserve"> SEQ 表 \* ARABIC </w:instrText>
            </w:r>
            <w:r>
              <w:rPr>
                <w:rFonts w:ascii="Times New Roman" w:hAnsi="Times New Roman" w:eastAsia="宋体"/>
                <w:b/>
                <w:bCs/>
                <w:color w:val="auto"/>
                <w:kern w:val="0"/>
                <w:sz w:val="24"/>
                <w:szCs w:val="24"/>
              </w:rPr>
              <w:fldChar w:fldCharType="separate"/>
            </w:r>
            <w:r>
              <w:rPr>
                <w:rFonts w:ascii="Times New Roman" w:hAnsi="Times New Roman" w:eastAsia="宋体"/>
                <w:b/>
                <w:bCs/>
                <w:color w:val="auto"/>
                <w:kern w:val="0"/>
                <w:sz w:val="24"/>
                <w:szCs w:val="24"/>
              </w:rPr>
              <w:t>17</w:t>
            </w:r>
            <w:r>
              <w:rPr>
                <w:rFonts w:ascii="Times New Roman" w:hAnsi="Times New Roman" w:eastAsia="宋体"/>
                <w:b/>
                <w:bCs/>
                <w:color w:val="auto"/>
                <w:kern w:val="0"/>
                <w:sz w:val="24"/>
                <w:szCs w:val="24"/>
              </w:rPr>
              <w:fldChar w:fldCharType="end"/>
            </w:r>
            <w:r>
              <w:rPr>
                <w:rFonts w:ascii="Times New Roman" w:hAnsi="Times New Roman" w:eastAsia="宋体"/>
                <w:b/>
                <w:bCs/>
                <w:color w:val="auto"/>
                <w:kern w:val="0"/>
                <w:sz w:val="24"/>
                <w:szCs w:val="24"/>
              </w:rPr>
              <w:t xml:space="preserve">  厂界外500m范围内大气环境保护目标</w:t>
            </w:r>
          </w:p>
          <w:tbl>
            <w:tblPr>
              <w:tblStyle w:val="3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703"/>
              <w:gridCol w:w="691"/>
              <w:gridCol w:w="1205"/>
              <w:gridCol w:w="1257"/>
              <w:gridCol w:w="1230"/>
              <w:gridCol w:w="933"/>
              <w:gridCol w:w="1174"/>
            </w:tblGrid>
            <w:tr w14:paraId="738C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718" w:type="pct"/>
                  <w:vMerge w:val="restart"/>
                  <w:vAlign w:val="center"/>
                </w:tcPr>
                <w:p w14:paraId="2AF54A51">
                  <w:pPr>
                    <w:adjustRightInd w:val="0"/>
                    <w:snapToGrid w:val="0"/>
                    <w:jc w:val="center"/>
                    <w:rPr>
                      <w:b/>
                      <w:bCs/>
                      <w:color w:val="auto"/>
                      <w:kern w:val="0"/>
                      <w:szCs w:val="21"/>
                    </w:rPr>
                  </w:pPr>
                  <w:r>
                    <w:rPr>
                      <w:b/>
                      <w:bCs/>
                      <w:color w:val="auto"/>
                      <w:kern w:val="0"/>
                      <w:szCs w:val="21"/>
                    </w:rPr>
                    <w:t>敏感点名称</w:t>
                  </w:r>
                </w:p>
              </w:tc>
              <w:tc>
                <w:tcPr>
                  <w:tcW w:w="829" w:type="pct"/>
                  <w:gridSpan w:val="2"/>
                  <w:vAlign w:val="center"/>
                </w:tcPr>
                <w:p w14:paraId="1F30D813">
                  <w:pPr>
                    <w:adjustRightInd w:val="0"/>
                    <w:snapToGrid w:val="0"/>
                    <w:jc w:val="center"/>
                    <w:rPr>
                      <w:b/>
                      <w:bCs/>
                      <w:color w:val="auto"/>
                    </w:rPr>
                  </w:pPr>
                  <w:r>
                    <w:rPr>
                      <w:b/>
                      <w:bCs/>
                      <w:color w:val="auto"/>
                    </w:rPr>
                    <w:t>坐标/m</w:t>
                  </w:r>
                </w:p>
              </w:tc>
              <w:tc>
                <w:tcPr>
                  <w:tcW w:w="717" w:type="pct"/>
                  <w:vMerge w:val="restart"/>
                  <w:vAlign w:val="center"/>
                </w:tcPr>
                <w:p w14:paraId="2FDE11CB">
                  <w:pPr>
                    <w:adjustRightInd w:val="0"/>
                    <w:snapToGrid w:val="0"/>
                    <w:jc w:val="center"/>
                    <w:rPr>
                      <w:b/>
                      <w:bCs/>
                      <w:color w:val="auto"/>
                      <w:kern w:val="0"/>
                      <w:szCs w:val="21"/>
                    </w:rPr>
                  </w:pPr>
                  <w:r>
                    <w:rPr>
                      <w:b/>
                      <w:bCs/>
                      <w:color w:val="auto"/>
                      <w:kern w:val="0"/>
                      <w:szCs w:val="21"/>
                    </w:rPr>
                    <w:t>保护对象</w:t>
                  </w:r>
                </w:p>
              </w:tc>
              <w:tc>
                <w:tcPr>
                  <w:tcW w:w="748" w:type="pct"/>
                  <w:vMerge w:val="restart"/>
                  <w:vAlign w:val="center"/>
                </w:tcPr>
                <w:p w14:paraId="755D57C2">
                  <w:pPr>
                    <w:adjustRightInd w:val="0"/>
                    <w:snapToGrid w:val="0"/>
                    <w:jc w:val="center"/>
                    <w:rPr>
                      <w:b/>
                      <w:bCs/>
                      <w:color w:val="auto"/>
                      <w:kern w:val="0"/>
                      <w:szCs w:val="21"/>
                    </w:rPr>
                  </w:pPr>
                  <w:r>
                    <w:rPr>
                      <w:b/>
                      <w:bCs/>
                      <w:color w:val="auto"/>
                      <w:kern w:val="0"/>
                      <w:szCs w:val="21"/>
                    </w:rPr>
                    <w:t>保护内容</w:t>
                  </w:r>
                </w:p>
              </w:tc>
              <w:tc>
                <w:tcPr>
                  <w:tcW w:w="732" w:type="pct"/>
                  <w:vMerge w:val="restart"/>
                  <w:vAlign w:val="center"/>
                </w:tcPr>
                <w:p w14:paraId="18FCA477">
                  <w:pPr>
                    <w:adjustRightInd w:val="0"/>
                    <w:snapToGrid w:val="0"/>
                    <w:jc w:val="center"/>
                    <w:rPr>
                      <w:b/>
                      <w:bCs/>
                      <w:color w:val="auto"/>
                      <w:kern w:val="0"/>
                      <w:szCs w:val="21"/>
                    </w:rPr>
                  </w:pPr>
                  <w:r>
                    <w:rPr>
                      <w:b/>
                      <w:bCs/>
                      <w:color w:val="auto"/>
                      <w:kern w:val="0"/>
                      <w:szCs w:val="21"/>
                    </w:rPr>
                    <w:t>环境功能区</w:t>
                  </w:r>
                </w:p>
              </w:tc>
              <w:tc>
                <w:tcPr>
                  <w:tcW w:w="555" w:type="pct"/>
                  <w:vMerge w:val="restart"/>
                  <w:vAlign w:val="center"/>
                </w:tcPr>
                <w:p w14:paraId="2F3E2DCB">
                  <w:pPr>
                    <w:adjustRightInd w:val="0"/>
                    <w:snapToGrid w:val="0"/>
                    <w:jc w:val="center"/>
                    <w:rPr>
                      <w:b/>
                      <w:bCs/>
                      <w:color w:val="auto"/>
                      <w:kern w:val="0"/>
                      <w:szCs w:val="21"/>
                    </w:rPr>
                  </w:pPr>
                  <w:r>
                    <w:rPr>
                      <w:b/>
                      <w:bCs/>
                      <w:color w:val="auto"/>
                      <w:kern w:val="0"/>
                      <w:szCs w:val="21"/>
                    </w:rPr>
                    <w:t>相对厂址方位</w:t>
                  </w:r>
                </w:p>
              </w:tc>
              <w:tc>
                <w:tcPr>
                  <w:tcW w:w="698" w:type="pct"/>
                  <w:vMerge w:val="restart"/>
                  <w:vAlign w:val="center"/>
                </w:tcPr>
                <w:p w14:paraId="7F6F7FF0">
                  <w:pPr>
                    <w:adjustRightInd w:val="0"/>
                    <w:snapToGrid w:val="0"/>
                    <w:jc w:val="center"/>
                    <w:rPr>
                      <w:b/>
                      <w:bCs/>
                      <w:color w:val="auto"/>
                      <w:kern w:val="0"/>
                      <w:szCs w:val="21"/>
                    </w:rPr>
                  </w:pPr>
                  <w:r>
                    <w:rPr>
                      <w:b/>
                      <w:bCs/>
                      <w:color w:val="auto"/>
                      <w:kern w:val="0"/>
                      <w:szCs w:val="21"/>
                    </w:rPr>
                    <w:t>相对厂界距离</w:t>
                  </w:r>
                </w:p>
              </w:tc>
            </w:tr>
            <w:tr w14:paraId="4105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trPr>
              <w:tc>
                <w:tcPr>
                  <w:tcW w:w="718" w:type="pct"/>
                  <w:vMerge w:val="continue"/>
                  <w:vAlign w:val="center"/>
                </w:tcPr>
                <w:p w14:paraId="5DF7A171">
                  <w:pPr>
                    <w:adjustRightInd w:val="0"/>
                    <w:snapToGrid w:val="0"/>
                    <w:jc w:val="center"/>
                    <w:rPr>
                      <w:b/>
                      <w:bCs/>
                      <w:color w:val="auto"/>
                      <w:kern w:val="0"/>
                      <w:szCs w:val="21"/>
                    </w:rPr>
                  </w:pPr>
                </w:p>
              </w:tc>
              <w:tc>
                <w:tcPr>
                  <w:tcW w:w="418" w:type="pct"/>
                  <w:vAlign w:val="center"/>
                </w:tcPr>
                <w:p w14:paraId="7FF9418A">
                  <w:pPr>
                    <w:adjustRightInd w:val="0"/>
                    <w:snapToGrid w:val="0"/>
                    <w:jc w:val="center"/>
                    <w:rPr>
                      <w:b/>
                      <w:bCs/>
                      <w:color w:val="auto"/>
                      <w:kern w:val="0"/>
                      <w:szCs w:val="21"/>
                    </w:rPr>
                  </w:pPr>
                  <w:r>
                    <w:rPr>
                      <w:b/>
                      <w:bCs/>
                      <w:color w:val="auto"/>
                      <w:kern w:val="0"/>
                      <w:szCs w:val="21"/>
                    </w:rPr>
                    <w:t>x</w:t>
                  </w:r>
                </w:p>
              </w:tc>
              <w:tc>
                <w:tcPr>
                  <w:tcW w:w="411" w:type="pct"/>
                  <w:vAlign w:val="center"/>
                </w:tcPr>
                <w:p w14:paraId="18545501">
                  <w:pPr>
                    <w:adjustRightInd w:val="0"/>
                    <w:snapToGrid w:val="0"/>
                    <w:jc w:val="center"/>
                    <w:rPr>
                      <w:b/>
                      <w:bCs/>
                      <w:color w:val="auto"/>
                      <w:kern w:val="0"/>
                      <w:szCs w:val="21"/>
                    </w:rPr>
                  </w:pPr>
                  <w:r>
                    <w:rPr>
                      <w:b/>
                      <w:bCs/>
                      <w:color w:val="auto"/>
                      <w:kern w:val="0"/>
                      <w:szCs w:val="21"/>
                    </w:rPr>
                    <w:t>y</w:t>
                  </w:r>
                </w:p>
              </w:tc>
              <w:tc>
                <w:tcPr>
                  <w:tcW w:w="717" w:type="pct"/>
                  <w:vMerge w:val="continue"/>
                  <w:vAlign w:val="center"/>
                </w:tcPr>
                <w:p w14:paraId="764DC33A">
                  <w:pPr>
                    <w:adjustRightInd w:val="0"/>
                    <w:snapToGrid w:val="0"/>
                    <w:jc w:val="center"/>
                    <w:rPr>
                      <w:b/>
                      <w:bCs/>
                      <w:color w:val="auto"/>
                      <w:kern w:val="0"/>
                      <w:szCs w:val="21"/>
                    </w:rPr>
                  </w:pPr>
                </w:p>
              </w:tc>
              <w:tc>
                <w:tcPr>
                  <w:tcW w:w="748" w:type="pct"/>
                  <w:vMerge w:val="continue"/>
                  <w:vAlign w:val="center"/>
                </w:tcPr>
                <w:p w14:paraId="20478D4C">
                  <w:pPr>
                    <w:adjustRightInd w:val="0"/>
                    <w:snapToGrid w:val="0"/>
                    <w:jc w:val="center"/>
                    <w:rPr>
                      <w:b/>
                      <w:bCs/>
                      <w:color w:val="auto"/>
                      <w:kern w:val="0"/>
                      <w:szCs w:val="21"/>
                    </w:rPr>
                  </w:pPr>
                </w:p>
              </w:tc>
              <w:tc>
                <w:tcPr>
                  <w:tcW w:w="732" w:type="pct"/>
                  <w:vMerge w:val="continue"/>
                  <w:vAlign w:val="center"/>
                </w:tcPr>
                <w:p w14:paraId="74044E95">
                  <w:pPr>
                    <w:adjustRightInd w:val="0"/>
                    <w:snapToGrid w:val="0"/>
                    <w:jc w:val="center"/>
                    <w:rPr>
                      <w:b/>
                      <w:bCs/>
                      <w:color w:val="auto"/>
                      <w:kern w:val="0"/>
                      <w:szCs w:val="21"/>
                    </w:rPr>
                  </w:pPr>
                </w:p>
              </w:tc>
              <w:tc>
                <w:tcPr>
                  <w:tcW w:w="555" w:type="pct"/>
                  <w:vMerge w:val="continue"/>
                  <w:vAlign w:val="center"/>
                </w:tcPr>
                <w:p w14:paraId="6447B040">
                  <w:pPr>
                    <w:adjustRightInd w:val="0"/>
                    <w:snapToGrid w:val="0"/>
                    <w:jc w:val="center"/>
                    <w:rPr>
                      <w:b/>
                      <w:bCs/>
                      <w:color w:val="auto"/>
                      <w:kern w:val="0"/>
                      <w:szCs w:val="21"/>
                    </w:rPr>
                  </w:pPr>
                </w:p>
              </w:tc>
              <w:tc>
                <w:tcPr>
                  <w:tcW w:w="698" w:type="pct"/>
                  <w:vMerge w:val="continue"/>
                  <w:vAlign w:val="center"/>
                </w:tcPr>
                <w:p w14:paraId="2D41667C">
                  <w:pPr>
                    <w:adjustRightInd w:val="0"/>
                    <w:snapToGrid w:val="0"/>
                    <w:jc w:val="center"/>
                    <w:rPr>
                      <w:b/>
                      <w:bCs/>
                      <w:color w:val="auto"/>
                      <w:kern w:val="0"/>
                      <w:szCs w:val="21"/>
                    </w:rPr>
                  </w:pPr>
                </w:p>
              </w:tc>
            </w:tr>
            <w:tr w14:paraId="1C02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18" w:type="pct"/>
                  <w:vAlign w:val="center"/>
                </w:tcPr>
                <w:p w14:paraId="09CE8B10">
                  <w:pPr>
                    <w:adjustRightInd w:val="0"/>
                    <w:snapToGrid w:val="0"/>
                    <w:jc w:val="center"/>
                    <w:rPr>
                      <w:color w:val="auto"/>
                      <w:kern w:val="0"/>
                      <w:szCs w:val="21"/>
                    </w:rPr>
                  </w:pPr>
                  <w:r>
                    <w:rPr>
                      <w:color w:val="auto"/>
                      <w:kern w:val="0"/>
                      <w:szCs w:val="21"/>
                    </w:rPr>
                    <w:t>江屋村</w:t>
                  </w:r>
                </w:p>
              </w:tc>
              <w:tc>
                <w:tcPr>
                  <w:tcW w:w="418" w:type="pct"/>
                  <w:vAlign w:val="center"/>
                </w:tcPr>
                <w:p w14:paraId="53B9A7A6">
                  <w:pPr>
                    <w:adjustRightInd w:val="0"/>
                    <w:snapToGrid w:val="0"/>
                    <w:jc w:val="center"/>
                    <w:rPr>
                      <w:color w:val="auto"/>
                      <w:kern w:val="0"/>
                      <w:szCs w:val="21"/>
                    </w:rPr>
                  </w:pPr>
                  <w:r>
                    <w:rPr>
                      <w:color w:val="auto"/>
                      <w:kern w:val="0"/>
                      <w:szCs w:val="21"/>
                    </w:rPr>
                    <w:t>480</w:t>
                  </w:r>
                </w:p>
              </w:tc>
              <w:tc>
                <w:tcPr>
                  <w:tcW w:w="411" w:type="pct"/>
                  <w:vAlign w:val="center"/>
                </w:tcPr>
                <w:p w14:paraId="1461660C">
                  <w:pPr>
                    <w:adjustRightInd w:val="0"/>
                    <w:snapToGrid w:val="0"/>
                    <w:jc w:val="center"/>
                    <w:rPr>
                      <w:color w:val="auto"/>
                      <w:kern w:val="0"/>
                      <w:szCs w:val="21"/>
                    </w:rPr>
                  </w:pPr>
                  <w:r>
                    <w:rPr>
                      <w:color w:val="auto"/>
                      <w:kern w:val="0"/>
                      <w:szCs w:val="21"/>
                    </w:rPr>
                    <w:t>-210</w:t>
                  </w:r>
                </w:p>
              </w:tc>
              <w:tc>
                <w:tcPr>
                  <w:tcW w:w="717" w:type="pct"/>
                  <w:vAlign w:val="center"/>
                </w:tcPr>
                <w:p w14:paraId="77948C8F">
                  <w:pPr>
                    <w:adjustRightInd w:val="0"/>
                    <w:snapToGrid w:val="0"/>
                    <w:jc w:val="center"/>
                    <w:rPr>
                      <w:color w:val="auto"/>
                      <w:kern w:val="0"/>
                      <w:szCs w:val="21"/>
                    </w:rPr>
                  </w:pPr>
                  <w:r>
                    <w:rPr>
                      <w:color w:val="auto"/>
                      <w:kern w:val="0"/>
                      <w:szCs w:val="21"/>
                    </w:rPr>
                    <w:t>村民</w:t>
                  </w:r>
                </w:p>
              </w:tc>
              <w:tc>
                <w:tcPr>
                  <w:tcW w:w="748" w:type="pct"/>
                  <w:vAlign w:val="center"/>
                </w:tcPr>
                <w:p w14:paraId="18E13E9E">
                  <w:pPr>
                    <w:adjustRightInd w:val="0"/>
                    <w:snapToGrid w:val="0"/>
                    <w:jc w:val="center"/>
                    <w:rPr>
                      <w:color w:val="auto"/>
                      <w:kern w:val="0"/>
                      <w:szCs w:val="21"/>
                    </w:rPr>
                  </w:pPr>
                  <w:r>
                    <w:rPr>
                      <w:color w:val="auto"/>
                      <w:kern w:val="0"/>
                      <w:szCs w:val="21"/>
                    </w:rPr>
                    <w:t>环境空气</w:t>
                  </w:r>
                </w:p>
              </w:tc>
              <w:tc>
                <w:tcPr>
                  <w:tcW w:w="732" w:type="pct"/>
                  <w:vAlign w:val="center"/>
                </w:tcPr>
                <w:p w14:paraId="142BDFD5">
                  <w:pPr>
                    <w:adjustRightInd w:val="0"/>
                    <w:snapToGrid w:val="0"/>
                    <w:jc w:val="center"/>
                    <w:rPr>
                      <w:color w:val="auto"/>
                      <w:kern w:val="0"/>
                      <w:szCs w:val="21"/>
                    </w:rPr>
                  </w:pPr>
                  <w:r>
                    <w:rPr>
                      <w:color w:val="auto"/>
                      <w:kern w:val="0"/>
                      <w:szCs w:val="21"/>
                    </w:rPr>
                    <w:t>二类功能区</w:t>
                  </w:r>
                </w:p>
              </w:tc>
              <w:tc>
                <w:tcPr>
                  <w:tcW w:w="555" w:type="pct"/>
                  <w:vAlign w:val="center"/>
                </w:tcPr>
                <w:p w14:paraId="7236BD33">
                  <w:pPr>
                    <w:adjustRightInd w:val="0"/>
                    <w:snapToGrid w:val="0"/>
                    <w:jc w:val="center"/>
                    <w:rPr>
                      <w:color w:val="auto"/>
                      <w:kern w:val="0"/>
                      <w:szCs w:val="21"/>
                    </w:rPr>
                  </w:pPr>
                  <w:r>
                    <w:rPr>
                      <w:color w:val="auto"/>
                      <w:kern w:val="0"/>
                      <w:szCs w:val="21"/>
                    </w:rPr>
                    <w:t>东南面</w:t>
                  </w:r>
                </w:p>
              </w:tc>
              <w:tc>
                <w:tcPr>
                  <w:tcW w:w="698" w:type="pct"/>
                  <w:vAlign w:val="center"/>
                </w:tcPr>
                <w:p w14:paraId="39055107">
                  <w:pPr>
                    <w:adjustRightInd w:val="0"/>
                    <w:snapToGrid w:val="0"/>
                    <w:jc w:val="center"/>
                    <w:rPr>
                      <w:color w:val="auto"/>
                      <w:kern w:val="0"/>
                      <w:szCs w:val="21"/>
                    </w:rPr>
                  </w:pPr>
                  <w:r>
                    <w:rPr>
                      <w:color w:val="auto"/>
                      <w:kern w:val="0"/>
                      <w:szCs w:val="21"/>
                    </w:rPr>
                    <w:t>490m</w:t>
                  </w:r>
                </w:p>
              </w:tc>
            </w:tr>
            <w:tr w14:paraId="7D4F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18" w:type="pct"/>
                  <w:vAlign w:val="center"/>
                </w:tcPr>
                <w:p w14:paraId="1F03B6C3">
                  <w:pPr>
                    <w:adjustRightInd w:val="0"/>
                    <w:snapToGrid w:val="0"/>
                    <w:jc w:val="center"/>
                    <w:rPr>
                      <w:color w:val="auto"/>
                      <w:kern w:val="0"/>
                      <w:szCs w:val="21"/>
                    </w:rPr>
                  </w:pPr>
                  <w:r>
                    <w:rPr>
                      <w:color w:val="auto"/>
                      <w:kern w:val="0"/>
                      <w:szCs w:val="21"/>
                    </w:rPr>
                    <w:t>在建商品楼</w:t>
                  </w:r>
                </w:p>
              </w:tc>
              <w:tc>
                <w:tcPr>
                  <w:tcW w:w="418" w:type="pct"/>
                  <w:vAlign w:val="center"/>
                </w:tcPr>
                <w:p w14:paraId="6C870B10">
                  <w:pPr>
                    <w:adjustRightInd w:val="0"/>
                    <w:snapToGrid w:val="0"/>
                    <w:jc w:val="center"/>
                    <w:rPr>
                      <w:color w:val="auto"/>
                      <w:kern w:val="0"/>
                      <w:szCs w:val="21"/>
                    </w:rPr>
                  </w:pPr>
                  <w:r>
                    <w:rPr>
                      <w:color w:val="auto"/>
                      <w:kern w:val="0"/>
                      <w:szCs w:val="21"/>
                    </w:rPr>
                    <w:t>0</w:t>
                  </w:r>
                </w:p>
              </w:tc>
              <w:tc>
                <w:tcPr>
                  <w:tcW w:w="411" w:type="pct"/>
                  <w:vAlign w:val="center"/>
                </w:tcPr>
                <w:p w14:paraId="13C055CF">
                  <w:pPr>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-500</w:t>
                  </w:r>
                </w:p>
              </w:tc>
              <w:tc>
                <w:tcPr>
                  <w:tcW w:w="717" w:type="pct"/>
                  <w:vAlign w:val="center"/>
                </w:tcPr>
                <w:p w14:paraId="54A89661">
                  <w:pPr>
                    <w:adjustRightInd w:val="0"/>
                    <w:snapToGrid w:val="0"/>
                    <w:jc w:val="center"/>
                    <w:rPr>
                      <w:color w:val="auto"/>
                      <w:kern w:val="0"/>
                      <w:szCs w:val="21"/>
                    </w:rPr>
                  </w:pPr>
                  <w:r>
                    <w:rPr>
                      <w:color w:val="auto"/>
                      <w:kern w:val="0"/>
                      <w:szCs w:val="21"/>
                    </w:rPr>
                    <w:t>居民</w:t>
                  </w:r>
                </w:p>
              </w:tc>
              <w:tc>
                <w:tcPr>
                  <w:tcW w:w="748" w:type="pct"/>
                  <w:shd w:val="clear" w:color="auto" w:fill="auto"/>
                  <w:vAlign w:val="center"/>
                </w:tcPr>
                <w:p w14:paraId="629DD935">
                  <w:pPr>
                    <w:adjustRightInd w:val="0"/>
                    <w:snapToGrid w:val="0"/>
                    <w:jc w:val="center"/>
                    <w:rPr>
                      <w:color w:val="auto"/>
                      <w:kern w:val="0"/>
                      <w:szCs w:val="21"/>
                    </w:rPr>
                  </w:pPr>
                  <w:r>
                    <w:rPr>
                      <w:color w:val="auto"/>
                      <w:kern w:val="0"/>
                      <w:szCs w:val="21"/>
                    </w:rPr>
                    <w:t>环境空气</w:t>
                  </w:r>
                </w:p>
              </w:tc>
              <w:tc>
                <w:tcPr>
                  <w:tcW w:w="732" w:type="pct"/>
                  <w:shd w:val="clear" w:color="auto" w:fill="auto"/>
                  <w:vAlign w:val="center"/>
                </w:tcPr>
                <w:p w14:paraId="5CA2BB84">
                  <w:pPr>
                    <w:adjustRightInd w:val="0"/>
                    <w:snapToGrid w:val="0"/>
                    <w:jc w:val="center"/>
                    <w:rPr>
                      <w:color w:val="auto"/>
                      <w:kern w:val="0"/>
                      <w:szCs w:val="21"/>
                    </w:rPr>
                  </w:pPr>
                  <w:r>
                    <w:rPr>
                      <w:color w:val="auto"/>
                      <w:kern w:val="0"/>
                      <w:szCs w:val="21"/>
                    </w:rPr>
                    <w:t>二类功能区</w:t>
                  </w:r>
                </w:p>
              </w:tc>
              <w:tc>
                <w:tcPr>
                  <w:tcW w:w="555" w:type="pct"/>
                  <w:shd w:val="clear" w:color="auto" w:fill="auto"/>
                  <w:vAlign w:val="center"/>
                </w:tcPr>
                <w:p w14:paraId="6A009B0E">
                  <w:pPr>
                    <w:adjustRightInd w:val="0"/>
                    <w:snapToGrid w:val="0"/>
                    <w:jc w:val="center"/>
                    <w:rPr>
                      <w:color w:val="auto"/>
                      <w:kern w:val="0"/>
                      <w:szCs w:val="21"/>
                    </w:rPr>
                  </w:pPr>
                  <w:r>
                    <w:rPr>
                      <w:color w:val="auto"/>
                      <w:kern w:val="0"/>
                      <w:szCs w:val="21"/>
                    </w:rPr>
                    <w:t>南面</w:t>
                  </w:r>
                </w:p>
              </w:tc>
              <w:tc>
                <w:tcPr>
                  <w:tcW w:w="698" w:type="pct"/>
                  <w:vAlign w:val="center"/>
                </w:tcPr>
                <w:p w14:paraId="34495BB4">
                  <w:pPr>
                    <w:adjustRightInd w:val="0"/>
                    <w:snapToGrid w:val="0"/>
                    <w:jc w:val="center"/>
                    <w:rPr>
                      <w:color w:val="auto"/>
                      <w:kern w:val="0"/>
                      <w:szCs w:val="21"/>
                    </w:rPr>
                  </w:pPr>
                  <w:r>
                    <w:rPr>
                      <w:color w:val="auto"/>
                      <w:kern w:val="0"/>
                      <w:szCs w:val="21"/>
                    </w:rPr>
                    <w:t>495m</w:t>
                  </w:r>
                </w:p>
              </w:tc>
            </w:tr>
          </w:tbl>
          <w:p w14:paraId="78769357">
            <w:pPr>
              <w:adjustRightInd w:val="0"/>
              <w:snapToGrid w:val="0"/>
              <w:spacing w:line="360" w:lineRule="auto"/>
              <w:ind w:firstLine="480" w:firstLineChars="200"/>
              <w:jc w:val="left"/>
              <w:rPr>
                <w:color w:val="auto"/>
                <w:sz w:val="24"/>
                <w:szCs w:val="24"/>
              </w:rPr>
            </w:pPr>
            <w:r>
              <w:rPr>
                <w:rStyle w:val="73"/>
                <w:rFonts w:ascii="Times New Roman" w:hAnsi="Times New Roman"/>
                <w:b w:val="0"/>
                <w:bCs/>
                <w:color w:val="auto"/>
                <w:sz w:val="24"/>
                <w:szCs w:val="24"/>
              </w:rPr>
              <w:t>（以本项目中心点为原点（0，0））</w:t>
            </w:r>
          </w:p>
          <w:p w14:paraId="77FF730D">
            <w:pPr>
              <w:adjustRightInd w:val="0"/>
              <w:snapToGrid w:val="0"/>
              <w:spacing w:line="360" w:lineRule="auto"/>
              <w:ind w:firstLine="482" w:firstLineChars="200"/>
              <w:jc w:val="left"/>
              <w:rPr>
                <w:rStyle w:val="73"/>
                <w:rFonts w:ascii="Times New Roman" w:hAnsi="Times New Roman"/>
                <w:color w:val="auto"/>
                <w:sz w:val="24"/>
                <w:szCs w:val="24"/>
              </w:rPr>
            </w:pPr>
            <w:r>
              <w:rPr>
                <w:rStyle w:val="73"/>
                <w:rFonts w:ascii="Times New Roman" w:hAnsi="Times New Roman"/>
                <w:color w:val="auto"/>
                <w:sz w:val="24"/>
                <w:szCs w:val="24"/>
              </w:rPr>
              <w:t>2、声环境保护目标</w:t>
            </w:r>
          </w:p>
          <w:p w14:paraId="1DEDC312">
            <w:pPr>
              <w:spacing w:line="360" w:lineRule="auto"/>
              <w:ind w:firstLine="480" w:firstLineChars="200"/>
              <w:rPr>
                <w:bCs/>
                <w:color w:val="auto"/>
                <w:sz w:val="24"/>
                <w:szCs w:val="24"/>
              </w:rPr>
            </w:pPr>
            <w:r>
              <w:rPr>
                <w:bCs/>
                <w:color w:val="auto"/>
                <w:sz w:val="24"/>
                <w:szCs w:val="24"/>
              </w:rPr>
              <w:t>本项目厂界外50m范围内无声环境保护目标。</w:t>
            </w:r>
          </w:p>
          <w:p w14:paraId="45613B11">
            <w:pPr>
              <w:pStyle w:val="89"/>
              <w:adjustRightInd w:val="0"/>
              <w:snapToGrid w:val="0"/>
              <w:spacing w:before="0" w:beforeLines="0"/>
              <w:ind w:firstLine="422"/>
              <w:rPr>
                <w:rFonts w:cs="Times New Roman"/>
                <w:b/>
                <w:color w:val="auto"/>
                <w:sz w:val="24"/>
                <w:szCs w:val="24"/>
              </w:rPr>
            </w:pPr>
            <w:r>
              <w:rPr>
                <w:rFonts w:cs="Times New Roman"/>
                <w:b/>
                <w:color w:val="auto"/>
                <w:sz w:val="24"/>
                <w:szCs w:val="24"/>
              </w:rPr>
              <w:t>3、地下水环境保护目标</w:t>
            </w:r>
          </w:p>
          <w:p w14:paraId="3E23D77D">
            <w:pPr>
              <w:pStyle w:val="89"/>
              <w:adjustRightInd w:val="0"/>
              <w:snapToGrid w:val="0"/>
              <w:spacing w:before="0" w:beforeLines="0"/>
              <w:ind w:firstLine="420"/>
              <w:rPr>
                <w:rFonts w:cs="Times New Roman"/>
                <w:bCs/>
                <w:color w:val="auto"/>
                <w:sz w:val="24"/>
                <w:szCs w:val="24"/>
              </w:rPr>
            </w:pPr>
            <w:r>
              <w:rPr>
                <w:rFonts w:cs="Times New Roman"/>
                <w:bCs/>
                <w:color w:val="auto"/>
                <w:sz w:val="24"/>
                <w:szCs w:val="24"/>
              </w:rPr>
              <w:t>本项目厂界外500米范围内无地下水集中式饮用水水源和热水、矿泉水、温泉等特殊地下水资源。</w:t>
            </w:r>
          </w:p>
          <w:p w14:paraId="000EA7DD">
            <w:pPr>
              <w:adjustRightInd w:val="0"/>
              <w:snapToGrid w:val="0"/>
              <w:spacing w:line="360" w:lineRule="auto"/>
              <w:ind w:firstLine="482" w:firstLineChars="200"/>
              <w:jc w:val="left"/>
              <w:rPr>
                <w:b/>
                <w:color w:val="auto"/>
                <w:kern w:val="0"/>
                <w:sz w:val="24"/>
                <w:szCs w:val="24"/>
              </w:rPr>
            </w:pPr>
            <w:r>
              <w:rPr>
                <w:b/>
                <w:color w:val="auto"/>
                <w:kern w:val="0"/>
                <w:sz w:val="24"/>
                <w:szCs w:val="24"/>
              </w:rPr>
              <w:t>4、生态环境保护目标</w:t>
            </w:r>
          </w:p>
          <w:p w14:paraId="2385A3C8">
            <w:pPr>
              <w:pStyle w:val="89"/>
              <w:spacing w:before="0" w:beforeLines="0"/>
              <w:ind w:firstLine="420"/>
              <w:rPr>
                <w:color w:val="auto"/>
              </w:rPr>
            </w:pPr>
            <w:r>
              <w:rPr>
                <w:rFonts w:cs="Times New Roman"/>
                <w:color w:val="auto"/>
                <w:kern w:val="0"/>
                <w:sz w:val="24"/>
                <w:szCs w:val="24"/>
              </w:rPr>
              <w:t>本项目位于</w:t>
            </w:r>
            <w:r>
              <w:rPr>
                <w:rFonts w:cs="Times New Roman"/>
                <w:color w:val="auto"/>
                <w:sz w:val="24"/>
                <w:szCs w:val="24"/>
              </w:rPr>
              <w:t>乐昌市乐昌产业转移工业园内，周边均为工业企业厂房，用地范围内不存在生态环境保护目标。</w:t>
            </w:r>
          </w:p>
        </w:tc>
      </w:tr>
      <w:tr w14:paraId="74D72E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81" w:hRule="atLeast"/>
          <w:jc w:val="center"/>
        </w:trPr>
        <w:tc>
          <w:tcPr>
            <w:tcW w:w="369" w:type="dxa"/>
            <w:tcMar>
              <w:left w:w="28" w:type="dxa"/>
              <w:right w:w="28" w:type="dxa"/>
            </w:tcMar>
            <w:vAlign w:val="center"/>
          </w:tcPr>
          <w:p w14:paraId="793622D5">
            <w:pPr>
              <w:adjustRightInd w:val="0"/>
              <w:snapToGrid w:val="0"/>
              <w:spacing w:line="0" w:lineRule="atLeast"/>
              <w:jc w:val="center"/>
              <w:rPr>
                <w:color w:val="auto"/>
                <w:szCs w:val="21"/>
              </w:rPr>
            </w:pPr>
            <w:r>
              <w:rPr>
                <w:color w:val="auto"/>
                <w:szCs w:val="21"/>
              </w:rPr>
              <w:t>污</w:t>
            </w:r>
          </w:p>
          <w:p w14:paraId="2CE3321A">
            <w:pPr>
              <w:adjustRightInd w:val="0"/>
              <w:snapToGrid w:val="0"/>
              <w:spacing w:line="0" w:lineRule="atLeast"/>
              <w:jc w:val="center"/>
              <w:rPr>
                <w:color w:val="auto"/>
                <w:szCs w:val="21"/>
              </w:rPr>
            </w:pPr>
            <w:r>
              <w:rPr>
                <w:color w:val="auto"/>
                <w:szCs w:val="21"/>
              </w:rPr>
              <w:t>染</w:t>
            </w:r>
          </w:p>
          <w:p w14:paraId="2305D881">
            <w:pPr>
              <w:adjustRightInd w:val="0"/>
              <w:snapToGrid w:val="0"/>
              <w:spacing w:line="0" w:lineRule="atLeast"/>
              <w:jc w:val="center"/>
              <w:rPr>
                <w:color w:val="auto"/>
                <w:szCs w:val="21"/>
              </w:rPr>
            </w:pPr>
            <w:r>
              <w:rPr>
                <w:color w:val="auto"/>
                <w:szCs w:val="21"/>
              </w:rPr>
              <w:t>物</w:t>
            </w:r>
          </w:p>
          <w:p w14:paraId="324F8429">
            <w:pPr>
              <w:adjustRightInd w:val="0"/>
              <w:snapToGrid w:val="0"/>
              <w:spacing w:line="0" w:lineRule="atLeast"/>
              <w:jc w:val="center"/>
              <w:rPr>
                <w:color w:val="auto"/>
                <w:szCs w:val="21"/>
              </w:rPr>
            </w:pPr>
            <w:r>
              <w:rPr>
                <w:color w:val="auto"/>
                <w:szCs w:val="21"/>
              </w:rPr>
              <w:t>排</w:t>
            </w:r>
          </w:p>
          <w:p w14:paraId="2F8DF4AF">
            <w:pPr>
              <w:adjustRightInd w:val="0"/>
              <w:snapToGrid w:val="0"/>
              <w:spacing w:line="0" w:lineRule="atLeast"/>
              <w:jc w:val="center"/>
              <w:rPr>
                <w:color w:val="auto"/>
                <w:szCs w:val="21"/>
              </w:rPr>
            </w:pPr>
            <w:r>
              <w:rPr>
                <w:color w:val="auto"/>
                <w:szCs w:val="21"/>
              </w:rPr>
              <w:t>放</w:t>
            </w:r>
          </w:p>
          <w:p w14:paraId="73F0A49A">
            <w:pPr>
              <w:adjustRightInd w:val="0"/>
              <w:snapToGrid w:val="0"/>
              <w:spacing w:line="0" w:lineRule="atLeast"/>
              <w:jc w:val="center"/>
              <w:rPr>
                <w:color w:val="auto"/>
                <w:szCs w:val="21"/>
              </w:rPr>
            </w:pPr>
            <w:r>
              <w:rPr>
                <w:color w:val="auto"/>
                <w:szCs w:val="21"/>
              </w:rPr>
              <w:t>控</w:t>
            </w:r>
          </w:p>
          <w:p w14:paraId="71E7AFA3">
            <w:pPr>
              <w:adjustRightInd w:val="0"/>
              <w:snapToGrid w:val="0"/>
              <w:spacing w:line="0" w:lineRule="atLeast"/>
              <w:jc w:val="center"/>
              <w:rPr>
                <w:color w:val="auto"/>
                <w:szCs w:val="21"/>
              </w:rPr>
            </w:pPr>
            <w:r>
              <w:rPr>
                <w:color w:val="auto"/>
                <w:szCs w:val="21"/>
              </w:rPr>
              <w:t>制</w:t>
            </w:r>
          </w:p>
          <w:p w14:paraId="6049FE9E">
            <w:pPr>
              <w:adjustRightInd w:val="0"/>
              <w:snapToGrid w:val="0"/>
              <w:spacing w:line="0" w:lineRule="atLeast"/>
              <w:jc w:val="center"/>
              <w:rPr>
                <w:color w:val="auto"/>
                <w:szCs w:val="21"/>
              </w:rPr>
            </w:pPr>
            <w:r>
              <w:rPr>
                <w:color w:val="auto"/>
                <w:szCs w:val="21"/>
              </w:rPr>
              <w:t>标</w:t>
            </w:r>
          </w:p>
          <w:p w14:paraId="11B9DDBA">
            <w:pPr>
              <w:adjustRightInd w:val="0"/>
              <w:snapToGrid w:val="0"/>
              <w:spacing w:line="0" w:lineRule="atLeast"/>
              <w:jc w:val="center"/>
              <w:rPr>
                <w:color w:val="auto"/>
                <w:szCs w:val="21"/>
              </w:rPr>
            </w:pPr>
            <w:r>
              <w:rPr>
                <w:color w:val="auto"/>
                <w:szCs w:val="21"/>
              </w:rPr>
              <w:t>准</w:t>
            </w:r>
          </w:p>
        </w:tc>
        <w:tc>
          <w:tcPr>
            <w:tcW w:w="8631" w:type="dxa"/>
            <w:vAlign w:val="center"/>
          </w:tcPr>
          <w:p w14:paraId="227BD262">
            <w:pPr>
              <w:pStyle w:val="91"/>
              <w:adjustRightInd w:val="0"/>
              <w:snapToGrid w:val="0"/>
              <w:ind w:firstLine="422"/>
              <w:rPr>
                <w:rFonts w:ascii="Times New Roman" w:hAnsi="Times New Roman"/>
                <w:b/>
                <w:bCs/>
                <w:color w:val="auto"/>
                <w:sz w:val="24"/>
                <w:szCs w:val="24"/>
              </w:rPr>
            </w:pPr>
            <w:r>
              <w:rPr>
                <w:rFonts w:ascii="Times New Roman" w:hAnsi="Times New Roman"/>
                <w:b/>
                <w:bCs/>
                <w:color w:val="auto"/>
                <w:sz w:val="24"/>
                <w:szCs w:val="24"/>
              </w:rPr>
              <w:t>一、运营期</w:t>
            </w:r>
          </w:p>
          <w:p w14:paraId="0342BAB8">
            <w:pPr>
              <w:pStyle w:val="91"/>
              <w:adjustRightInd w:val="0"/>
              <w:snapToGrid w:val="0"/>
              <w:ind w:firstLine="422"/>
              <w:rPr>
                <w:rFonts w:ascii="Times New Roman" w:hAnsi="Times New Roman"/>
                <w:b/>
                <w:bCs/>
                <w:color w:val="auto"/>
                <w:sz w:val="24"/>
                <w:szCs w:val="24"/>
              </w:rPr>
            </w:pPr>
            <w:r>
              <w:rPr>
                <w:rFonts w:ascii="Times New Roman" w:hAnsi="Times New Roman"/>
                <w:b/>
                <w:bCs/>
                <w:color w:val="auto"/>
                <w:sz w:val="24"/>
                <w:szCs w:val="24"/>
              </w:rPr>
              <w:t>1、大气污染物排放标准</w:t>
            </w:r>
          </w:p>
          <w:p w14:paraId="3201D267">
            <w:pPr>
              <w:widowControl/>
              <w:adjustRightInd w:val="0"/>
              <w:snapToGrid w:val="0"/>
              <w:spacing w:line="360" w:lineRule="auto"/>
              <w:ind w:firstLine="480" w:firstLineChars="200"/>
              <w:jc w:val="left"/>
              <w:rPr>
                <w:color w:val="auto"/>
                <w:sz w:val="24"/>
                <w:szCs w:val="24"/>
              </w:rPr>
            </w:pPr>
            <w:r>
              <w:rPr>
                <w:color w:val="auto"/>
                <w:sz w:val="24"/>
                <w:szCs w:val="24"/>
              </w:rPr>
              <w:t>本项目废气主要为生产过程中产生的挥发性有机废气（以NMHC表征）</w:t>
            </w:r>
            <w:r>
              <w:rPr>
                <w:rFonts w:hint="eastAsia"/>
                <w:color w:val="auto"/>
                <w:sz w:val="24"/>
                <w:szCs w:val="24"/>
                <w:lang w:eastAsia="zh-CN"/>
              </w:rPr>
              <w:t>、</w:t>
            </w:r>
            <w:r>
              <w:rPr>
                <w:rFonts w:hint="eastAsia"/>
                <w:color w:val="auto"/>
                <w:sz w:val="24"/>
                <w:szCs w:val="24"/>
                <w:lang w:val="en-US" w:eastAsia="zh-CN"/>
              </w:rPr>
              <w:t>生产异味</w:t>
            </w:r>
            <w:r>
              <w:rPr>
                <w:color w:val="auto"/>
                <w:sz w:val="24"/>
                <w:szCs w:val="24"/>
              </w:rPr>
              <w:t xml:space="preserve">。 </w:t>
            </w:r>
          </w:p>
          <w:p w14:paraId="01AA0054">
            <w:pPr>
              <w:widowControl/>
              <w:adjustRightInd w:val="0"/>
              <w:snapToGrid w:val="0"/>
              <w:spacing w:line="360" w:lineRule="auto"/>
              <w:ind w:firstLine="480" w:firstLineChars="200"/>
              <w:jc w:val="left"/>
              <w:rPr>
                <w:rFonts w:hint="eastAsia" w:ascii="Times New Roman" w:hAnsi="Times New Roman" w:eastAsia="宋体" w:cs="Times New Roman"/>
                <w:color w:val="auto"/>
                <w:sz w:val="24"/>
                <w:szCs w:val="24"/>
                <w:lang w:val="en-US" w:eastAsia="zh-CN"/>
              </w:rPr>
            </w:pPr>
            <w:r>
              <w:rPr>
                <w:color w:val="auto"/>
                <w:sz w:val="24"/>
                <w:szCs w:val="24"/>
              </w:rPr>
              <w:t>本项目生产农药产品，产生的废气通过楼顶排气筒排放，高约22.5m，有组织废气执行《农药制造工业大气污染物排放标准》（GB39727-2020）表1大气污染物排放限值中的“其它农药制造工艺废气”标准要求。无组织排放有机废气执行《农药制造工业大气污染物排放标准》（GB39727-2020）附录C中表C.1厂区内VOCs无组织排放限值。</w:t>
            </w:r>
            <w:r>
              <w:rPr>
                <w:rFonts w:hint="eastAsia"/>
                <w:color w:val="auto"/>
                <w:sz w:val="24"/>
                <w:szCs w:val="24"/>
                <w:lang w:val="en-US" w:eastAsia="zh-CN"/>
              </w:rPr>
              <w:t>生产异味主要以臭气浓度表征，臭气浓度执行</w:t>
            </w:r>
            <w:r>
              <w:rPr>
                <w:rFonts w:hint="eastAsia" w:ascii="Times New Roman" w:hAnsi="Times New Roman" w:eastAsia="宋体" w:cs="Times New Roman"/>
                <w:color w:val="auto"/>
                <w:sz w:val="24"/>
                <w:szCs w:val="24"/>
                <w:lang w:val="en-US" w:eastAsia="zh-CN"/>
              </w:rPr>
              <w:t>《恶臭污染物排放标准》（</w:t>
            </w:r>
            <w:r>
              <w:rPr>
                <w:rFonts w:hint="default" w:ascii="Times New Roman" w:hAnsi="Times New Roman" w:eastAsia="宋体" w:cs="Times New Roman"/>
                <w:color w:val="auto"/>
                <w:sz w:val="24"/>
                <w:szCs w:val="24"/>
                <w:lang w:val="en-US" w:eastAsia="zh-CN"/>
              </w:rPr>
              <w:t>GB14554-93</w:t>
            </w:r>
            <w:r>
              <w:rPr>
                <w:rFonts w:hint="eastAsia" w:ascii="Times New Roman" w:hAnsi="Times New Roman" w:eastAsia="宋体" w:cs="Times New Roman"/>
                <w:color w:val="auto"/>
                <w:sz w:val="24"/>
                <w:szCs w:val="24"/>
                <w:lang w:val="en-US" w:eastAsia="zh-CN"/>
              </w:rPr>
              <w:t>）中表1</w:t>
            </w:r>
            <w:r>
              <w:rPr>
                <w:rFonts w:hint="eastAsia" w:cs="Times New Roman"/>
                <w:color w:val="auto"/>
                <w:sz w:val="24"/>
                <w:szCs w:val="24"/>
                <w:lang w:val="en-US" w:eastAsia="zh-CN"/>
              </w:rPr>
              <w:t>新扩改建</w:t>
            </w:r>
            <w:r>
              <w:rPr>
                <w:rFonts w:hint="eastAsia" w:ascii="Times New Roman" w:hAnsi="Times New Roman" w:eastAsia="宋体" w:cs="Times New Roman"/>
                <w:color w:val="auto"/>
                <w:sz w:val="24"/>
                <w:szCs w:val="24"/>
                <w:lang w:val="en-US" w:eastAsia="zh-CN"/>
              </w:rPr>
              <w:t>的二级标准和表2标准要求。</w:t>
            </w:r>
          </w:p>
          <w:p w14:paraId="290CCFC7">
            <w:pPr>
              <w:widowControl/>
              <w:adjustRightInd w:val="0"/>
              <w:snapToGrid w:val="0"/>
              <w:spacing w:line="360" w:lineRule="auto"/>
              <w:ind w:firstLine="480" w:firstLineChars="200"/>
              <w:jc w:val="left"/>
              <w:rPr>
                <w:rFonts w:hint="eastAsia"/>
                <w:color w:val="auto"/>
                <w:sz w:val="24"/>
                <w:szCs w:val="24"/>
                <w:lang w:eastAsia="zh-CN"/>
              </w:rPr>
            </w:pPr>
            <w:r>
              <w:rPr>
                <w:color w:val="auto"/>
                <w:sz w:val="24"/>
                <w:szCs w:val="24"/>
              </w:rPr>
              <w:t>《农药制造工业大气污染物排放标准》（GB39727-2020）</w:t>
            </w:r>
            <w:r>
              <w:rPr>
                <w:rFonts w:hint="eastAsia"/>
                <w:color w:val="auto"/>
                <w:sz w:val="24"/>
                <w:szCs w:val="24"/>
                <w:lang w:val="en-US" w:eastAsia="zh-CN"/>
              </w:rPr>
              <w:t>中：“4.7 排放氯气、氰化氢、光气的排气筒髙度不低于25 m，其他排气简髙度不低于15 m（因安全考虑或有特殊工艺要求的除外），具体高度以及与周围建筑物的相对高度关系应根据环境影响评价文件确定。”本项目废气排气筒排放污染物为</w:t>
            </w:r>
            <w:r>
              <w:rPr>
                <w:color w:val="auto"/>
                <w:sz w:val="24"/>
                <w:szCs w:val="24"/>
              </w:rPr>
              <w:t>挥发性有机废气（以NMHC表征）</w:t>
            </w:r>
            <w:r>
              <w:rPr>
                <w:rFonts w:hint="eastAsia"/>
                <w:color w:val="auto"/>
                <w:sz w:val="24"/>
                <w:szCs w:val="24"/>
                <w:lang w:eastAsia="zh-CN"/>
              </w:rPr>
              <w:t>，</w:t>
            </w:r>
            <w:r>
              <w:rPr>
                <w:rFonts w:hint="eastAsia"/>
                <w:color w:val="auto"/>
                <w:sz w:val="24"/>
                <w:szCs w:val="24"/>
                <w:lang w:val="en-US" w:eastAsia="zh-CN"/>
              </w:rPr>
              <w:t>不涉及氯气、氰化氢、光气，本项目位于6号厂房的四层，废气排气筒拟建设在6号厂房楼顶</w:t>
            </w:r>
            <w:r>
              <w:rPr>
                <w:rFonts w:hint="eastAsia"/>
                <w:color w:val="auto"/>
                <w:sz w:val="24"/>
                <w:szCs w:val="24"/>
                <w:lang w:eastAsia="zh-CN"/>
              </w:rPr>
              <w:t>，</w:t>
            </w:r>
            <w:r>
              <w:rPr>
                <w:rFonts w:hint="eastAsia"/>
                <w:color w:val="auto"/>
                <w:sz w:val="24"/>
                <w:szCs w:val="24"/>
                <w:lang w:val="en-US" w:eastAsia="zh-CN"/>
              </w:rPr>
              <w:t>高约22.5m，项目废气排气筒高度能满足相应要求。</w:t>
            </w:r>
          </w:p>
          <w:p w14:paraId="6D6F58E5">
            <w:pPr>
              <w:adjustRightInd w:val="0"/>
              <w:snapToGrid w:val="0"/>
              <w:spacing w:line="360" w:lineRule="auto"/>
              <w:ind w:firstLine="480" w:firstLineChars="200"/>
              <w:rPr>
                <w:color w:val="auto"/>
                <w:sz w:val="24"/>
                <w:szCs w:val="24"/>
              </w:rPr>
            </w:pPr>
            <w:r>
              <w:rPr>
                <w:color w:val="auto"/>
                <w:sz w:val="24"/>
                <w:szCs w:val="24"/>
              </w:rPr>
              <w:t>具体见下表。</w:t>
            </w:r>
          </w:p>
          <w:p w14:paraId="63B23D7A">
            <w:pPr>
              <w:pStyle w:val="16"/>
              <w:autoSpaceDE w:val="0"/>
              <w:autoSpaceDN w:val="0"/>
              <w:adjustRightInd w:val="0"/>
              <w:snapToGrid w:val="0"/>
              <w:spacing w:line="360" w:lineRule="auto"/>
              <w:ind w:firstLine="482" w:firstLineChars="200"/>
              <w:jc w:val="center"/>
              <w:rPr>
                <w:rFonts w:ascii="Times New Roman" w:hAnsi="Times New Roman" w:eastAsia="宋体"/>
                <w:b/>
                <w:bCs/>
                <w:color w:val="auto"/>
                <w:sz w:val="24"/>
                <w:szCs w:val="24"/>
              </w:rPr>
            </w:pPr>
            <w:r>
              <w:rPr>
                <w:rFonts w:ascii="Times New Roman" w:hAnsi="Times New Roman" w:eastAsia="宋体"/>
                <w:b/>
                <w:bCs/>
                <w:color w:val="auto"/>
                <w:sz w:val="24"/>
                <w:szCs w:val="24"/>
              </w:rPr>
              <w:t>表</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表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18</w:t>
            </w:r>
            <w:r>
              <w:rPr>
                <w:rFonts w:ascii="Times New Roman" w:hAnsi="Times New Roman" w:eastAsia="宋体"/>
                <w:b/>
                <w:bCs/>
                <w:color w:val="auto"/>
                <w:sz w:val="24"/>
                <w:szCs w:val="24"/>
              </w:rPr>
              <w:fldChar w:fldCharType="end"/>
            </w:r>
            <w:r>
              <w:rPr>
                <w:rFonts w:ascii="Times New Roman" w:hAnsi="Times New Roman" w:eastAsia="宋体"/>
                <w:b/>
                <w:bCs/>
                <w:color w:val="auto"/>
                <w:sz w:val="24"/>
                <w:szCs w:val="24"/>
              </w:rPr>
              <w:t xml:space="preserve">  本项目大气污染物排放标准</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603"/>
              <w:gridCol w:w="797"/>
              <w:gridCol w:w="672"/>
              <w:gridCol w:w="1257"/>
              <w:gridCol w:w="958"/>
              <w:gridCol w:w="765"/>
              <w:gridCol w:w="2495"/>
            </w:tblGrid>
            <w:tr w14:paraId="6596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pct"/>
                  <w:vAlign w:val="center"/>
                </w:tcPr>
                <w:p w14:paraId="47ED6DED">
                  <w:pPr>
                    <w:adjustRightInd w:val="0"/>
                    <w:snapToGrid w:val="0"/>
                    <w:jc w:val="center"/>
                    <w:rPr>
                      <w:color w:val="auto"/>
                    </w:rPr>
                  </w:pPr>
                  <w:r>
                    <w:rPr>
                      <w:color w:val="auto"/>
                    </w:rPr>
                    <w:t>排气筒编号</w:t>
                  </w:r>
                </w:p>
              </w:tc>
              <w:tc>
                <w:tcPr>
                  <w:tcW w:w="359" w:type="pct"/>
                  <w:vAlign w:val="center"/>
                </w:tcPr>
                <w:p w14:paraId="7A9EF98E">
                  <w:pPr>
                    <w:adjustRightInd w:val="0"/>
                    <w:snapToGrid w:val="0"/>
                    <w:jc w:val="center"/>
                    <w:rPr>
                      <w:color w:val="auto"/>
                    </w:rPr>
                  </w:pPr>
                  <w:r>
                    <w:rPr>
                      <w:color w:val="auto"/>
                    </w:rPr>
                    <w:t>排气筒高度(m)</w:t>
                  </w:r>
                </w:p>
              </w:tc>
              <w:tc>
                <w:tcPr>
                  <w:tcW w:w="474" w:type="pct"/>
                  <w:vAlign w:val="center"/>
                </w:tcPr>
                <w:p w14:paraId="3FD8C255">
                  <w:pPr>
                    <w:adjustRightInd w:val="0"/>
                    <w:snapToGrid w:val="0"/>
                    <w:jc w:val="center"/>
                    <w:rPr>
                      <w:color w:val="auto"/>
                    </w:rPr>
                  </w:pPr>
                  <w:r>
                    <w:rPr>
                      <w:color w:val="auto"/>
                    </w:rPr>
                    <w:t>污染工段</w:t>
                  </w:r>
                </w:p>
              </w:tc>
              <w:tc>
                <w:tcPr>
                  <w:tcW w:w="400" w:type="pct"/>
                  <w:vAlign w:val="center"/>
                </w:tcPr>
                <w:p w14:paraId="79A4198E">
                  <w:pPr>
                    <w:adjustRightInd w:val="0"/>
                    <w:snapToGrid w:val="0"/>
                    <w:jc w:val="center"/>
                    <w:rPr>
                      <w:color w:val="auto"/>
                    </w:rPr>
                  </w:pPr>
                  <w:r>
                    <w:rPr>
                      <w:color w:val="auto"/>
                    </w:rPr>
                    <w:t>污染物种类</w:t>
                  </w:r>
                </w:p>
              </w:tc>
              <w:tc>
                <w:tcPr>
                  <w:tcW w:w="748" w:type="pct"/>
                  <w:vAlign w:val="center"/>
                </w:tcPr>
                <w:p w14:paraId="27756542">
                  <w:pPr>
                    <w:adjustRightInd w:val="0"/>
                    <w:snapToGrid w:val="0"/>
                    <w:jc w:val="center"/>
                    <w:rPr>
                      <w:color w:val="auto"/>
                    </w:rPr>
                  </w:pPr>
                  <w:r>
                    <w:rPr>
                      <w:color w:val="auto"/>
                    </w:rPr>
                    <w:t>污染因子</w:t>
                  </w:r>
                </w:p>
              </w:tc>
              <w:tc>
                <w:tcPr>
                  <w:tcW w:w="570" w:type="pct"/>
                  <w:vAlign w:val="center"/>
                </w:tcPr>
                <w:p w14:paraId="5DBA5470">
                  <w:pPr>
                    <w:adjustRightInd w:val="0"/>
                    <w:snapToGrid w:val="0"/>
                    <w:jc w:val="center"/>
                    <w:rPr>
                      <w:color w:val="auto"/>
                    </w:rPr>
                  </w:pPr>
                  <w:r>
                    <w:rPr>
                      <w:color w:val="auto"/>
                    </w:rPr>
                    <w:t>最高允许排放浓度</w:t>
                  </w:r>
                </w:p>
                <w:p w14:paraId="5046471F">
                  <w:pPr>
                    <w:pStyle w:val="35"/>
                    <w:ind w:firstLine="0" w:firstLineChars="0"/>
                    <w:jc w:val="center"/>
                    <w:rPr>
                      <w:color w:val="auto"/>
                    </w:rPr>
                  </w:pPr>
                  <w:r>
                    <w:rPr>
                      <w:color w:val="auto"/>
                    </w:rPr>
                    <w:t>(mg/m</w:t>
                  </w:r>
                  <w:r>
                    <w:rPr>
                      <w:color w:val="auto"/>
                      <w:vertAlign w:val="superscript"/>
                    </w:rPr>
                    <w:t>3</w:t>
                  </w:r>
                  <w:r>
                    <w:rPr>
                      <w:color w:val="auto"/>
                    </w:rPr>
                    <w:t>)</w:t>
                  </w:r>
                </w:p>
              </w:tc>
              <w:tc>
                <w:tcPr>
                  <w:tcW w:w="455" w:type="pct"/>
                  <w:vAlign w:val="center"/>
                </w:tcPr>
                <w:p w14:paraId="33234276">
                  <w:pPr>
                    <w:adjustRightInd w:val="0"/>
                    <w:snapToGrid w:val="0"/>
                    <w:jc w:val="center"/>
                    <w:rPr>
                      <w:color w:val="auto"/>
                    </w:rPr>
                  </w:pPr>
                  <w:r>
                    <w:rPr>
                      <w:color w:val="auto"/>
                    </w:rPr>
                    <w:t>最高允许排放速率(kg/h)</w:t>
                  </w:r>
                </w:p>
              </w:tc>
              <w:tc>
                <w:tcPr>
                  <w:tcW w:w="1483" w:type="pct"/>
                  <w:vAlign w:val="center"/>
                </w:tcPr>
                <w:p w14:paraId="6AB9664E">
                  <w:pPr>
                    <w:adjustRightInd w:val="0"/>
                    <w:snapToGrid w:val="0"/>
                    <w:jc w:val="center"/>
                    <w:rPr>
                      <w:color w:val="auto"/>
                    </w:rPr>
                  </w:pPr>
                  <w:r>
                    <w:rPr>
                      <w:color w:val="auto"/>
                    </w:rPr>
                    <w:t>标准来源</w:t>
                  </w:r>
                </w:p>
              </w:tc>
            </w:tr>
            <w:tr w14:paraId="2F3E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509" w:type="pct"/>
                  <w:vMerge w:val="restart"/>
                  <w:vAlign w:val="center"/>
                </w:tcPr>
                <w:p w14:paraId="62C8096D">
                  <w:pPr>
                    <w:adjustRightInd w:val="0"/>
                    <w:snapToGrid w:val="0"/>
                    <w:jc w:val="center"/>
                    <w:rPr>
                      <w:color w:val="auto"/>
                    </w:rPr>
                  </w:pPr>
                  <w:r>
                    <w:rPr>
                      <w:color w:val="auto"/>
                    </w:rPr>
                    <w:t>DA001</w:t>
                  </w:r>
                </w:p>
              </w:tc>
              <w:tc>
                <w:tcPr>
                  <w:tcW w:w="359" w:type="pct"/>
                  <w:vMerge w:val="restart"/>
                  <w:vAlign w:val="center"/>
                </w:tcPr>
                <w:p w14:paraId="2F1E744A">
                  <w:pPr>
                    <w:adjustRightInd w:val="0"/>
                    <w:snapToGrid w:val="0"/>
                    <w:jc w:val="center"/>
                    <w:rPr>
                      <w:color w:val="auto"/>
                    </w:rPr>
                  </w:pPr>
                  <w:r>
                    <w:rPr>
                      <w:color w:val="auto"/>
                    </w:rPr>
                    <w:t>22.5</w:t>
                  </w:r>
                </w:p>
              </w:tc>
              <w:tc>
                <w:tcPr>
                  <w:tcW w:w="474" w:type="pct"/>
                  <w:vMerge w:val="restart"/>
                  <w:vAlign w:val="center"/>
                </w:tcPr>
                <w:p w14:paraId="3E5FFE9E">
                  <w:pPr>
                    <w:adjustRightInd w:val="0"/>
                    <w:snapToGrid w:val="0"/>
                    <w:jc w:val="center"/>
                    <w:rPr>
                      <w:color w:val="auto"/>
                    </w:rPr>
                  </w:pPr>
                  <w:r>
                    <w:rPr>
                      <w:color w:val="auto"/>
                    </w:rPr>
                    <w:t>喷药、灌装、插芯棒</w:t>
                  </w:r>
                </w:p>
              </w:tc>
              <w:tc>
                <w:tcPr>
                  <w:tcW w:w="400" w:type="pct"/>
                  <w:vMerge w:val="restart"/>
                  <w:vAlign w:val="center"/>
                </w:tcPr>
                <w:p w14:paraId="03B7D509">
                  <w:pPr>
                    <w:adjustRightInd w:val="0"/>
                    <w:snapToGrid w:val="0"/>
                    <w:jc w:val="center"/>
                    <w:rPr>
                      <w:color w:val="auto"/>
                    </w:rPr>
                  </w:pPr>
                  <w:r>
                    <w:rPr>
                      <w:color w:val="auto"/>
                    </w:rPr>
                    <w:t>有机废气</w:t>
                  </w:r>
                </w:p>
              </w:tc>
              <w:tc>
                <w:tcPr>
                  <w:tcW w:w="748" w:type="pct"/>
                  <w:vAlign w:val="center"/>
                </w:tcPr>
                <w:p w14:paraId="3E746162">
                  <w:pPr>
                    <w:adjustRightInd w:val="0"/>
                    <w:snapToGrid w:val="0"/>
                    <w:jc w:val="center"/>
                    <w:rPr>
                      <w:color w:val="auto"/>
                      <w:szCs w:val="21"/>
                    </w:rPr>
                  </w:pPr>
                  <w:r>
                    <w:rPr>
                      <w:color w:val="auto"/>
                      <w:szCs w:val="21"/>
                    </w:rPr>
                    <w:t>NMHC</w:t>
                  </w:r>
                </w:p>
              </w:tc>
              <w:tc>
                <w:tcPr>
                  <w:tcW w:w="570" w:type="pct"/>
                  <w:vAlign w:val="center"/>
                </w:tcPr>
                <w:p w14:paraId="11C8BF67">
                  <w:pPr>
                    <w:adjustRightInd w:val="0"/>
                    <w:snapToGrid w:val="0"/>
                    <w:jc w:val="center"/>
                    <w:rPr>
                      <w:color w:val="auto"/>
                    </w:rPr>
                  </w:pPr>
                  <w:r>
                    <w:rPr>
                      <w:color w:val="auto"/>
                    </w:rPr>
                    <w:t>100</w:t>
                  </w:r>
                </w:p>
              </w:tc>
              <w:tc>
                <w:tcPr>
                  <w:tcW w:w="455" w:type="pct"/>
                  <w:vAlign w:val="center"/>
                </w:tcPr>
                <w:p w14:paraId="5D637AE1">
                  <w:pPr>
                    <w:adjustRightInd w:val="0"/>
                    <w:snapToGrid w:val="0"/>
                    <w:jc w:val="center"/>
                    <w:rPr>
                      <w:color w:val="auto"/>
                    </w:rPr>
                  </w:pPr>
                  <w:r>
                    <w:rPr>
                      <w:color w:val="auto"/>
                    </w:rPr>
                    <w:t>/</w:t>
                  </w:r>
                </w:p>
              </w:tc>
              <w:tc>
                <w:tcPr>
                  <w:tcW w:w="1483" w:type="pct"/>
                  <w:vMerge w:val="restart"/>
                  <w:vAlign w:val="center"/>
                </w:tcPr>
                <w:p w14:paraId="4C6DE6E0">
                  <w:pPr>
                    <w:adjustRightInd w:val="0"/>
                    <w:snapToGrid w:val="0"/>
                    <w:jc w:val="center"/>
                    <w:rPr>
                      <w:color w:val="auto"/>
                    </w:rPr>
                  </w:pPr>
                  <w:r>
                    <w:rPr>
                      <w:color w:val="auto"/>
                    </w:rPr>
                    <w:t>《农药制造工业大气污染物排放标准》（GB39727-2020）表1大气污染物排放限值中的“其它农药制造工艺废气”标准要求</w:t>
                  </w:r>
                </w:p>
              </w:tc>
            </w:tr>
            <w:tr w14:paraId="59E8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509" w:type="pct"/>
                  <w:vMerge w:val="continue"/>
                  <w:vAlign w:val="center"/>
                </w:tcPr>
                <w:p w14:paraId="6BE2AC2D">
                  <w:pPr>
                    <w:adjustRightInd w:val="0"/>
                    <w:snapToGrid w:val="0"/>
                    <w:jc w:val="center"/>
                    <w:rPr>
                      <w:color w:val="auto"/>
                    </w:rPr>
                  </w:pPr>
                </w:p>
              </w:tc>
              <w:tc>
                <w:tcPr>
                  <w:tcW w:w="359" w:type="pct"/>
                  <w:vMerge w:val="continue"/>
                  <w:vAlign w:val="center"/>
                </w:tcPr>
                <w:p w14:paraId="0450EC54">
                  <w:pPr>
                    <w:adjustRightInd w:val="0"/>
                    <w:snapToGrid w:val="0"/>
                    <w:jc w:val="center"/>
                    <w:rPr>
                      <w:color w:val="auto"/>
                    </w:rPr>
                  </w:pPr>
                </w:p>
              </w:tc>
              <w:tc>
                <w:tcPr>
                  <w:tcW w:w="474" w:type="pct"/>
                  <w:vMerge w:val="continue"/>
                  <w:vAlign w:val="center"/>
                </w:tcPr>
                <w:p w14:paraId="45593B33">
                  <w:pPr>
                    <w:adjustRightInd w:val="0"/>
                    <w:snapToGrid w:val="0"/>
                    <w:jc w:val="center"/>
                    <w:rPr>
                      <w:color w:val="auto"/>
                    </w:rPr>
                  </w:pPr>
                </w:p>
              </w:tc>
              <w:tc>
                <w:tcPr>
                  <w:tcW w:w="400" w:type="pct"/>
                  <w:vMerge w:val="continue"/>
                  <w:vAlign w:val="center"/>
                </w:tcPr>
                <w:p w14:paraId="1CB58480">
                  <w:pPr>
                    <w:adjustRightInd w:val="0"/>
                    <w:snapToGrid w:val="0"/>
                    <w:jc w:val="center"/>
                    <w:rPr>
                      <w:color w:val="auto"/>
                    </w:rPr>
                  </w:pPr>
                </w:p>
              </w:tc>
              <w:tc>
                <w:tcPr>
                  <w:tcW w:w="748" w:type="pct"/>
                  <w:shd w:val="clear" w:color="auto" w:fill="auto"/>
                  <w:vAlign w:val="center"/>
                </w:tcPr>
                <w:p w14:paraId="4AA7BE5A">
                  <w:pPr>
                    <w:adjustRightInd w:val="0"/>
                    <w:snapToGrid w:val="0"/>
                    <w:jc w:val="center"/>
                    <w:rPr>
                      <w:rFonts w:ascii="Times New Roman" w:hAnsi="Times New Roman" w:eastAsia="宋体" w:cs="Times New Roman"/>
                      <w:color w:val="auto"/>
                      <w:kern w:val="2"/>
                      <w:sz w:val="21"/>
                      <w:szCs w:val="21"/>
                      <w:lang w:val="en-US" w:eastAsia="zh-CN" w:bidi="ar-SA"/>
                    </w:rPr>
                  </w:pPr>
                  <w:r>
                    <w:rPr>
                      <w:color w:val="auto"/>
                    </w:rPr>
                    <w:t>TVOC</w:t>
                  </w:r>
                  <w:r>
                    <w:rPr>
                      <w:color w:val="auto"/>
                      <w:vertAlign w:val="superscript"/>
                    </w:rPr>
                    <w:t>b</w:t>
                  </w:r>
                </w:p>
              </w:tc>
              <w:tc>
                <w:tcPr>
                  <w:tcW w:w="570" w:type="pct"/>
                  <w:shd w:val="clear" w:color="auto" w:fill="auto"/>
                  <w:vAlign w:val="center"/>
                </w:tcPr>
                <w:p w14:paraId="50248BFB">
                  <w:pPr>
                    <w:adjustRightInd w:val="0"/>
                    <w:snapToGrid w:val="0"/>
                    <w:jc w:val="center"/>
                    <w:rPr>
                      <w:rFonts w:ascii="Times New Roman" w:hAnsi="Times New Roman" w:eastAsia="宋体" w:cs="Times New Roman"/>
                      <w:color w:val="auto"/>
                      <w:kern w:val="2"/>
                      <w:sz w:val="21"/>
                      <w:szCs w:val="24"/>
                      <w:lang w:val="en-US" w:eastAsia="zh-CN" w:bidi="ar-SA"/>
                    </w:rPr>
                  </w:pPr>
                  <w:r>
                    <w:rPr>
                      <w:color w:val="auto"/>
                    </w:rPr>
                    <w:t>150</w:t>
                  </w:r>
                </w:p>
              </w:tc>
              <w:tc>
                <w:tcPr>
                  <w:tcW w:w="455" w:type="pct"/>
                  <w:shd w:val="clear" w:color="auto" w:fill="auto"/>
                  <w:vAlign w:val="center"/>
                </w:tcPr>
                <w:p w14:paraId="33A7C410">
                  <w:pPr>
                    <w:adjustRightInd w:val="0"/>
                    <w:snapToGrid w:val="0"/>
                    <w:jc w:val="center"/>
                    <w:rPr>
                      <w:color w:val="auto"/>
                    </w:rPr>
                  </w:pPr>
                  <w:r>
                    <w:rPr>
                      <w:color w:val="auto"/>
                    </w:rPr>
                    <w:t>/</w:t>
                  </w:r>
                </w:p>
              </w:tc>
              <w:tc>
                <w:tcPr>
                  <w:tcW w:w="1483" w:type="pct"/>
                  <w:vMerge w:val="continue"/>
                  <w:vAlign w:val="center"/>
                </w:tcPr>
                <w:p w14:paraId="5DC29483">
                  <w:pPr>
                    <w:adjustRightInd w:val="0"/>
                    <w:snapToGrid w:val="0"/>
                    <w:jc w:val="center"/>
                    <w:rPr>
                      <w:color w:val="auto"/>
                      <w:szCs w:val="21"/>
                    </w:rPr>
                  </w:pPr>
                </w:p>
              </w:tc>
            </w:tr>
            <w:tr w14:paraId="7110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509" w:type="pct"/>
                  <w:vMerge w:val="continue"/>
                  <w:vAlign w:val="center"/>
                </w:tcPr>
                <w:p w14:paraId="626D743E">
                  <w:pPr>
                    <w:adjustRightInd w:val="0"/>
                    <w:snapToGrid w:val="0"/>
                    <w:jc w:val="center"/>
                    <w:rPr>
                      <w:color w:val="auto"/>
                    </w:rPr>
                  </w:pPr>
                </w:p>
              </w:tc>
              <w:tc>
                <w:tcPr>
                  <w:tcW w:w="359" w:type="pct"/>
                  <w:vMerge w:val="continue"/>
                  <w:vAlign w:val="center"/>
                </w:tcPr>
                <w:p w14:paraId="5CDCF2A2">
                  <w:pPr>
                    <w:adjustRightInd w:val="0"/>
                    <w:snapToGrid w:val="0"/>
                    <w:jc w:val="center"/>
                    <w:rPr>
                      <w:color w:val="auto"/>
                    </w:rPr>
                  </w:pPr>
                </w:p>
              </w:tc>
              <w:tc>
                <w:tcPr>
                  <w:tcW w:w="474" w:type="pct"/>
                  <w:vMerge w:val="continue"/>
                  <w:vAlign w:val="center"/>
                </w:tcPr>
                <w:p w14:paraId="4588E9C0">
                  <w:pPr>
                    <w:adjustRightInd w:val="0"/>
                    <w:snapToGrid w:val="0"/>
                    <w:jc w:val="center"/>
                    <w:rPr>
                      <w:color w:val="auto"/>
                    </w:rPr>
                  </w:pPr>
                </w:p>
              </w:tc>
              <w:tc>
                <w:tcPr>
                  <w:tcW w:w="400" w:type="pct"/>
                  <w:vAlign w:val="center"/>
                </w:tcPr>
                <w:p w14:paraId="1F149123">
                  <w:pPr>
                    <w:adjustRightInd w:val="0"/>
                    <w:snapToGrid w:val="0"/>
                    <w:jc w:val="center"/>
                    <w:rPr>
                      <w:rFonts w:hint="default" w:eastAsia="宋体"/>
                      <w:color w:val="auto"/>
                      <w:lang w:val="en-US" w:eastAsia="zh-CN"/>
                    </w:rPr>
                  </w:pPr>
                  <w:r>
                    <w:rPr>
                      <w:rFonts w:hint="eastAsia"/>
                      <w:color w:val="auto"/>
                      <w:lang w:val="en-US" w:eastAsia="zh-CN"/>
                    </w:rPr>
                    <w:t>生产异味</w:t>
                  </w:r>
                </w:p>
              </w:tc>
              <w:tc>
                <w:tcPr>
                  <w:tcW w:w="748" w:type="pct"/>
                  <w:shd w:val="clear" w:color="auto" w:fill="auto"/>
                  <w:vAlign w:val="center"/>
                </w:tcPr>
                <w:p w14:paraId="73B8FF0F">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臭气浓度</w:t>
                  </w:r>
                </w:p>
              </w:tc>
              <w:tc>
                <w:tcPr>
                  <w:tcW w:w="570" w:type="pct"/>
                  <w:shd w:val="clear" w:color="auto" w:fill="auto"/>
                  <w:vAlign w:val="center"/>
                </w:tcPr>
                <w:p w14:paraId="798DDC88">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w:t>
                  </w:r>
                </w:p>
              </w:tc>
              <w:tc>
                <w:tcPr>
                  <w:tcW w:w="455" w:type="pct"/>
                  <w:shd w:val="clear" w:color="auto" w:fill="auto"/>
                  <w:vAlign w:val="center"/>
                </w:tcPr>
                <w:p w14:paraId="751EC59F">
                  <w:pPr>
                    <w:adjustRightInd w:val="0"/>
                    <w:snapToGrid w:val="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szCs w:val="21"/>
                      <w:lang w:val="en-US" w:eastAsia="zh-CN"/>
                    </w:rPr>
                    <w:t>6000（无量纲）</w:t>
                  </w:r>
                </w:p>
              </w:tc>
              <w:tc>
                <w:tcPr>
                  <w:tcW w:w="1483" w:type="pct"/>
                  <w:vAlign w:val="center"/>
                </w:tcPr>
                <w:p w14:paraId="0B99D392">
                  <w:pPr>
                    <w:adjustRightInd w:val="0"/>
                    <w:snapToGrid w:val="0"/>
                    <w:jc w:val="center"/>
                    <w:rPr>
                      <w:color w:val="auto"/>
                      <w:szCs w:val="21"/>
                    </w:rPr>
                  </w:pPr>
                  <w:r>
                    <w:rPr>
                      <w:rFonts w:hint="eastAsia" w:ascii="Times New Roman" w:hAnsi="Times New Roman" w:eastAsia="宋体" w:cs="Times New Roman"/>
                      <w:color w:val="auto"/>
                      <w:szCs w:val="21"/>
                      <w:lang w:val="en-US" w:eastAsia="zh-CN"/>
                    </w:rPr>
                    <w:t>《恶臭污染物排放标准》（</w:t>
                  </w:r>
                  <w:r>
                    <w:rPr>
                      <w:rFonts w:hint="default" w:ascii="Times New Roman" w:hAnsi="Times New Roman" w:eastAsia="宋体" w:cs="Times New Roman"/>
                      <w:color w:val="auto"/>
                      <w:szCs w:val="21"/>
                      <w:lang w:val="en-US" w:eastAsia="zh-CN"/>
                    </w:rPr>
                    <w:t>GB14554-93</w:t>
                  </w:r>
                  <w:r>
                    <w:rPr>
                      <w:rFonts w:hint="eastAsia" w:ascii="Times New Roman" w:hAnsi="Times New Roman" w:eastAsia="宋体" w:cs="Times New Roman"/>
                      <w:color w:val="auto"/>
                      <w:szCs w:val="21"/>
                      <w:lang w:val="en-US" w:eastAsia="zh-CN"/>
                    </w:rPr>
                    <w:t>）表2标准要求</w:t>
                  </w:r>
                </w:p>
              </w:tc>
            </w:tr>
            <w:tr w14:paraId="47BE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509" w:type="pct"/>
                  <w:vMerge w:val="restart"/>
                  <w:vAlign w:val="center"/>
                </w:tcPr>
                <w:p w14:paraId="7F175D67">
                  <w:pPr>
                    <w:adjustRightInd w:val="0"/>
                    <w:snapToGrid w:val="0"/>
                    <w:jc w:val="center"/>
                    <w:rPr>
                      <w:color w:val="auto"/>
                      <w:szCs w:val="21"/>
                    </w:rPr>
                  </w:pPr>
                  <w:r>
                    <w:rPr>
                      <w:color w:val="auto"/>
                      <w:szCs w:val="21"/>
                    </w:rPr>
                    <w:t>厂区内无组织废气</w:t>
                  </w:r>
                </w:p>
              </w:tc>
              <w:tc>
                <w:tcPr>
                  <w:tcW w:w="359" w:type="pct"/>
                  <w:vMerge w:val="restart"/>
                  <w:vAlign w:val="center"/>
                </w:tcPr>
                <w:p w14:paraId="3E6728F6">
                  <w:pPr>
                    <w:adjustRightInd w:val="0"/>
                    <w:snapToGrid w:val="0"/>
                    <w:jc w:val="center"/>
                    <w:rPr>
                      <w:color w:val="auto"/>
                      <w:szCs w:val="21"/>
                    </w:rPr>
                  </w:pPr>
                  <w:r>
                    <w:rPr>
                      <w:color w:val="auto"/>
                      <w:szCs w:val="21"/>
                    </w:rPr>
                    <w:t>/</w:t>
                  </w:r>
                </w:p>
              </w:tc>
              <w:tc>
                <w:tcPr>
                  <w:tcW w:w="474" w:type="pct"/>
                  <w:vMerge w:val="restart"/>
                  <w:vAlign w:val="center"/>
                </w:tcPr>
                <w:p w14:paraId="169B389E">
                  <w:pPr>
                    <w:adjustRightInd w:val="0"/>
                    <w:snapToGrid w:val="0"/>
                    <w:jc w:val="center"/>
                    <w:rPr>
                      <w:color w:val="auto"/>
                      <w:szCs w:val="21"/>
                    </w:rPr>
                  </w:pPr>
                  <w:r>
                    <w:rPr>
                      <w:color w:val="auto"/>
                    </w:rPr>
                    <w:t>投料、喷药、灌装、插芯棒</w:t>
                  </w:r>
                </w:p>
              </w:tc>
              <w:tc>
                <w:tcPr>
                  <w:tcW w:w="400" w:type="pct"/>
                  <w:vMerge w:val="restart"/>
                  <w:vAlign w:val="center"/>
                </w:tcPr>
                <w:p w14:paraId="5BD7B14E">
                  <w:pPr>
                    <w:adjustRightInd w:val="0"/>
                    <w:snapToGrid w:val="0"/>
                    <w:jc w:val="center"/>
                    <w:rPr>
                      <w:color w:val="auto"/>
                      <w:szCs w:val="21"/>
                    </w:rPr>
                  </w:pPr>
                  <w:r>
                    <w:rPr>
                      <w:color w:val="auto"/>
                      <w:szCs w:val="21"/>
                    </w:rPr>
                    <w:t>有机废气</w:t>
                  </w:r>
                </w:p>
              </w:tc>
              <w:tc>
                <w:tcPr>
                  <w:tcW w:w="748" w:type="pct"/>
                  <w:vMerge w:val="restart"/>
                  <w:vAlign w:val="center"/>
                </w:tcPr>
                <w:p w14:paraId="7CB9E81B">
                  <w:pPr>
                    <w:adjustRightInd w:val="0"/>
                    <w:snapToGrid w:val="0"/>
                    <w:jc w:val="center"/>
                    <w:rPr>
                      <w:color w:val="auto"/>
                      <w:szCs w:val="21"/>
                    </w:rPr>
                  </w:pPr>
                  <w:r>
                    <w:rPr>
                      <w:color w:val="auto"/>
                      <w:szCs w:val="21"/>
                    </w:rPr>
                    <w:t>NMHC</w:t>
                  </w:r>
                </w:p>
              </w:tc>
              <w:tc>
                <w:tcPr>
                  <w:tcW w:w="570" w:type="pct"/>
                  <w:vAlign w:val="center"/>
                </w:tcPr>
                <w:p w14:paraId="030A4DCC">
                  <w:pPr>
                    <w:adjustRightInd w:val="0"/>
                    <w:snapToGrid w:val="0"/>
                    <w:jc w:val="center"/>
                    <w:rPr>
                      <w:color w:val="auto"/>
                      <w:szCs w:val="21"/>
                    </w:rPr>
                  </w:pPr>
                  <w:r>
                    <w:rPr>
                      <w:color w:val="auto"/>
                      <w:szCs w:val="21"/>
                    </w:rPr>
                    <w:t>10（1h平均）</w:t>
                  </w:r>
                </w:p>
              </w:tc>
              <w:tc>
                <w:tcPr>
                  <w:tcW w:w="455" w:type="pct"/>
                  <w:vMerge w:val="restart"/>
                  <w:vAlign w:val="center"/>
                </w:tcPr>
                <w:p w14:paraId="3D57337F">
                  <w:pPr>
                    <w:adjustRightInd w:val="0"/>
                    <w:snapToGrid w:val="0"/>
                    <w:jc w:val="center"/>
                    <w:rPr>
                      <w:color w:val="auto"/>
                      <w:szCs w:val="21"/>
                    </w:rPr>
                  </w:pPr>
                  <w:r>
                    <w:rPr>
                      <w:color w:val="auto"/>
                      <w:szCs w:val="21"/>
                    </w:rPr>
                    <w:t>/</w:t>
                  </w:r>
                </w:p>
              </w:tc>
              <w:tc>
                <w:tcPr>
                  <w:tcW w:w="1483" w:type="pct"/>
                  <w:vMerge w:val="restart"/>
                  <w:vAlign w:val="center"/>
                </w:tcPr>
                <w:p w14:paraId="555F654E">
                  <w:pPr>
                    <w:adjustRightInd w:val="0"/>
                    <w:snapToGrid w:val="0"/>
                    <w:jc w:val="center"/>
                    <w:rPr>
                      <w:color w:val="auto"/>
                      <w:szCs w:val="21"/>
                    </w:rPr>
                  </w:pPr>
                  <w:r>
                    <w:rPr>
                      <w:color w:val="auto"/>
                    </w:rPr>
                    <w:t>《农药制造工业大气污染物排放标准》（GB39727-2020）附录C中表C.1厂区内VOCs无组织排放限值</w:t>
                  </w:r>
                </w:p>
              </w:tc>
            </w:tr>
            <w:tr w14:paraId="7B9C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509" w:type="pct"/>
                  <w:vMerge w:val="continue"/>
                  <w:vAlign w:val="center"/>
                </w:tcPr>
                <w:p w14:paraId="6ABCBED1">
                  <w:pPr>
                    <w:adjustRightInd w:val="0"/>
                    <w:snapToGrid w:val="0"/>
                    <w:jc w:val="center"/>
                    <w:rPr>
                      <w:color w:val="auto"/>
                    </w:rPr>
                  </w:pPr>
                </w:p>
              </w:tc>
              <w:tc>
                <w:tcPr>
                  <w:tcW w:w="359" w:type="pct"/>
                  <w:vMerge w:val="continue"/>
                  <w:vAlign w:val="center"/>
                </w:tcPr>
                <w:p w14:paraId="65F13AFB">
                  <w:pPr>
                    <w:adjustRightInd w:val="0"/>
                    <w:snapToGrid w:val="0"/>
                    <w:jc w:val="center"/>
                    <w:rPr>
                      <w:color w:val="auto"/>
                    </w:rPr>
                  </w:pPr>
                </w:p>
              </w:tc>
              <w:tc>
                <w:tcPr>
                  <w:tcW w:w="474" w:type="pct"/>
                  <w:vMerge w:val="continue"/>
                  <w:vAlign w:val="center"/>
                </w:tcPr>
                <w:p w14:paraId="72708DF7">
                  <w:pPr>
                    <w:adjustRightInd w:val="0"/>
                    <w:snapToGrid w:val="0"/>
                    <w:jc w:val="center"/>
                    <w:rPr>
                      <w:color w:val="auto"/>
                    </w:rPr>
                  </w:pPr>
                </w:p>
              </w:tc>
              <w:tc>
                <w:tcPr>
                  <w:tcW w:w="400" w:type="pct"/>
                  <w:vMerge w:val="continue"/>
                  <w:vAlign w:val="center"/>
                </w:tcPr>
                <w:p w14:paraId="63033450">
                  <w:pPr>
                    <w:adjustRightInd w:val="0"/>
                    <w:snapToGrid w:val="0"/>
                    <w:jc w:val="center"/>
                    <w:rPr>
                      <w:color w:val="auto"/>
                    </w:rPr>
                  </w:pPr>
                </w:p>
              </w:tc>
              <w:tc>
                <w:tcPr>
                  <w:tcW w:w="748" w:type="pct"/>
                  <w:vMerge w:val="continue"/>
                  <w:vAlign w:val="center"/>
                </w:tcPr>
                <w:p w14:paraId="0CFADD5F">
                  <w:pPr>
                    <w:adjustRightInd w:val="0"/>
                    <w:snapToGrid w:val="0"/>
                    <w:jc w:val="center"/>
                    <w:rPr>
                      <w:color w:val="auto"/>
                    </w:rPr>
                  </w:pPr>
                </w:p>
              </w:tc>
              <w:tc>
                <w:tcPr>
                  <w:tcW w:w="570" w:type="pct"/>
                  <w:vAlign w:val="center"/>
                </w:tcPr>
                <w:p w14:paraId="0F0B461A">
                  <w:pPr>
                    <w:adjustRightInd w:val="0"/>
                    <w:snapToGrid w:val="0"/>
                    <w:jc w:val="center"/>
                    <w:rPr>
                      <w:color w:val="auto"/>
                      <w:szCs w:val="21"/>
                    </w:rPr>
                  </w:pPr>
                  <w:r>
                    <w:rPr>
                      <w:color w:val="auto"/>
                      <w:szCs w:val="21"/>
                    </w:rPr>
                    <w:t>30（任意一次）</w:t>
                  </w:r>
                </w:p>
              </w:tc>
              <w:tc>
                <w:tcPr>
                  <w:tcW w:w="455" w:type="pct"/>
                  <w:vMerge w:val="continue"/>
                  <w:vAlign w:val="center"/>
                </w:tcPr>
                <w:p w14:paraId="3E8D1CF3">
                  <w:pPr>
                    <w:adjustRightInd w:val="0"/>
                    <w:snapToGrid w:val="0"/>
                    <w:jc w:val="center"/>
                    <w:rPr>
                      <w:color w:val="auto"/>
                      <w:szCs w:val="21"/>
                    </w:rPr>
                  </w:pPr>
                </w:p>
              </w:tc>
              <w:tc>
                <w:tcPr>
                  <w:tcW w:w="1483" w:type="pct"/>
                  <w:vMerge w:val="continue"/>
                  <w:vAlign w:val="center"/>
                </w:tcPr>
                <w:p w14:paraId="469C7762">
                  <w:pPr>
                    <w:adjustRightInd w:val="0"/>
                    <w:snapToGrid w:val="0"/>
                    <w:jc w:val="center"/>
                    <w:rPr>
                      <w:color w:val="auto"/>
                      <w:szCs w:val="21"/>
                    </w:rPr>
                  </w:pPr>
                </w:p>
              </w:tc>
            </w:tr>
            <w:tr w14:paraId="1921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509" w:type="pct"/>
                  <w:vMerge w:val="continue"/>
                  <w:vAlign w:val="center"/>
                </w:tcPr>
                <w:p w14:paraId="3F727CDA">
                  <w:pPr>
                    <w:adjustRightInd w:val="0"/>
                    <w:snapToGrid w:val="0"/>
                    <w:jc w:val="center"/>
                    <w:rPr>
                      <w:color w:val="auto"/>
                    </w:rPr>
                  </w:pPr>
                </w:p>
              </w:tc>
              <w:tc>
                <w:tcPr>
                  <w:tcW w:w="359" w:type="pct"/>
                  <w:vMerge w:val="continue"/>
                  <w:vAlign w:val="center"/>
                </w:tcPr>
                <w:p w14:paraId="2D5971E9">
                  <w:pPr>
                    <w:adjustRightInd w:val="0"/>
                    <w:snapToGrid w:val="0"/>
                    <w:jc w:val="center"/>
                    <w:rPr>
                      <w:color w:val="auto"/>
                    </w:rPr>
                  </w:pPr>
                </w:p>
              </w:tc>
              <w:tc>
                <w:tcPr>
                  <w:tcW w:w="474" w:type="pct"/>
                  <w:vMerge w:val="continue"/>
                  <w:vAlign w:val="center"/>
                </w:tcPr>
                <w:p w14:paraId="1C39ECA8">
                  <w:pPr>
                    <w:adjustRightInd w:val="0"/>
                    <w:snapToGrid w:val="0"/>
                    <w:jc w:val="center"/>
                    <w:rPr>
                      <w:color w:val="auto"/>
                    </w:rPr>
                  </w:pPr>
                </w:p>
              </w:tc>
              <w:tc>
                <w:tcPr>
                  <w:tcW w:w="675" w:type="dxa"/>
                  <w:vAlign w:val="center"/>
                </w:tcPr>
                <w:p w14:paraId="5A546D42">
                  <w:pPr>
                    <w:adjustRightInd w:val="0"/>
                    <w:snapToGrid w:val="0"/>
                    <w:jc w:val="center"/>
                    <w:rPr>
                      <w:rFonts w:hint="default" w:eastAsia="宋体"/>
                      <w:color w:val="auto"/>
                      <w:lang w:val="en-US" w:eastAsia="zh-CN"/>
                    </w:rPr>
                  </w:pPr>
                  <w:r>
                    <w:rPr>
                      <w:rFonts w:hint="eastAsia"/>
                      <w:color w:val="auto"/>
                      <w:lang w:val="en-US" w:eastAsia="zh-CN"/>
                    </w:rPr>
                    <w:t>生产异味</w:t>
                  </w:r>
                </w:p>
              </w:tc>
              <w:tc>
                <w:tcPr>
                  <w:tcW w:w="1262" w:type="dxa"/>
                  <w:vAlign w:val="center"/>
                </w:tcPr>
                <w:p w14:paraId="4C5F1E51">
                  <w:pPr>
                    <w:adjustRightInd w:val="0"/>
                    <w:snapToGrid w:val="0"/>
                    <w:jc w:val="center"/>
                    <w:rPr>
                      <w:color w:val="auto"/>
                    </w:rPr>
                  </w:pPr>
                  <w:r>
                    <w:rPr>
                      <w:rFonts w:hint="eastAsia" w:cs="Times New Roman"/>
                      <w:color w:val="auto"/>
                      <w:kern w:val="2"/>
                      <w:sz w:val="21"/>
                      <w:szCs w:val="21"/>
                      <w:lang w:val="en-US" w:eastAsia="zh-CN" w:bidi="ar-SA"/>
                    </w:rPr>
                    <w:t>臭气浓度</w:t>
                  </w:r>
                </w:p>
              </w:tc>
              <w:tc>
                <w:tcPr>
                  <w:tcW w:w="570" w:type="pct"/>
                  <w:vAlign w:val="center"/>
                </w:tcPr>
                <w:p w14:paraId="69EE87EE">
                  <w:pPr>
                    <w:adjustRightInd w:val="0"/>
                    <w:snapToGrid w:val="0"/>
                    <w:jc w:val="center"/>
                    <w:rPr>
                      <w:rFonts w:hint="default" w:eastAsia="宋体"/>
                      <w:color w:val="auto"/>
                      <w:szCs w:val="21"/>
                      <w:lang w:val="en-US" w:eastAsia="zh-CN"/>
                    </w:rPr>
                  </w:pPr>
                  <w:r>
                    <w:rPr>
                      <w:rFonts w:hint="eastAsia"/>
                      <w:color w:val="auto"/>
                      <w:szCs w:val="21"/>
                      <w:lang w:val="en-US" w:eastAsia="zh-CN"/>
                    </w:rPr>
                    <w:t>20</w:t>
                  </w:r>
                  <w:r>
                    <w:rPr>
                      <w:rFonts w:hint="eastAsia" w:ascii="Times New Roman" w:hAnsi="Times New Roman" w:eastAsia="宋体" w:cs="Times New Roman"/>
                      <w:color w:val="auto"/>
                      <w:szCs w:val="21"/>
                      <w:lang w:val="en-US" w:eastAsia="zh-CN"/>
                    </w:rPr>
                    <w:t>（无量纲）</w:t>
                  </w:r>
                </w:p>
              </w:tc>
              <w:tc>
                <w:tcPr>
                  <w:tcW w:w="455" w:type="pct"/>
                  <w:vAlign w:val="center"/>
                </w:tcPr>
                <w:p w14:paraId="119DB49B">
                  <w:pPr>
                    <w:adjustRightInd w:val="0"/>
                    <w:snapToGrid w:val="0"/>
                    <w:jc w:val="center"/>
                    <w:rPr>
                      <w:color w:val="auto"/>
                      <w:szCs w:val="21"/>
                    </w:rPr>
                  </w:pPr>
                  <w:r>
                    <w:rPr>
                      <w:color w:val="auto"/>
                      <w:szCs w:val="21"/>
                    </w:rPr>
                    <w:t>/</w:t>
                  </w:r>
                </w:p>
              </w:tc>
              <w:tc>
                <w:tcPr>
                  <w:tcW w:w="1483" w:type="pct"/>
                  <w:vAlign w:val="center"/>
                </w:tcPr>
                <w:p w14:paraId="1B0D3E9B">
                  <w:pPr>
                    <w:adjustRightInd w:val="0"/>
                    <w:snapToGrid w:val="0"/>
                    <w:jc w:val="center"/>
                    <w:rPr>
                      <w:color w:val="auto"/>
                      <w:szCs w:val="21"/>
                    </w:rPr>
                  </w:pPr>
                  <w:r>
                    <w:rPr>
                      <w:rFonts w:hint="eastAsia" w:ascii="Times New Roman" w:hAnsi="Times New Roman" w:eastAsia="宋体" w:cs="Times New Roman"/>
                      <w:color w:val="auto"/>
                      <w:szCs w:val="21"/>
                      <w:lang w:val="en-US" w:eastAsia="zh-CN"/>
                    </w:rPr>
                    <w:t>《恶臭污染物排放标准》（</w:t>
                  </w:r>
                  <w:r>
                    <w:rPr>
                      <w:rFonts w:hint="default" w:ascii="Times New Roman" w:hAnsi="Times New Roman" w:eastAsia="宋体" w:cs="Times New Roman"/>
                      <w:color w:val="auto"/>
                      <w:szCs w:val="21"/>
                      <w:lang w:val="en-US" w:eastAsia="zh-CN"/>
                    </w:rPr>
                    <w:t>GB14554-93</w:t>
                  </w:r>
                  <w:r>
                    <w:rPr>
                      <w:rFonts w:hint="eastAsia" w:ascii="Times New Roman" w:hAnsi="Times New Roman" w:eastAsia="宋体" w:cs="Times New Roman"/>
                      <w:color w:val="auto"/>
                      <w:szCs w:val="21"/>
                      <w:lang w:val="en-US" w:eastAsia="zh-CN"/>
                    </w:rPr>
                    <w:t>）表1</w:t>
                  </w:r>
                  <w:r>
                    <w:rPr>
                      <w:rFonts w:hint="eastAsia" w:cs="Times New Roman"/>
                      <w:color w:val="auto"/>
                      <w:szCs w:val="21"/>
                      <w:lang w:val="en-US" w:eastAsia="zh-CN"/>
                    </w:rPr>
                    <w:t>新扩改建</w:t>
                  </w:r>
                  <w:r>
                    <w:rPr>
                      <w:rFonts w:hint="eastAsia" w:ascii="Times New Roman" w:hAnsi="Times New Roman" w:eastAsia="宋体" w:cs="Times New Roman"/>
                      <w:color w:val="auto"/>
                      <w:szCs w:val="21"/>
                      <w:lang w:val="en-US" w:eastAsia="zh-CN"/>
                    </w:rPr>
                    <w:t>的二级标准</w:t>
                  </w:r>
                </w:p>
              </w:tc>
            </w:tr>
            <w:tr w14:paraId="7F77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8"/>
                  <w:vAlign w:val="center"/>
                </w:tcPr>
                <w:p w14:paraId="3A7DDF59">
                  <w:pPr>
                    <w:adjustRightInd w:val="0"/>
                    <w:snapToGrid w:val="0"/>
                    <w:jc w:val="left"/>
                    <w:rPr>
                      <w:color w:val="auto"/>
                      <w:szCs w:val="21"/>
                    </w:rPr>
                  </w:pPr>
                  <w:r>
                    <w:rPr>
                      <w:color w:val="auto"/>
                      <w:szCs w:val="21"/>
                    </w:rPr>
                    <w:t>备注：b根据企业使用的原料、生产工艺过程、生产的产品、副产品，结合附录A和有关环境管理要求等，筛选确定计入TVOC的物质。TVOC待国家污染物监测方法标准发布后实施。</w:t>
                  </w:r>
                </w:p>
                <w:p w14:paraId="2D242FB9">
                  <w:pPr>
                    <w:adjustRightInd w:val="0"/>
                    <w:snapToGrid w:val="0"/>
                    <w:jc w:val="left"/>
                    <w:rPr>
                      <w:rFonts w:hint="default" w:eastAsia="宋体"/>
                      <w:color w:val="auto"/>
                      <w:szCs w:val="21"/>
                      <w:lang w:val="en-US" w:eastAsia="zh-CN"/>
                    </w:rPr>
                  </w:pPr>
                  <w:r>
                    <w:rPr>
                      <w:rFonts w:hint="eastAsia"/>
                      <w:color w:val="auto"/>
                      <w:szCs w:val="21"/>
                      <w:lang w:val="en-US" w:eastAsia="zh-CN"/>
                    </w:rPr>
                    <w:t>臭</w:t>
                  </w:r>
                  <w:r>
                    <w:rPr>
                      <w:rFonts w:hint="eastAsia" w:ascii="Times New Roman" w:hAnsi="Times New Roman" w:eastAsia="宋体" w:cs="Times New Roman"/>
                      <w:color w:val="auto"/>
                      <w:szCs w:val="21"/>
                      <w:lang w:val="en-US" w:eastAsia="zh-CN"/>
                    </w:rPr>
                    <w:t>气浓度：</w:t>
                  </w:r>
                  <w:r>
                    <w:rPr>
                      <w:rFonts w:hint="eastAsia" w:ascii="Times New Roman" w:hAnsi="Times New Roman" w:eastAsia="宋体" w:cs="Times New Roman"/>
                      <w:color w:val="auto"/>
                      <w:szCs w:val="21"/>
                    </w:rPr>
                    <w:t>6.1.2凡在表2所列两种高度之间的排气筒，采用四舍五入方法计算其排气筒的高度。表2中所列的排气简高度系指从地面(零地面)起至排气口的垂直高度。</w:t>
                  </w:r>
                  <w:r>
                    <w:rPr>
                      <w:rFonts w:hint="eastAsia" w:ascii="Times New Roman" w:hAnsi="Times New Roman" w:eastAsia="宋体" w:cs="Times New Roman"/>
                      <w:color w:val="auto"/>
                      <w:szCs w:val="21"/>
                      <w:lang w:val="en-US" w:eastAsia="zh-CN"/>
                    </w:rPr>
                    <w:t>按四舍五入法计算，本项目排气筒高22.5m，取表2中25m排气筒对应的标准值为6000（无量纲）。</w:t>
                  </w:r>
                </w:p>
              </w:tc>
            </w:tr>
          </w:tbl>
          <w:p w14:paraId="3C35F6A2">
            <w:pPr>
              <w:pStyle w:val="91"/>
              <w:adjustRightInd w:val="0"/>
              <w:snapToGrid w:val="0"/>
              <w:ind w:firstLine="422"/>
              <w:rPr>
                <w:rFonts w:ascii="Times New Roman" w:hAnsi="Times New Roman"/>
                <w:b/>
                <w:bCs/>
                <w:color w:val="auto"/>
                <w:sz w:val="24"/>
                <w:szCs w:val="24"/>
              </w:rPr>
            </w:pPr>
            <w:r>
              <w:rPr>
                <w:rFonts w:ascii="Times New Roman" w:hAnsi="Times New Roman"/>
                <w:b/>
                <w:bCs/>
                <w:color w:val="auto"/>
                <w:sz w:val="24"/>
                <w:szCs w:val="24"/>
              </w:rPr>
              <w:t>2、水污染物排放标准</w:t>
            </w:r>
          </w:p>
          <w:p w14:paraId="7D438A4D">
            <w:pPr>
              <w:widowControl/>
              <w:spacing w:line="360" w:lineRule="auto"/>
              <w:ind w:firstLine="480" w:firstLineChars="200"/>
              <w:jc w:val="left"/>
              <w:rPr>
                <w:color w:val="auto"/>
                <w:sz w:val="24"/>
                <w:szCs w:val="24"/>
              </w:rPr>
            </w:pPr>
            <w:r>
              <w:rPr>
                <w:color w:val="auto"/>
                <w:sz w:val="24"/>
                <w:szCs w:val="24"/>
              </w:rPr>
              <w:t>本项目不产生生产废水，产生的废水主要为生活污水。本项目生活污水经三级化粪池处理达到广东省地方标准《水污染物排放限值》（DB44/26-2001）第二时段三级标准以及园区污水处理厂接管水质要求两者较严值后，排入园区污水处理厂处理。</w:t>
            </w:r>
          </w:p>
          <w:p w14:paraId="231DA9EE">
            <w:pPr>
              <w:widowControl/>
              <w:spacing w:line="360" w:lineRule="auto"/>
              <w:ind w:firstLine="480" w:firstLineChars="200"/>
              <w:jc w:val="left"/>
              <w:rPr>
                <w:color w:val="auto"/>
                <w:sz w:val="24"/>
                <w:szCs w:val="24"/>
              </w:rPr>
            </w:pPr>
            <w:r>
              <w:rPr>
                <w:color w:val="auto"/>
                <w:sz w:val="24"/>
                <w:szCs w:val="24"/>
              </w:rPr>
              <w:t>园区污水处理厂出水水质标准执行广东省《水污染物排放限值》（DB44/26-2001）第二时段一级标准和《城镇污水处理厂污染物排放标准》（GB18919-2002）一级B标准中严者。</w:t>
            </w:r>
            <w:r>
              <w:rPr>
                <w:color w:val="auto"/>
                <w:sz w:val="24"/>
                <w:szCs w:val="24"/>
                <w:lang w:val="zh-CN"/>
              </w:rPr>
              <w:t>相关排放标准情况</w:t>
            </w:r>
            <w:r>
              <w:rPr>
                <w:color w:val="auto"/>
                <w:sz w:val="24"/>
                <w:szCs w:val="24"/>
              </w:rPr>
              <w:t>见下表：</w:t>
            </w:r>
          </w:p>
          <w:p w14:paraId="440CCFF9">
            <w:pPr>
              <w:pStyle w:val="91"/>
              <w:adjustRightInd w:val="0"/>
              <w:snapToGrid w:val="0"/>
              <w:ind w:firstLine="422"/>
              <w:jc w:val="center"/>
              <w:rPr>
                <w:rFonts w:ascii="Times New Roman" w:hAnsi="Times New Roman"/>
                <w:b/>
                <w:bCs/>
                <w:color w:val="auto"/>
                <w:sz w:val="24"/>
                <w:szCs w:val="24"/>
              </w:rPr>
            </w:pPr>
            <w:r>
              <w:rPr>
                <w:rFonts w:ascii="Times New Roman" w:hAnsi="Times New Roman"/>
                <w:b/>
                <w:bCs/>
                <w:color w:val="auto"/>
                <w:sz w:val="24"/>
                <w:szCs w:val="24"/>
              </w:rPr>
              <w:t>表</w:t>
            </w:r>
            <w:r>
              <w:rPr>
                <w:rFonts w:ascii="Times New Roman" w:hAnsi="Times New Roman"/>
                <w:b/>
                <w:bCs/>
                <w:color w:val="auto"/>
                <w:sz w:val="24"/>
                <w:szCs w:val="24"/>
              </w:rPr>
              <w:fldChar w:fldCharType="begin"/>
            </w:r>
            <w:r>
              <w:rPr>
                <w:rFonts w:ascii="Times New Roman" w:hAnsi="Times New Roman"/>
                <w:b/>
                <w:bCs/>
                <w:color w:val="auto"/>
                <w:sz w:val="24"/>
                <w:szCs w:val="24"/>
              </w:rPr>
              <w:instrText xml:space="preserve"> SEQ 表 \* ARABIC </w:instrText>
            </w:r>
            <w:r>
              <w:rPr>
                <w:rFonts w:ascii="Times New Roman" w:hAnsi="Times New Roman"/>
                <w:b/>
                <w:bCs/>
                <w:color w:val="auto"/>
                <w:sz w:val="24"/>
                <w:szCs w:val="24"/>
              </w:rPr>
              <w:fldChar w:fldCharType="separate"/>
            </w:r>
            <w:r>
              <w:rPr>
                <w:rFonts w:ascii="Times New Roman" w:hAnsi="Times New Roman"/>
                <w:b/>
                <w:bCs/>
                <w:color w:val="auto"/>
                <w:sz w:val="24"/>
                <w:szCs w:val="24"/>
              </w:rPr>
              <w:t>19</w:t>
            </w:r>
            <w:r>
              <w:rPr>
                <w:rFonts w:ascii="Times New Roman" w:hAnsi="Times New Roman"/>
                <w:b/>
                <w:bCs/>
                <w:color w:val="auto"/>
                <w:sz w:val="24"/>
                <w:szCs w:val="24"/>
              </w:rPr>
              <w:fldChar w:fldCharType="end"/>
            </w:r>
            <w:r>
              <w:rPr>
                <w:rFonts w:ascii="Times New Roman" w:hAnsi="Times New Roman"/>
                <w:b/>
                <w:bCs/>
                <w:color w:val="auto"/>
                <w:sz w:val="24"/>
                <w:szCs w:val="24"/>
              </w:rPr>
              <w:t xml:space="preserve">  本项目废水排放标准(单位：除pH外其他指标mg/L)</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9"/>
              <w:gridCol w:w="375"/>
              <w:gridCol w:w="645"/>
              <w:gridCol w:w="727"/>
              <w:gridCol w:w="533"/>
              <w:gridCol w:w="554"/>
              <w:gridCol w:w="498"/>
              <w:gridCol w:w="735"/>
              <w:gridCol w:w="735"/>
              <w:gridCol w:w="562"/>
              <w:gridCol w:w="912"/>
            </w:tblGrid>
            <w:tr w14:paraId="41AE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66" w:type="pct"/>
                  <w:tcBorders>
                    <w:tl2br w:val="nil"/>
                    <w:tr2bl w:val="nil"/>
                  </w:tcBorders>
                  <w:noWrap/>
                  <w:tcMar>
                    <w:left w:w="0" w:type="dxa"/>
                    <w:right w:w="0" w:type="dxa"/>
                  </w:tcMar>
                  <w:vAlign w:val="center"/>
                </w:tcPr>
                <w:p w14:paraId="3A936C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污染物</w:t>
                  </w:r>
                </w:p>
              </w:tc>
              <w:tc>
                <w:tcPr>
                  <w:tcW w:w="223" w:type="pct"/>
                  <w:tcBorders>
                    <w:tl2br w:val="nil"/>
                    <w:tr2bl w:val="nil"/>
                  </w:tcBorders>
                  <w:noWrap/>
                  <w:tcMar>
                    <w:left w:w="0" w:type="dxa"/>
                    <w:right w:w="0" w:type="dxa"/>
                  </w:tcMar>
                  <w:vAlign w:val="center"/>
                </w:tcPr>
                <w:p w14:paraId="44B0C4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pH</w:t>
                  </w:r>
                </w:p>
              </w:tc>
              <w:tc>
                <w:tcPr>
                  <w:tcW w:w="383" w:type="pct"/>
                  <w:tcBorders>
                    <w:tl2br w:val="nil"/>
                    <w:tr2bl w:val="nil"/>
                  </w:tcBorders>
                  <w:noWrap/>
                  <w:tcMar>
                    <w:left w:w="0" w:type="dxa"/>
                    <w:right w:w="0" w:type="dxa"/>
                  </w:tcMar>
                  <w:vAlign w:val="center"/>
                </w:tcPr>
                <w:p w14:paraId="4C670D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vertAlign w:val="subscript"/>
                    </w:rPr>
                  </w:pPr>
                  <w:r>
                    <w:rPr>
                      <w:b/>
                      <w:bCs/>
                      <w:color w:val="auto"/>
                      <w:szCs w:val="21"/>
                    </w:rPr>
                    <w:t>COD</w:t>
                  </w:r>
                  <w:r>
                    <w:rPr>
                      <w:b/>
                      <w:bCs/>
                      <w:color w:val="auto"/>
                      <w:szCs w:val="21"/>
                      <w:vertAlign w:val="subscript"/>
                    </w:rPr>
                    <w:t>Cr</w:t>
                  </w:r>
                </w:p>
              </w:tc>
              <w:tc>
                <w:tcPr>
                  <w:tcW w:w="432" w:type="pct"/>
                  <w:tcBorders>
                    <w:tl2br w:val="nil"/>
                    <w:tr2bl w:val="nil"/>
                  </w:tcBorders>
                  <w:noWrap/>
                  <w:tcMar>
                    <w:left w:w="0" w:type="dxa"/>
                    <w:right w:w="0" w:type="dxa"/>
                  </w:tcMar>
                  <w:vAlign w:val="center"/>
                </w:tcPr>
                <w:p w14:paraId="288066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vertAlign w:val="subscript"/>
                    </w:rPr>
                  </w:pPr>
                  <w:r>
                    <w:rPr>
                      <w:b/>
                      <w:bCs/>
                      <w:color w:val="auto"/>
                      <w:szCs w:val="21"/>
                    </w:rPr>
                    <w:t>BOD</w:t>
                  </w:r>
                  <w:r>
                    <w:rPr>
                      <w:b/>
                      <w:bCs/>
                      <w:color w:val="auto"/>
                      <w:szCs w:val="21"/>
                      <w:vertAlign w:val="subscript"/>
                    </w:rPr>
                    <w:t>5</w:t>
                  </w:r>
                </w:p>
              </w:tc>
              <w:tc>
                <w:tcPr>
                  <w:tcW w:w="317" w:type="pct"/>
                  <w:tcBorders>
                    <w:tl2br w:val="nil"/>
                    <w:tr2bl w:val="nil"/>
                  </w:tcBorders>
                  <w:noWrap/>
                  <w:tcMar>
                    <w:left w:w="0" w:type="dxa"/>
                    <w:right w:w="0" w:type="dxa"/>
                  </w:tcMar>
                  <w:vAlign w:val="center"/>
                </w:tcPr>
                <w:p w14:paraId="60F626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SS</w:t>
                  </w:r>
                </w:p>
              </w:tc>
              <w:tc>
                <w:tcPr>
                  <w:tcW w:w="329" w:type="pct"/>
                  <w:tcBorders>
                    <w:tl2br w:val="nil"/>
                    <w:tr2bl w:val="nil"/>
                  </w:tcBorders>
                  <w:noWrap/>
                  <w:tcMar>
                    <w:left w:w="0" w:type="dxa"/>
                    <w:right w:w="0" w:type="dxa"/>
                  </w:tcMar>
                  <w:vAlign w:val="center"/>
                </w:tcPr>
                <w:p w14:paraId="5E3FAC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氨氮</w:t>
                  </w:r>
                </w:p>
              </w:tc>
              <w:tc>
                <w:tcPr>
                  <w:tcW w:w="296" w:type="pct"/>
                  <w:tcBorders>
                    <w:tl2br w:val="nil"/>
                    <w:tr2bl w:val="nil"/>
                  </w:tcBorders>
                  <w:noWrap/>
                  <w:tcMar>
                    <w:left w:w="0" w:type="dxa"/>
                    <w:right w:w="0" w:type="dxa"/>
                  </w:tcMar>
                  <w:vAlign w:val="center"/>
                </w:tcPr>
                <w:p w14:paraId="4BCBC3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LAS</w:t>
                  </w:r>
                </w:p>
              </w:tc>
              <w:tc>
                <w:tcPr>
                  <w:tcW w:w="437" w:type="pct"/>
                  <w:tcBorders>
                    <w:tl2br w:val="nil"/>
                    <w:tr2bl w:val="nil"/>
                  </w:tcBorders>
                  <w:noWrap/>
                  <w:tcMar>
                    <w:left w:w="0" w:type="dxa"/>
                    <w:right w:w="0" w:type="dxa"/>
                  </w:tcMar>
                  <w:vAlign w:val="center"/>
                </w:tcPr>
                <w:p w14:paraId="63200E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氟化物</w:t>
                  </w:r>
                </w:p>
              </w:tc>
              <w:tc>
                <w:tcPr>
                  <w:tcW w:w="437" w:type="pct"/>
                  <w:tcBorders>
                    <w:tl2br w:val="nil"/>
                    <w:tr2bl w:val="nil"/>
                  </w:tcBorders>
                  <w:noWrap/>
                  <w:tcMar>
                    <w:left w:w="0" w:type="dxa"/>
                    <w:right w:w="0" w:type="dxa"/>
                  </w:tcMar>
                  <w:vAlign w:val="center"/>
                </w:tcPr>
                <w:p w14:paraId="5FCCFE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石油类</w:t>
                  </w:r>
                </w:p>
              </w:tc>
              <w:tc>
                <w:tcPr>
                  <w:tcW w:w="334" w:type="pct"/>
                  <w:tcBorders>
                    <w:tl2br w:val="nil"/>
                    <w:tr2bl w:val="nil"/>
                  </w:tcBorders>
                  <w:noWrap/>
                  <w:tcMar>
                    <w:left w:w="0" w:type="dxa"/>
                    <w:right w:w="0" w:type="dxa"/>
                  </w:tcMar>
                  <w:vAlign w:val="center"/>
                </w:tcPr>
                <w:p w14:paraId="564F8E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总磷</w:t>
                  </w:r>
                </w:p>
              </w:tc>
              <w:tc>
                <w:tcPr>
                  <w:tcW w:w="542" w:type="pct"/>
                  <w:tcBorders>
                    <w:tl2br w:val="nil"/>
                    <w:tr2bl w:val="nil"/>
                  </w:tcBorders>
                  <w:noWrap/>
                  <w:tcMar>
                    <w:left w:w="0" w:type="dxa"/>
                    <w:right w:w="0" w:type="dxa"/>
                  </w:tcMar>
                  <w:vAlign w:val="center"/>
                </w:tcPr>
                <w:p w14:paraId="451495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动植物油</w:t>
                  </w:r>
                </w:p>
              </w:tc>
            </w:tr>
            <w:tr w14:paraId="21D8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266" w:type="pct"/>
                  <w:tcBorders>
                    <w:tl2br w:val="nil"/>
                    <w:tr2bl w:val="nil"/>
                  </w:tcBorders>
                  <w:noWrap/>
                  <w:tcMar>
                    <w:left w:w="0" w:type="dxa"/>
                    <w:right w:w="0" w:type="dxa"/>
                  </w:tcMar>
                  <w:vAlign w:val="center"/>
                </w:tcPr>
                <w:p w14:paraId="56AA86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园区污水处理厂接管水质要求</w:t>
                  </w:r>
                </w:p>
              </w:tc>
              <w:tc>
                <w:tcPr>
                  <w:tcW w:w="223" w:type="pct"/>
                  <w:tcBorders>
                    <w:tl2br w:val="nil"/>
                    <w:tr2bl w:val="nil"/>
                  </w:tcBorders>
                  <w:noWrap/>
                  <w:tcMar>
                    <w:left w:w="0" w:type="dxa"/>
                    <w:right w:w="0" w:type="dxa"/>
                  </w:tcMar>
                  <w:vAlign w:val="center"/>
                </w:tcPr>
                <w:p w14:paraId="6702E6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color w:val="auto"/>
                      <w:szCs w:val="21"/>
                    </w:rPr>
                    <w:t>6-9</w:t>
                  </w:r>
                </w:p>
              </w:tc>
              <w:tc>
                <w:tcPr>
                  <w:tcW w:w="383" w:type="pct"/>
                  <w:tcBorders>
                    <w:tl2br w:val="nil"/>
                    <w:tr2bl w:val="nil"/>
                  </w:tcBorders>
                  <w:noWrap/>
                  <w:tcMar>
                    <w:left w:w="0" w:type="dxa"/>
                    <w:right w:w="0" w:type="dxa"/>
                  </w:tcMar>
                  <w:vAlign w:val="center"/>
                </w:tcPr>
                <w:p w14:paraId="754070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300</w:t>
                  </w:r>
                </w:p>
              </w:tc>
              <w:tc>
                <w:tcPr>
                  <w:tcW w:w="432" w:type="pct"/>
                  <w:tcBorders>
                    <w:tl2br w:val="nil"/>
                    <w:tr2bl w:val="nil"/>
                  </w:tcBorders>
                  <w:noWrap/>
                  <w:vAlign w:val="center"/>
                </w:tcPr>
                <w:p w14:paraId="442F11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150</w:t>
                  </w:r>
                </w:p>
              </w:tc>
              <w:tc>
                <w:tcPr>
                  <w:tcW w:w="317" w:type="pct"/>
                  <w:tcBorders>
                    <w:tl2br w:val="nil"/>
                    <w:tr2bl w:val="nil"/>
                  </w:tcBorders>
                  <w:noWrap/>
                  <w:vAlign w:val="center"/>
                </w:tcPr>
                <w:p w14:paraId="5CCBFD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250</w:t>
                  </w:r>
                </w:p>
              </w:tc>
              <w:tc>
                <w:tcPr>
                  <w:tcW w:w="329" w:type="pct"/>
                  <w:tcBorders>
                    <w:tl2br w:val="nil"/>
                    <w:tr2bl w:val="nil"/>
                  </w:tcBorders>
                  <w:noWrap/>
                  <w:vAlign w:val="center"/>
                </w:tcPr>
                <w:p w14:paraId="18D2CC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40</w:t>
                  </w:r>
                </w:p>
              </w:tc>
              <w:tc>
                <w:tcPr>
                  <w:tcW w:w="296" w:type="pct"/>
                  <w:tcBorders>
                    <w:tl2br w:val="nil"/>
                    <w:tr2bl w:val="nil"/>
                  </w:tcBorders>
                  <w:noWrap/>
                  <w:vAlign w:val="center"/>
                </w:tcPr>
                <w:p w14:paraId="69ECC6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w:t>
                  </w:r>
                </w:p>
              </w:tc>
              <w:tc>
                <w:tcPr>
                  <w:tcW w:w="437" w:type="pct"/>
                  <w:tcBorders>
                    <w:tl2br w:val="nil"/>
                    <w:tr2bl w:val="nil"/>
                  </w:tcBorders>
                  <w:noWrap/>
                  <w:vAlign w:val="center"/>
                </w:tcPr>
                <w:p w14:paraId="3B74F5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w:t>
                  </w:r>
                </w:p>
              </w:tc>
              <w:tc>
                <w:tcPr>
                  <w:tcW w:w="437" w:type="pct"/>
                  <w:tcBorders>
                    <w:tl2br w:val="nil"/>
                    <w:tr2bl w:val="nil"/>
                  </w:tcBorders>
                  <w:noWrap/>
                  <w:vAlign w:val="center"/>
                </w:tcPr>
                <w:p w14:paraId="110B25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w:t>
                  </w:r>
                </w:p>
              </w:tc>
              <w:tc>
                <w:tcPr>
                  <w:tcW w:w="334" w:type="pct"/>
                  <w:tcBorders>
                    <w:tl2br w:val="nil"/>
                    <w:tr2bl w:val="nil"/>
                  </w:tcBorders>
                  <w:noWrap/>
                  <w:vAlign w:val="center"/>
                </w:tcPr>
                <w:p w14:paraId="73A092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w:t>
                  </w:r>
                </w:p>
              </w:tc>
              <w:tc>
                <w:tcPr>
                  <w:tcW w:w="542" w:type="pct"/>
                  <w:tcBorders>
                    <w:tl2br w:val="nil"/>
                    <w:tr2bl w:val="nil"/>
                  </w:tcBorders>
                  <w:noWrap/>
                  <w:vAlign w:val="center"/>
                </w:tcPr>
                <w:p w14:paraId="721EC7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w:t>
                  </w:r>
                </w:p>
              </w:tc>
            </w:tr>
            <w:tr w14:paraId="7AC3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266" w:type="pct"/>
                  <w:tcBorders>
                    <w:tl2br w:val="nil"/>
                    <w:tr2bl w:val="nil"/>
                  </w:tcBorders>
                  <w:noWrap/>
                  <w:tcMar>
                    <w:left w:w="0" w:type="dxa"/>
                    <w:right w:w="0" w:type="dxa"/>
                  </w:tcMar>
                  <w:vAlign w:val="center"/>
                </w:tcPr>
                <w:p w14:paraId="040A76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DB44/26-2001第二时段三级标准</w:t>
                  </w:r>
                </w:p>
              </w:tc>
              <w:tc>
                <w:tcPr>
                  <w:tcW w:w="223" w:type="pct"/>
                  <w:tcBorders>
                    <w:tl2br w:val="nil"/>
                    <w:tr2bl w:val="nil"/>
                  </w:tcBorders>
                  <w:noWrap/>
                  <w:tcMar>
                    <w:left w:w="0" w:type="dxa"/>
                    <w:right w:w="0" w:type="dxa"/>
                  </w:tcMar>
                  <w:vAlign w:val="center"/>
                </w:tcPr>
                <w:p w14:paraId="206F24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color w:val="auto"/>
                      <w:szCs w:val="21"/>
                    </w:rPr>
                    <w:t>6-9</w:t>
                  </w:r>
                </w:p>
              </w:tc>
              <w:tc>
                <w:tcPr>
                  <w:tcW w:w="383" w:type="pct"/>
                  <w:tcBorders>
                    <w:tl2br w:val="nil"/>
                    <w:tr2bl w:val="nil"/>
                  </w:tcBorders>
                  <w:noWrap/>
                  <w:tcMar>
                    <w:left w:w="0" w:type="dxa"/>
                    <w:right w:w="0" w:type="dxa"/>
                  </w:tcMar>
                  <w:vAlign w:val="center"/>
                </w:tcPr>
                <w:p w14:paraId="62EB10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500</w:t>
                  </w:r>
                </w:p>
              </w:tc>
              <w:tc>
                <w:tcPr>
                  <w:tcW w:w="432" w:type="pct"/>
                  <w:tcBorders>
                    <w:tl2br w:val="nil"/>
                    <w:tr2bl w:val="nil"/>
                  </w:tcBorders>
                  <w:noWrap/>
                  <w:vAlign w:val="center"/>
                </w:tcPr>
                <w:p w14:paraId="6EF20F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300</w:t>
                  </w:r>
                </w:p>
              </w:tc>
              <w:tc>
                <w:tcPr>
                  <w:tcW w:w="317" w:type="pct"/>
                  <w:tcBorders>
                    <w:tl2br w:val="nil"/>
                    <w:tr2bl w:val="nil"/>
                  </w:tcBorders>
                  <w:noWrap/>
                  <w:vAlign w:val="center"/>
                </w:tcPr>
                <w:p w14:paraId="5757E3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400</w:t>
                  </w:r>
                </w:p>
              </w:tc>
              <w:tc>
                <w:tcPr>
                  <w:tcW w:w="329" w:type="pct"/>
                  <w:tcBorders>
                    <w:tl2br w:val="nil"/>
                    <w:tr2bl w:val="nil"/>
                  </w:tcBorders>
                  <w:noWrap/>
                  <w:vAlign w:val="center"/>
                </w:tcPr>
                <w:p w14:paraId="61B82C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w:t>
                  </w:r>
                </w:p>
              </w:tc>
              <w:tc>
                <w:tcPr>
                  <w:tcW w:w="296" w:type="pct"/>
                  <w:tcBorders>
                    <w:tl2br w:val="nil"/>
                    <w:tr2bl w:val="nil"/>
                  </w:tcBorders>
                  <w:noWrap/>
                  <w:vAlign w:val="center"/>
                </w:tcPr>
                <w:p w14:paraId="71A0A1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20</w:t>
                  </w:r>
                </w:p>
              </w:tc>
              <w:tc>
                <w:tcPr>
                  <w:tcW w:w="437" w:type="pct"/>
                  <w:tcBorders>
                    <w:tl2br w:val="nil"/>
                    <w:tr2bl w:val="nil"/>
                  </w:tcBorders>
                  <w:noWrap/>
                  <w:vAlign w:val="center"/>
                </w:tcPr>
                <w:p w14:paraId="3A6042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20</w:t>
                  </w:r>
                </w:p>
              </w:tc>
              <w:tc>
                <w:tcPr>
                  <w:tcW w:w="437" w:type="pct"/>
                  <w:tcBorders>
                    <w:tl2br w:val="nil"/>
                    <w:tr2bl w:val="nil"/>
                  </w:tcBorders>
                  <w:noWrap/>
                  <w:vAlign w:val="center"/>
                </w:tcPr>
                <w:p w14:paraId="19DE5F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20</w:t>
                  </w:r>
                </w:p>
              </w:tc>
              <w:tc>
                <w:tcPr>
                  <w:tcW w:w="334" w:type="pct"/>
                  <w:tcBorders>
                    <w:tl2br w:val="nil"/>
                    <w:tr2bl w:val="nil"/>
                  </w:tcBorders>
                  <w:noWrap/>
                  <w:vAlign w:val="center"/>
                </w:tcPr>
                <w:p w14:paraId="03148E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w:t>
                  </w:r>
                </w:p>
              </w:tc>
              <w:tc>
                <w:tcPr>
                  <w:tcW w:w="542" w:type="pct"/>
                  <w:tcBorders>
                    <w:tl2br w:val="nil"/>
                    <w:tr2bl w:val="nil"/>
                  </w:tcBorders>
                  <w:noWrap/>
                  <w:vAlign w:val="center"/>
                </w:tcPr>
                <w:p w14:paraId="46B722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rPr>
                  </w:pPr>
                  <w:r>
                    <w:rPr>
                      <w:color w:val="auto"/>
                      <w:szCs w:val="21"/>
                    </w:rPr>
                    <w:t>100</w:t>
                  </w:r>
                </w:p>
              </w:tc>
            </w:tr>
            <w:tr w14:paraId="2C33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266" w:type="pct"/>
                  <w:tcBorders>
                    <w:tl2br w:val="nil"/>
                    <w:tr2bl w:val="nil"/>
                  </w:tcBorders>
                  <w:noWrap/>
                  <w:tcMar>
                    <w:left w:w="0" w:type="dxa"/>
                    <w:right w:w="0" w:type="dxa"/>
                  </w:tcMar>
                  <w:vAlign w:val="center"/>
                </w:tcPr>
                <w:p w14:paraId="344892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生活污水排放限值</w:t>
                  </w:r>
                </w:p>
              </w:tc>
              <w:tc>
                <w:tcPr>
                  <w:tcW w:w="223" w:type="pct"/>
                  <w:tcBorders>
                    <w:tl2br w:val="nil"/>
                    <w:tr2bl w:val="nil"/>
                  </w:tcBorders>
                  <w:noWrap/>
                  <w:tcMar>
                    <w:left w:w="0" w:type="dxa"/>
                    <w:right w:w="0" w:type="dxa"/>
                  </w:tcMar>
                  <w:vAlign w:val="center"/>
                </w:tcPr>
                <w:p w14:paraId="5F2B6E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6-9</w:t>
                  </w:r>
                </w:p>
              </w:tc>
              <w:tc>
                <w:tcPr>
                  <w:tcW w:w="383" w:type="pct"/>
                  <w:tcBorders>
                    <w:tl2br w:val="nil"/>
                    <w:tr2bl w:val="nil"/>
                  </w:tcBorders>
                  <w:noWrap/>
                  <w:tcMar>
                    <w:left w:w="0" w:type="dxa"/>
                    <w:right w:w="0" w:type="dxa"/>
                  </w:tcMar>
                  <w:vAlign w:val="center"/>
                </w:tcPr>
                <w:p w14:paraId="2048D1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300</w:t>
                  </w:r>
                </w:p>
              </w:tc>
              <w:tc>
                <w:tcPr>
                  <w:tcW w:w="432" w:type="pct"/>
                  <w:tcBorders>
                    <w:tl2br w:val="nil"/>
                    <w:tr2bl w:val="nil"/>
                  </w:tcBorders>
                  <w:noWrap/>
                  <w:vAlign w:val="center"/>
                </w:tcPr>
                <w:p w14:paraId="24A864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150</w:t>
                  </w:r>
                </w:p>
              </w:tc>
              <w:tc>
                <w:tcPr>
                  <w:tcW w:w="317" w:type="pct"/>
                  <w:tcBorders>
                    <w:tl2br w:val="nil"/>
                    <w:tr2bl w:val="nil"/>
                  </w:tcBorders>
                  <w:noWrap/>
                  <w:vAlign w:val="center"/>
                </w:tcPr>
                <w:p w14:paraId="6B1333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250</w:t>
                  </w:r>
                </w:p>
              </w:tc>
              <w:tc>
                <w:tcPr>
                  <w:tcW w:w="329" w:type="pct"/>
                  <w:tcBorders>
                    <w:tl2br w:val="nil"/>
                    <w:tr2bl w:val="nil"/>
                  </w:tcBorders>
                  <w:noWrap/>
                  <w:vAlign w:val="center"/>
                </w:tcPr>
                <w:p w14:paraId="5AA0C5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40</w:t>
                  </w:r>
                </w:p>
              </w:tc>
              <w:tc>
                <w:tcPr>
                  <w:tcW w:w="296" w:type="pct"/>
                  <w:tcBorders>
                    <w:tl2br w:val="nil"/>
                    <w:tr2bl w:val="nil"/>
                  </w:tcBorders>
                  <w:noWrap/>
                  <w:vAlign w:val="center"/>
                </w:tcPr>
                <w:p w14:paraId="64D06C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20</w:t>
                  </w:r>
                </w:p>
              </w:tc>
              <w:tc>
                <w:tcPr>
                  <w:tcW w:w="437" w:type="pct"/>
                  <w:tcBorders>
                    <w:tl2br w:val="nil"/>
                    <w:tr2bl w:val="nil"/>
                  </w:tcBorders>
                  <w:noWrap/>
                  <w:vAlign w:val="center"/>
                </w:tcPr>
                <w:p w14:paraId="2AEA40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20</w:t>
                  </w:r>
                </w:p>
              </w:tc>
              <w:tc>
                <w:tcPr>
                  <w:tcW w:w="437" w:type="pct"/>
                  <w:tcBorders>
                    <w:tl2br w:val="nil"/>
                    <w:tr2bl w:val="nil"/>
                  </w:tcBorders>
                  <w:noWrap/>
                  <w:vAlign w:val="center"/>
                </w:tcPr>
                <w:p w14:paraId="77C3B9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20</w:t>
                  </w:r>
                </w:p>
              </w:tc>
              <w:tc>
                <w:tcPr>
                  <w:tcW w:w="334" w:type="pct"/>
                  <w:tcBorders>
                    <w:tl2br w:val="nil"/>
                    <w:tr2bl w:val="nil"/>
                  </w:tcBorders>
                  <w:noWrap/>
                  <w:vAlign w:val="center"/>
                </w:tcPr>
                <w:p w14:paraId="2A9E3E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w:t>
                  </w:r>
                </w:p>
              </w:tc>
              <w:tc>
                <w:tcPr>
                  <w:tcW w:w="542" w:type="pct"/>
                  <w:tcBorders>
                    <w:tl2br w:val="nil"/>
                    <w:tr2bl w:val="nil"/>
                  </w:tcBorders>
                  <w:noWrap/>
                  <w:vAlign w:val="center"/>
                </w:tcPr>
                <w:p w14:paraId="13C5F4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Cs w:val="21"/>
                    </w:rPr>
                  </w:pPr>
                  <w:r>
                    <w:rPr>
                      <w:b/>
                      <w:bCs/>
                      <w:color w:val="auto"/>
                      <w:szCs w:val="21"/>
                    </w:rPr>
                    <w:t>100</w:t>
                  </w:r>
                </w:p>
              </w:tc>
            </w:tr>
          </w:tbl>
          <w:p w14:paraId="580C02CD">
            <w:pPr>
              <w:pStyle w:val="91"/>
              <w:adjustRightInd w:val="0"/>
              <w:snapToGrid w:val="0"/>
              <w:ind w:firstLine="0" w:firstLineChars="0"/>
              <w:rPr>
                <w:rFonts w:ascii="Times New Roman" w:hAnsi="Times New Roman"/>
                <w:b/>
                <w:bCs/>
                <w:color w:val="auto"/>
                <w:sz w:val="21"/>
                <w:szCs w:val="21"/>
              </w:rPr>
            </w:pPr>
          </w:p>
          <w:p w14:paraId="5FD44A49">
            <w:pPr>
              <w:tabs>
                <w:tab w:val="left" w:pos="0"/>
              </w:tabs>
              <w:jc w:val="center"/>
              <w:rPr>
                <w:b/>
                <w:bCs/>
                <w:color w:val="auto"/>
                <w:sz w:val="24"/>
                <w:szCs w:val="24"/>
              </w:rPr>
            </w:pPr>
            <w:r>
              <w:rPr>
                <w:b/>
                <w:bCs/>
                <w:color w:val="auto"/>
                <w:sz w:val="24"/>
                <w:szCs w:val="24"/>
              </w:rPr>
              <w:t>表</w:t>
            </w:r>
            <w:r>
              <w:rPr>
                <w:b/>
                <w:bCs/>
                <w:color w:val="auto"/>
                <w:sz w:val="24"/>
                <w:szCs w:val="24"/>
              </w:rPr>
              <w:fldChar w:fldCharType="begin"/>
            </w:r>
            <w:r>
              <w:rPr>
                <w:b/>
                <w:bCs/>
                <w:color w:val="auto"/>
                <w:sz w:val="24"/>
                <w:szCs w:val="24"/>
              </w:rPr>
              <w:instrText xml:space="preserve"> SEQ 表 \* ARABIC </w:instrText>
            </w:r>
            <w:r>
              <w:rPr>
                <w:b/>
                <w:bCs/>
                <w:color w:val="auto"/>
                <w:sz w:val="24"/>
                <w:szCs w:val="24"/>
              </w:rPr>
              <w:fldChar w:fldCharType="separate"/>
            </w:r>
            <w:r>
              <w:rPr>
                <w:b/>
                <w:bCs/>
                <w:color w:val="auto"/>
                <w:sz w:val="24"/>
                <w:szCs w:val="24"/>
              </w:rPr>
              <w:t>20</w:t>
            </w:r>
            <w:r>
              <w:rPr>
                <w:b/>
                <w:bCs/>
                <w:color w:val="auto"/>
                <w:sz w:val="24"/>
                <w:szCs w:val="24"/>
              </w:rPr>
              <w:fldChar w:fldCharType="end"/>
            </w:r>
            <w:r>
              <w:rPr>
                <w:b/>
                <w:bCs/>
                <w:color w:val="auto"/>
                <w:sz w:val="24"/>
                <w:szCs w:val="24"/>
              </w:rPr>
              <w:t xml:space="preserve"> 园区污水处理厂水污染物排放限值（摘录） 单位：mg/L，pH为无量纲</w:t>
            </w:r>
          </w:p>
          <w:tbl>
            <w:tblPr>
              <w:tblStyle w:val="3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825"/>
              <w:gridCol w:w="813"/>
              <w:gridCol w:w="648"/>
              <w:gridCol w:w="1023"/>
              <w:gridCol w:w="1937"/>
              <w:gridCol w:w="1366"/>
            </w:tblGrid>
            <w:tr w14:paraId="09C2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bottom w:val="single" w:color="auto" w:sz="4" w:space="0"/>
                    <w:tl2br w:val="nil"/>
                    <w:tr2bl w:val="nil"/>
                  </w:tcBorders>
                  <w:noWrap/>
                  <w:tcMar>
                    <w:left w:w="0" w:type="dxa"/>
                    <w:right w:w="0" w:type="dxa"/>
                  </w:tcMar>
                  <w:vAlign w:val="center"/>
                </w:tcPr>
                <w:p w14:paraId="6E32CE39">
                  <w:pPr>
                    <w:jc w:val="center"/>
                    <w:rPr>
                      <w:b/>
                      <w:bCs/>
                      <w:color w:val="auto"/>
                      <w:szCs w:val="21"/>
                    </w:rPr>
                  </w:pPr>
                  <w:r>
                    <w:rPr>
                      <w:b/>
                      <w:bCs/>
                      <w:color w:val="auto"/>
                      <w:szCs w:val="21"/>
                    </w:rPr>
                    <w:t>污染物</w:t>
                  </w:r>
                </w:p>
              </w:tc>
              <w:tc>
                <w:tcPr>
                  <w:tcW w:w="491" w:type="pct"/>
                  <w:tcBorders>
                    <w:bottom w:val="single" w:color="auto" w:sz="4" w:space="0"/>
                    <w:tl2br w:val="nil"/>
                    <w:tr2bl w:val="nil"/>
                  </w:tcBorders>
                  <w:noWrap/>
                  <w:tcMar>
                    <w:left w:w="0" w:type="dxa"/>
                    <w:right w:w="0" w:type="dxa"/>
                  </w:tcMar>
                  <w:vAlign w:val="center"/>
                </w:tcPr>
                <w:p w14:paraId="2E1E5CA4">
                  <w:pPr>
                    <w:jc w:val="center"/>
                    <w:rPr>
                      <w:b/>
                      <w:bCs/>
                      <w:color w:val="auto"/>
                      <w:szCs w:val="21"/>
                      <w:vertAlign w:val="subscript"/>
                    </w:rPr>
                  </w:pPr>
                  <w:r>
                    <w:rPr>
                      <w:b/>
                      <w:bCs/>
                      <w:color w:val="auto"/>
                      <w:szCs w:val="21"/>
                    </w:rPr>
                    <w:t>COD</w:t>
                  </w:r>
                  <w:r>
                    <w:rPr>
                      <w:b/>
                      <w:bCs/>
                      <w:color w:val="auto"/>
                      <w:szCs w:val="21"/>
                      <w:vertAlign w:val="subscript"/>
                    </w:rPr>
                    <w:t>Cr</w:t>
                  </w:r>
                </w:p>
              </w:tc>
              <w:tc>
                <w:tcPr>
                  <w:tcW w:w="484" w:type="pct"/>
                  <w:tcBorders>
                    <w:bottom w:val="single" w:color="auto" w:sz="4" w:space="0"/>
                    <w:tl2br w:val="nil"/>
                    <w:tr2bl w:val="nil"/>
                  </w:tcBorders>
                  <w:noWrap/>
                  <w:vAlign w:val="center"/>
                </w:tcPr>
                <w:p w14:paraId="5DD4C3D6">
                  <w:pPr>
                    <w:jc w:val="center"/>
                    <w:rPr>
                      <w:b/>
                      <w:bCs/>
                      <w:color w:val="auto"/>
                      <w:szCs w:val="21"/>
                      <w:vertAlign w:val="subscript"/>
                    </w:rPr>
                  </w:pPr>
                  <w:r>
                    <w:rPr>
                      <w:b/>
                      <w:bCs/>
                      <w:color w:val="auto"/>
                      <w:szCs w:val="21"/>
                    </w:rPr>
                    <w:t>BOD</w:t>
                  </w:r>
                  <w:r>
                    <w:rPr>
                      <w:b/>
                      <w:bCs/>
                      <w:color w:val="auto"/>
                      <w:szCs w:val="21"/>
                      <w:vertAlign w:val="subscript"/>
                    </w:rPr>
                    <w:t>5</w:t>
                  </w:r>
                </w:p>
              </w:tc>
              <w:tc>
                <w:tcPr>
                  <w:tcW w:w="386" w:type="pct"/>
                  <w:tcBorders>
                    <w:bottom w:val="single" w:color="auto" w:sz="4" w:space="0"/>
                    <w:tl2br w:val="nil"/>
                    <w:tr2bl w:val="nil"/>
                  </w:tcBorders>
                  <w:noWrap/>
                  <w:vAlign w:val="center"/>
                </w:tcPr>
                <w:p w14:paraId="4669D4CA">
                  <w:pPr>
                    <w:jc w:val="center"/>
                    <w:rPr>
                      <w:b/>
                      <w:bCs/>
                      <w:color w:val="auto"/>
                      <w:szCs w:val="21"/>
                    </w:rPr>
                  </w:pPr>
                  <w:r>
                    <w:rPr>
                      <w:b/>
                      <w:bCs/>
                      <w:color w:val="auto"/>
                      <w:szCs w:val="21"/>
                    </w:rPr>
                    <w:t>SS</w:t>
                  </w:r>
                </w:p>
              </w:tc>
              <w:tc>
                <w:tcPr>
                  <w:tcW w:w="609" w:type="pct"/>
                  <w:tcBorders>
                    <w:bottom w:val="single" w:color="auto" w:sz="4" w:space="0"/>
                    <w:tl2br w:val="nil"/>
                    <w:tr2bl w:val="nil"/>
                  </w:tcBorders>
                  <w:noWrap/>
                  <w:vAlign w:val="center"/>
                </w:tcPr>
                <w:p w14:paraId="6515205F">
                  <w:pPr>
                    <w:jc w:val="center"/>
                    <w:rPr>
                      <w:b/>
                      <w:bCs/>
                      <w:color w:val="auto"/>
                      <w:szCs w:val="21"/>
                    </w:rPr>
                  </w:pPr>
                  <w:r>
                    <w:rPr>
                      <w:b/>
                      <w:bCs/>
                      <w:color w:val="auto"/>
                      <w:szCs w:val="21"/>
                    </w:rPr>
                    <w:t>氨氮</w:t>
                  </w:r>
                </w:p>
              </w:tc>
              <w:tc>
                <w:tcPr>
                  <w:tcW w:w="1153" w:type="pct"/>
                  <w:tcBorders>
                    <w:bottom w:val="single" w:color="auto" w:sz="4" w:space="0"/>
                    <w:tl2br w:val="nil"/>
                    <w:tr2bl w:val="nil"/>
                  </w:tcBorders>
                  <w:noWrap/>
                  <w:vAlign w:val="center"/>
                </w:tcPr>
                <w:p w14:paraId="7687D84A">
                  <w:pPr>
                    <w:jc w:val="center"/>
                    <w:rPr>
                      <w:b/>
                      <w:bCs/>
                      <w:color w:val="auto"/>
                      <w:szCs w:val="21"/>
                    </w:rPr>
                  </w:pPr>
                  <w:r>
                    <w:rPr>
                      <w:b/>
                      <w:bCs/>
                      <w:color w:val="auto"/>
                      <w:szCs w:val="21"/>
                    </w:rPr>
                    <w:t>阴离子表面活性剂</w:t>
                  </w:r>
                </w:p>
              </w:tc>
              <w:tc>
                <w:tcPr>
                  <w:tcW w:w="810" w:type="pct"/>
                  <w:tcBorders>
                    <w:bottom w:val="single" w:color="auto" w:sz="4" w:space="0"/>
                    <w:tl2br w:val="nil"/>
                    <w:tr2bl w:val="nil"/>
                  </w:tcBorders>
                  <w:noWrap/>
                  <w:vAlign w:val="center"/>
                </w:tcPr>
                <w:p w14:paraId="548191C8">
                  <w:pPr>
                    <w:jc w:val="center"/>
                    <w:rPr>
                      <w:b/>
                      <w:bCs/>
                      <w:color w:val="auto"/>
                      <w:szCs w:val="21"/>
                    </w:rPr>
                  </w:pPr>
                  <w:r>
                    <w:rPr>
                      <w:b/>
                      <w:bCs/>
                      <w:color w:val="auto"/>
                      <w:szCs w:val="21"/>
                    </w:rPr>
                    <w:t>动植物油</w:t>
                  </w:r>
                </w:p>
              </w:tc>
            </w:tr>
            <w:tr w14:paraId="5E0D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0784E716">
                  <w:pPr>
                    <w:jc w:val="center"/>
                    <w:rPr>
                      <w:color w:val="auto"/>
                      <w:szCs w:val="21"/>
                    </w:rPr>
                  </w:pPr>
                  <w:r>
                    <w:rPr>
                      <w:color w:val="auto"/>
                      <w:szCs w:val="21"/>
                    </w:rPr>
                    <w:t>DB44/26-2001第二时段一级排放标准</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10A1E839">
                  <w:pPr>
                    <w:jc w:val="center"/>
                    <w:rPr>
                      <w:color w:val="auto"/>
                      <w:szCs w:val="21"/>
                    </w:rPr>
                  </w:pPr>
                  <w:r>
                    <w:rPr>
                      <w:color w:val="auto"/>
                      <w:szCs w:val="21"/>
                    </w:rPr>
                    <w:t>40</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2E569326">
                  <w:pPr>
                    <w:jc w:val="center"/>
                    <w:rPr>
                      <w:color w:val="auto"/>
                      <w:szCs w:val="21"/>
                    </w:rPr>
                  </w:pPr>
                  <w:r>
                    <w:rPr>
                      <w:color w:val="auto"/>
                      <w:szCs w:val="21"/>
                    </w:rPr>
                    <w:t>20</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4A57D45F">
                  <w:pPr>
                    <w:jc w:val="center"/>
                    <w:rPr>
                      <w:color w:val="auto"/>
                      <w:szCs w:val="21"/>
                    </w:rPr>
                  </w:pPr>
                  <w:r>
                    <w:rPr>
                      <w:color w:val="auto"/>
                      <w:szCs w:val="21"/>
                    </w:rPr>
                    <w:t>20</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267B29DD">
                  <w:pPr>
                    <w:jc w:val="center"/>
                    <w:rPr>
                      <w:color w:val="auto"/>
                      <w:szCs w:val="21"/>
                    </w:rPr>
                  </w:pPr>
                  <w:r>
                    <w:rPr>
                      <w:color w:val="auto"/>
                      <w:szCs w:val="21"/>
                    </w:rPr>
                    <w:t>10</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5E01C598">
                  <w:pPr>
                    <w:jc w:val="center"/>
                    <w:rPr>
                      <w:color w:val="auto"/>
                      <w:szCs w:val="21"/>
                    </w:rPr>
                  </w:pPr>
                  <w:r>
                    <w:rPr>
                      <w:color w:val="auto"/>
                      <w:szCs w:val="21"/>
                    </w:rPr>
                    <w:t>5.0</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05064EE9">
                  <w:pPr>
                    <w:jc w:val="center"/>
                    <w:rPr>
                      <w:color w:val="auto"/>
                      <w:szCs w:val="21"/>
                    </w:rPr>
                  </w:pPr>
                  <w:r>
                    <w:rPr>
                      <w:color w:val="auto"/>
                      <w:szCs w:val="21"/>
                    </w:rPr>
                    <w:t>10</w:t>
                  </w:r>
                </w:p>
              </w:tc>
            </w:tr>
            <w:tr w14:paraId="4651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56BD2D8E">
                  <w:pPr>
                    <w:jc w:val="center"/>
                    <w:rPr>
                      <w:color w:val="auto"/>
                      <w:szCs w:val="21"/>
                    </w:rPr>
                  </w:pPr>
                  <w:r>
                    <w:rPr>
                      <w:color w:val="auto"/>
                      <w:szCs w:val="21"/>
                    </w:rPr>
                    <w:t>GB18918-2002一级B标准</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32898BF6">
                  <w:pPr>
                    <w:jc w:val="center"/>
                    <w:rPr>
                      <w:color w:val="auto"/>
                      <w:szCs w:val="21"/>
                    </w:rPr>
                  </w:pPr>
                  <w:r>
                    <w:rPr>
                      <w:color w:val="auto"/>
                      <w:szCs w:val="21"/>
                    </w:rPr>
                    <w:t>60</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61CB1B01">
                  <w:pPr>
                    <w:jc w:val="center"/>
                    <w:rPr>
                      <w:color w:val="auto"/>
                      <w:szCs w:val="21"/>
                    </w:rPr>
                  </w:pPr>
                  <w:r>
                    <w:rPr>
                      <w:color w:val="auto"/>
                      <w:szCs w:val="21"/>
                    </w:rPr>
                    <w:t>20</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47D7EFDF">
                  <w:pPr>
                    <w:jc w:val="center"/>
                    <w:rPr>
                      <w:color w:val="auto"/>
                      <w:szCs w:val="21"/>
                    </w:rPr>
                  </w:pPr>
                  <w:r>
                    <w:rPr>
                      <w:color w:val="auto"/>
                      <w:szCs w:val="21"/>
                    </w:rPr>
                    <w:t>20</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421A172D">
                  <w:pPr>
                    <w:jc w:val="center"/>
                    <w:rPr>
                      <w:color w:val="auto"/>
                      <w:szCs w:val="21"/>
                    </w:rPr>
                  </w:pPr>
                  <w:r>
                    <w:rPr>
                      <w:color w:val="auto"/>
                      <w:szCs w:val="21"/>
                    </w:rPr>
                    <w:t>8(15</w:t>
                  </w:r>
                  <w:r>
                    <w:rPr>
                      <w:rFonts w:hint="eastAsia" w:ascii="宋体" w:hAnsi="宋体" w:cs="宋体"/>
                      <w:color w:val="auto"/>
                      <w:szCs w:val="21"/>
                      <w:vertAlign w:val="superscript"/>
                    </w:rPr>
                    <w:t>①</w:t>
                  </w:r>
                  <w:r>
                    <w:rPr>
                      <w:color w:val="auto"/>
                      <w:szCs w:val="21"/>
                    </w:rPr>
                    <w:t>)</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7DF7F907">
                  <w:pPr>
                    <w:jc w:val="center"/>
                    <w:rPr>
                      <w:color w:val="auto"/>
                      <w:szCs w:val="21"/>
                    </w:rPr>
                  </w:pPr>
                  <w:r>
                    <w:rPr>
                      <w:color w:val="auto"/>
                      <w:szCs w:val="21"/>
                    </w:rPr>
                    <w:t>1.0</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2D198006">
                  <w:pPr>
                    <w:jc w:val="center"/>
                    <w:rPr>
                      <w:color w:val="auto"/>
                      <w:szCs w:val="21"/>
                    </w:rPr>
                  </w:pPr>
                  <w:r>
                    <w:rPr>
                      <w:color w:val="auto"/>
                      <w:szCs w:val="21"/>
                    </w:rPr>
                    <w:t>3.0</w:t>
                  </w:r>
                </w:p>
              </w:tc>
            </w:tr>
            <w:tr w14:paraId="0951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33D2EB5B">
                  <w:pPr>
                    <w:jc w:val="center"/>
                    <w:rPr>
                      <w:color w:val="auto"/>
                      <w:szCs w:val="21"/>
                    </w:rPr>
                  </w:pPr>
                  <w:r>
                    <w:rPr>
                      <w:color w:val="auto"/>
                      <w:szCs w:val="21"/>
                    </w:rPr>
                    <w:t>执行限值</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3D9BC7AB">
                  <w:pPr>
                    <w:jc w:val="center"/>
                    <w:rPr>
                      <w:color w:val="auto"/>
                      <w:szCs w:val="21"/>
                    </w:rPr>
                  </w:pPr>
                  <w:r>
                    <w:rPr>
                      <w:color w:val="auto"/>
                      <w:szCs w:val="21"/>
                    </w:rPr>
                    <w:t>40</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1C47BB26">
                  <w:pPr>
                    <w:jc w:val="center"/>
                    <w:rPr>
                      <w:color w:val="auto"/>
                      <w:szCs w:val="21"/>
                    </w:rPr>
                  </w:pPr>
                  <w:r>
                    <w:rPr>
                      <w:color w:val="auto"/>
                      <w:szCs w:val="21"/>
                    </w:rPr>
                    <w:t>20</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06E353FC">
                  <w:pPr>
                    <w:jc w:val="center"/>
                    <w:rPr>
                      <w:color w:val="auto"/>
                      <w:szCs w:val="21"/>
                    </w:rPr>
                  </w:pPr>
                  <w:r>
                    <w:rPr>
                      <w:color w:val="auto"/>
                      <w:szCs w:val="21"/>
                    </w:rPr>
                    <w:t>20</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5A19A058">
                  <w:pPr>
                    <w:jc w:val="center"/>
                    <w:rPr>
                      <w:color w:val="auto"/>
                      <w:szCs w:val="21"/>
                    </w:rPr>
                  </w:pPr>
                  <w:r>
                    <w:rPr>
                      <w:color w:val="auto"/>
                      <w:szCs w:val="21"/>
                    </w:rPr>
                    <w:t>8</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242939D8">
                  <w:pPr>
                    <w:jc w:val="center"/>
                    <w:rPr>
                      <w:color w:val="auto"/>
                      <w:szCs w:val="21"/>
                    </w:rPr>
                  </w:pPr>
                  <w:r>
                    <w:rPr>
                      <w:color w:val="auto"/>
                      <w:szCs w:val="21"/>
                    </w:rPr>
                    <w:t>1.0</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5C9CE032">
                  <w:pPr>
                    <w:jc w:val="center"/>
                    <w:rPr>
                      <w:color w:val="auto"/>
                      <w:szCs w:val="21"/>
                    </w:rPr>
                  </w:pPr>
                  <w:r>
                    <w:rPr>
                      <w:color w:val="auto"/>
                      <w:szCs w:val="21"/>
                    </w:rPr>
                    <w:t>3.0</w:t>
                  </w:r>
                </w:p>
              </w:tc>
            </w:tr>
            <w:tr w14:paraId="5509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1F0CD00A">
                  <w:pPr>
                    <w:jc w:val="center"/>
                    <w:rPr>
                      <w:b/>
                      <w:bCs/>
                      <w:color w:val="auto"/>
                      <w:szCs w:val="21"/>
                    </w:rPr>
                  </w:pPr>
                  <w:r>
                    <w:rPr>
                      <w:b/>
                      <w:bCs/>
                      <w:color w:val="auto"/>
                      <w:szCs w:val="21"/>
                    </w:rPr>
                    <w:t>污染物</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4995C2A9">
                  <w:pPr>
                    <w:jc w:val="center"/>
                    <w:rPr>
                      <w:b/>
                      <w:bCs/>
                      <w:color w:val="auto"/>
                      <w:szCs w:val="21"/>
                    </w:rPr>
                  </w:pPr>
                  <w:r>
                    <w:rPr>
                      <w:b/>
                      <w:bCs/>
                      <w:color w:val="auto"/>
                      <w:szCs w:val="21"/>
                    </w:rPr>
                    <w:t>总氮</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11599B9F">
                  <w:pPr>
                    <w:jc w:val="center"/>
                    <w:rPr>
                      <w:b/>
                      <w:bCs/>
                      <w:color w:val="auto"/>
                      <w:szCs w:val="21"/>
                    </w:rPr>
                  </w:pPr>
                  <w:r>
                    <w:rPr>
                      <w:b/>
                      <w:bCs/>
                      <w:color w:val="auto"/>
                      <w:szCs w:val="21"/>
                    </w:rPr>
                    <w:t>总磷</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35B3EE84">
                  <w:pPr>
                    <w:jc w:val="center"/>
                    <w:rPr>
                      <w:b/>
                      <w:bCs/>
                      <w:color w:val="auto"/>
                      <w:szCs w:val="21"/>
                    </w:rPr>
                  </w:pPr>
                  <w:r>
                    <w:rPr>
                      <w:b/>
                      <w:bCs/>
                      <w:color w:val="auto"/>
                      <w:szCs w:val="21"/>
                    </w:rPr>
                    <w:t>pH</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52D209EE">
                  <w:pPr>
                    <w:jc w:val="center"/>
                    <w:rPr>
                      <w:b/>
                      <w:bCs/>
                      <w:color w:val="auto"/>
                      <w:szCs w:val="21"/>
                    </w:rPr>
                  </w:pPr>
                  <w:r>
                    <w:rPr>
                      <w:b/>
                      <w:bCs/>
                      <w:color w:val="auto"/>
                      <w:szCs w:val="21"/>
                    </w:rPr>
                    <w:t>石油类</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5ED3D057">
                  <w:pPr>
                    <w:jc w:val="center"/>
                    <w:rPr>
                      <w:b/>
                      <w:bCs/>
                      <w:color w:val="auto"/>
                      <w:szCs w:val="21"/>
                    </w:rPr>
                  </w:pPr>
                  <w:r>
                    <w:rPr>
                      <w:b/>
                      <w:bCs/>
                      <w:color w:val="auto"/>
                      <w:szCs w:val="21"/>
                    </w:rPr>
                    <w:t>色度（稀释倍数）</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7EEC947C">
                  <w:pPr>
                    <w:jc w:val="center"/>
                    <w:rPr>
                      <w:b/>
                      <w:bCs/>
                      <w:color w:val="auto"/>
                      <w:szCs w:val="21"/>
                    </w:rPr>
                  </w:pPr>
                  <w:r>
                    <w:rPr>
                      <w:b/>
                      <w:bCs/>
                      <w:color w:val="auto"/>
                      <w:szCs w:val="21"/>
                    </w:rPr>
                    <w:t>粪大肠菌群</w:t>
                  </w:r>
                </w:p>
              </w:tc>
            </w:tr>
            <w:tr w14:paraId="0A37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6210C53D">
                  <w:pPr>
                    <w:jc w:val="center"/>
                    <w:rPr>
                      <w:color w:val="auto"/>
                      <w:szCs w:val="21"/>
                    </w:rPr>
                  </w:pPr>
                  <w:r>
                    <w:rPr>
                      <w:color w:val="auto"/>
                      <w:szCs w:val="21"/>
                    </w:rPr>
                    <w:t>DB44/26-2001第二时段一级排放标准</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386B961E">
                  <w:pPr>
                    <w:jc w:val="center"/>
                    <w:rPr>
                      <w:color w:val="auto"/>
                      <w:szCs w:val="21"/>
                    </w:rPr>
                  </w:pPr>
                  <w:r>
                    <w:rPr>
                      <w:color w:val="auto"/>
                      <w:szCs w:val="21"/>
                    </w:rPr>
                    <w:t>/</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126AD864">
                  <w:pPr>
                    <w:jc w:val="center"/>
                    <w:rPr>
                      <w:color w:val="auto"/>
                      <w:szCs w:val="21"/>
                    </w:rPr>
                  </w:pPr>
                  <w:r>
                    <w:rPr>
                      <w:color w:val="auto"/>
                      <w:szCs w:val="21"/>
                    </w:rPr>
                    <w:t>0.5</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27FC1F7D">
                  <w:pPr>
                    <w:jc w:val="center"/>
                    <w:rPr>
                      <w:color w:val="auto"/>
                      <w:szCs w:val="21"/>
                    </w:rPr>
                  </w:pPr>
                  <w:r>
                    <w:rPr>
                      <w:color w:val="auto"/>
                      <w:szCs w:val="21"/>
                    </w:rPr>
                    <w:t>6~9</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0E50C9DE">
                  <w:pPr>
                    <w:jc w:val="center"/>
                    <w:rPr>
                      <w:color w:val="auto"/>
                      <w:szCs w:val="21"/>
                    </w:rPr>
                  </w:pPr>
                  <w:r>
                    <w:rPr>
                      <w:color w:val="auto"/>
                      <w:szCs w:val="21"/>
                    </w:rPr>
                    <w:t>5.0</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4C5CF9C1">
                  <w:pPr>
                    <w:jc w:val="center"/>
                    <w:rPr>
                      <w:color w:val="auto"/>
                      <w:szCs w:val="21"/>
                    </w:rPr>
                  </w:pPr>
                  <w:r>
                    <w:rPr>
                      <w:color w:val="auto"/>
                      <w:szCs w:val="21"/>
                    </w:rPr>
                    <w:t>40</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25E62C1E">
                  <w:pPr>
                    <w:jc w:val="center"/>
                    <w:rPr>
                      <w:color w:val="auto"/>
                      <w:szCs w:val="21"/>
                    </w:rPr>
                  </w:pPr>
                  <w:r>
                    <w:rPr>
                      <w:color w:val="auto"/>
                      <w:szCs w:val="21"/>
                    </w:rPr>
                    <w:t>/</w:t>
                  </w:r>
                </w:p>
              </w:tc>
            </w:tr>
            <w:tr w14:paraId="40A6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06B5141B">
                  <w:pPr>
                    <w:jc w:val="center"/>
                    <w:rPr>
                      <w:color w:val="auto"/>
                      <w:szCs w:val="21"/>
                    </w:rPr>
                  </w:pPr>
                  <w:r>
                    <w:rPr>
                      <w:color w:val="auto"/>
                      <w:szCs w:val="21"/>
                    </w:rPr>
                    <w:t>GB18918-2002一级B标准</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6BD0FA37">
                  <w:pPr>
                    <w:jc w:val="center"/>
                    <w:rPr>
                      <w:color w:val="auto"/>
                      <w:szCs w:val="21"/>
                    </w:rPr>
                  </w:pPr>
                  <w:r>
                    <w:rPr>
                      <w:color w:val="auto"/>
                      <w:szCs w:val="21"/>
                    </w:rPr>
                    <w:t>20</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4B1C08D7">
                  <w:pPr>
                    <w:jc w:val="center"/>
                    <w:rPr>
                      <w:color w:val="auto"/>
                      <w:szCs w:val="21"/>
                    </w:rPr>
                  </w:pPr>
                  <w:r>
                    <w:rPr>
                      <w:color w:val="auto"/>
                      <w:szCs w:val="21"/>
                    </w:rPr>
                    <w:t>1.0</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0D8BF980">
                  <w:pPr>
                    <w:jc w:val="center"/>
                    <w:rPr>
                      <w:color w:val="auto"/>
                      <w:szCs w:val="21"/>
                    </w:rPr>
                  </w:pPr>
                  <w:r>
                    <w:rPr>
                      <w:color w:val="auto"/>
                      <w:szCs w:val="21"/>
                    </w:rPr>
                    <w:t>6~9</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4DEF4B5D">
                  <w:pPr>
                    <w:jc w:val="center"/>
                    <w:rPr>
                      <w:color w:val="auto"/>
                      <w:szCs w:val="21"/>
                    </w:rPr>
                  </w:pPr>
                  <w:r>
                    <w:rPr>
                      <w:color w:val="auto"/>
                      <w:szCs w:val="21"/>
                    </w:rPr>
                    <w:t>3.0</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702AFA89">
                  <w:pPr>
                    <w:jc w:val="center"/>
                    <w:rPr>
                      <w:color w:val="auto"/>
                      <w:szCs w:val="21"/>
                    </w:rPr>
                  </w:pPr>
                  <w:r>
                    <w:rPr>
                      <w:color w:val="auto"/>
                      <w:szCs w:val="21"/>
                    </w:rPr>
                    <w:t>30</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3BDA4C1C">
                  <w:pPr>
                    <w:jc w:val="center"/>
                    <w:rPr>
                      <w:color w:val="auto"/>
                      <w:szCs w:val="21"/>
                    </w:rPr>
                  </w:pPr>
                  <w:r>
                    <w:rPr>
                      <w:color w:val="auto"/>
                      <w:szCs w:val="21"/>
                    </w:rPr>
                    <w:t>10000个/L</w:t>
                  </w:r>
                </w:p>
              </w:tc>
            </w:tr>
            <w:tr w14:paraId="1D7E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64"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559C4058">
                  <w:pPr>
                    <w:jc w:val="center"/>
                    <w:rPr>
                      <w:color w:val="auto"/>
                      <w:szCs w:val="21"/>
                    </w:rPr>
                  </w:pPr>
                  <w:r>
                    <w:rPr>
                      <w:color w:val="auto"/>
                      <w:szCs w:val="21"/>
                    </w:rPr>
                    <w:t>执行限值</w:t>
                  </w:r>
                </w:p>
              </w:tc>
              <w:tc>
                <w:tcPr>
                  <w:tcW w:w="491"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665D63BB">
                  <w:pPr>
                    <w:jc w:val="center"/>
                    <w:rPr>
                      <w:color w:val="auto"/>
                      <w:szCs w:val="21"/>
                    </w:rPr>
                  </w:pPr>
                  <w:r>
                    <w:rPr>
                      <w:color w:val="auto"/>
                      <w:szCs w:val="21"/>
                    </w:rPr>
                    <w:t>20</w:t>
                  </w:r>
                </w:p>
              </w:tc>
              <w:tc>
                <w:tcPr>
                  <w:tcW w:w="484" w:type="pct"/>
                  <w:tcBorders>
                    <w:top w:val="single" w:color="auto" w:sz="4" w:space="0"/>
                    <w:left w:val="single" w:color="auto" w:sz="4" w:space="0"/>
                    <w:bottom w:val="single" w:color="auto" w:sz="4" w:space="0"/>
                    <w:right w:val="single" w:color="auto" w:sz="4" w:space="0"/>
                    <w:tl2br w:val="nil"/>
                    <w:tr2bl w:val="nil"/>
                  </w:tcBorders>
                  <w:noWrap/>
                  <w:vAlign w:val="center"/>
                </w:tcPr>
                <w:p w14:paraId="27C7EF20">
                  <w:pPr>
                    <w:jc w:val="center"/>
                    <w:rPr>
                      <w:color w:val="auto"/>
                      <w:szCs w:val="21"/>
                    </w:rPr>
                  </w:pPr>
                  <w:r>
                    <w:rPr>
                      <w:color w:val="auto"/>
                      <w:szCs w:val="21"/>
                    </w:rPr>
                    <w:t>0.5</w:t>
                  </w:r>
                </w:p>
              </w:tc>
              <w:tc>
                <w:tcPr>
                  <w:tcW w:w="386" w:type="pct"/>
                  <w:tcBorders>
                    <w:top w:val="single" w:color="auto" w:sz="4" w:space="0"/>
                    <w:left w:val="single" w:color="auto" w:sz="4" w:space="0"/>
                    <w:bottom w:val="single" w:color="auto" w:sz="4" w:space="0"/>
                    <w:right w:val="single" w:color="auto" w:sz="4" w:space="0"/>
                    <w:tl2br w:val="nil"/>
                    <w:tr2bl w:val="nil"/>
                  </w:tcBorders>
                  <w:noWrap/>
                  <w:vAlign w:val="center"/>
                </w:tcPr>
                <w:p w14:paraId="3C2D7192">
                  <w:pPr>
                    <w:jc w:val="center"/>
                    <w:rPr>
                      <w:color w:val="auto"/>
                      <w:szCs w:val="21"/>
                    </w:rPr>
                  </w:pPr>
                  <w:r>
                    <w:rPr>
                      <w:color w:val="auto"/>
                      <w:szCs w:val="21"/>
                    </w:rPr>
                    <w:t>6~9</w:t>
                  </w:r>
                </w:p>
              </w:tc>
              <w:tc>
                <w:tcPr>
                  <w:tcW w:w="609" w:type="pct"/>
                  <w:tcBorders>
                    <w:top w:val="single" w:color="auto" w:sz="4" w:space="0"/>
                    <w:left w:val="single" w:color="auto" w:sz="4" w:space="0"/>
                    <w:bottom w:val="single" w:color="auto" w:sz="4" w:space="0"/>
                    <w:right w:val="single" w:color="auto" w:sz="4" w:space="0"/>
                    <w:tl2br w:val="nil"/>
                    <w:tr2bl w:val="nil"/>
                  </w:tcBorders>
                  <w:noWrap/>
                  <w:vAlign w:val="center"/>
                </w:tcPr>
                <w:p w14:paraId="366ACACD">
                  <w:pPr>
                    <w:jc w:val="center"/>
                    <w:rPr>
                      <w:color w:val="auto"/>
                      <w:szCs w:val="21"/>
                    </w:rPr>
                  </w:pPr>
                  <w:r>
                    <w:rPr>
                      <w:color w:val="auto"/>
                      <w:szCs w:val="21"/>
                    </w:rPr>
                    <w:t>3.0</w:t>
                  </w:r>
                </w:p>
              </w:tc>
              <w:tc>
                <w:tcPr>
                  <w:tcW w:w="1153" w:type="pct"/>
                  <w:tcBorders>
                    <w:top w:val="single" w:color="auto" w:sz="4" w:space="0"/>
                    <w:left w:val="single" w:color="auto" w:sz="4" w:space="0"/>
                    <w:bottom w:val="single" w:color="auto" w:sz="4" w:space="0"/>
                    <w:right w:val="single" w:color="auto" w:sz="4" w:space="0"/>
                    <w:tl2br w:val="nil"/>
                    <w:tr2bl w:val="nil"/>
                  </w:tcBorders>
                  <w:noWrap/>
                  <w:vAlign w:val="center"/>
                </w:tcPr>
                <w:p w14:paraId="39F2EF5E">
                  <w:pPr>
                    <w:jc w:val="center"/>
                    <w:rPr>
                      <w:color w:val="auto"/>
                      <w:szCs w:val="21"/>
                    </w:rPr>
                  </w:pPr>
                  <w:r>
                    <w:rPr>
                      <w:color w:val="auto"/>
                      <w:szCs w:val="21"/>
                    </w:rPr>
                    <w:t>30</w:t>
                  </w:r>
                </w:p>
              </w:tc>
              <w:tc>
                <w:tcPr>
                  <w:tcW w:w="810" w:type="pct"/>
                  <w:tcBorders>
                    <w:top w:val="single" w:color="auto" w:sz="4" w:space="0"/>
                    <w:left w:val="single" w:color="auto" w:sz="4" w:space="0"/>
                    <w:bottom w:val="single" w:color="auto" w:sz="4" w:space="0"/>
                    <w:right w:val="single" w:color="auto" w:sz="4" w:space="0"/>
                    <w:tl2br w:val="nil"/>
                    <w:tr2bl w:val="nil"/>
                  </w:tcBorders>
                  <w:noWrap/>
                  <w:vAlign w:val="center"/>
                </w:tcPr>
                <w:p w14:paraId="37D5BB45">
                  <w:pPr>
                    <w:jc w:val="center"/>
                    <w:rPr>
                      <w:color w:val="auto"/>
                      <w:szCs w:val="21"/>
                    </w:rPr>
                  </w:pPr>
                  <w:r>
                    <w:rPr>
                      <w:color w:val="auto"/>
                      <w:szCs w:val="21"/>
                    </w:rPr>
                    <w:t>10000个/L</w:t>
                  </w:r>
                </w:p>
              </w:tc>
            </w:tr>
            <w:tr w14:paraId="2C82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000" w:type="pct"/>
                  <w:gridSpan w:val="7"/>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0B0DD3C9">
                  <w:pPr>
                    <w:jc w:val="left"/>
                    <w:rPr>
                      <w:color w:val="auto"/>
                      <w:szCs w:val="21"/>
                    </w:rPr>
                  </w:pPr>
                  <w:r>
                    <w:rPr>
                      <w:color w:val="auto"/>
                      <w:szCs w:val="21"/>
                    </w:rPr>
                    <w:t>“</w:t>
                  </w:r>
                  <w:r>
                    <w:rPr>
                      <w:rFonts w:hint="eastAsia" w:ascii="宋体" w:hAnsi="宋体" w:cs="宋体"/>
                      <w:color w:val="auto"/>
                      <w:szCs w:val="21"/>
                      <w:vertAlign w:val="superscript"/>
                      <w:lang w:eastAsia="ja-JP"/>
                    </w:rPr>
                    <w:t>①</w:t>
                  </w:r>
                  <w:r>
                    <w:rPr>
                      <w:color w:val="auto"/>
                      <w:szCs w:val="21"/>
                    </w:rPr>
                    <w:t>”备注括号内为水温&lt;12</w:t>
                  </w:r>
                  <w:r>
                    <w:rPr>
                      <w:rFonts w:hint="eastAsia" w:ascii="宋体" w:hAnsi="宋体" w:cs="宋体"/>
                      <w:color w:val="auto"/>
                      <w:szCs w:val="21"/>
                    </w:rPr>
                    <w:t>℃</w:t>
                  </w:r>
                  <w:r>
                    <w:rPr>
                      <w:color w:val="auto"/>
                      <w:szCs w:val="21"/>
                    </w:rPr>
                    <w:t>时的限值，括号外为水温在12</w:t>
                  </w:r>
                  <w:r>
                    <w:rPr>
                      <w:rFonts w:hint="eastAsia" w:ascii="宋体" w:hAnsi="宋体" w:cs="宋体"/>
                      <w:color w:val="auto"/>
                      <w:szCs w:val="21"/>
                    </w:rPr>
                    <w:t>℃</w:t>
                  </w:r>
                  <w:r>
                    <w:rPr>
                      <w:color w:val="auto"/>
                      <w:szCs w:val="21"/>
                    </w:rPr>
                    <w:t>以上的限值</w:t>
                  </w:r>
                </w:p>
              </w:tc>
            </w:tr>
          </w:tbl>
          <w:p w14:paraId="22B5A33F">
            <w:pPr>
              <w:pStyle w:val="91"/>
              <w:adjustRightInd w:val="0"/>
              <w:snapToGrid w:val="0"/>
              <w:ind w:firstLine="422"/>
              <w:rPr>
                <w:rFonts w:ascii="Times New Roman" w:hAnsi="Times New Roman"/>
                <w:b/>
                <w:bCs/>
                <w:color w:val="auto"/>
                <w:sz w:val="24"/>
                <w:szCs w:val="24"/>
              </w:rPr>
            </w:pPr>
            <w:r>
              <w:rPr>
                <w:rFonts w:ascii="Times New Roman" w:hAnsi="Times New Roman"/>
                <w:b/>
                <w:bCs/>
                <w:color w:val="auto"/>
                <w:sz w:val="24"/>
                <w:szCs w:val="24"/>
              </w:rPr>
              <w:t>3、噪声排放标准</w:t>
            </w:r>
          </w:p>
          <w:p w14:paraId="2D4459DE">
            <w:pPr>
              <w:pStyle w:val="89"/>
              <w:spacing w:before="0" w:beforeLines="0"/>
              <w:ind w:firstLine="420"/>
              <w:rPr>
                <w:rFonts w:cs="Times New Roman"/>
                <w:color w:val="auto"/>
                <w:sz w:val="24"/>
                <w:szCs w:val="24"/>
              </w:rPr>
            </w:pPr>
            <w:r>
              <w:rPr>
                <w:rFonts w:cs="Times New Roman"/>
                <w:color w:val="auto"/>
                <w:sz w:val="24"/>
                <w:szCs w:val="24"/>
              </w:rPr>
              <w:t>项目位于乐昌市乐昌产业转移工业园内，运营期项目周边噪声执行《工业企业厂界环境噪声排放标准》（GB12348-2008）中的3类。</w:t>
            </w:r>
          </w:p>
          <w:p w14:paraId="3238530B">
            <w:pPr>
              <w:pStyle w:val="89"/>
              <w:spacing w:before="0" w:beforeLines="0"/>
              <w:ind w:firstLine="420"/>
              <w:rPr>
                <w:rFonts w:cs="Times New Roman"/>
                <w:color w:val="auto"/>
                <w:sz w:val="24"/>
                <w:szCs w:val="24"/>
              </w:rPr>
            </w:pPr>
            <w:r>
              <w:rPr>
                <w:rFonts w:cs="Times New Roman"/>
                <w:color w:val="auto"/>
                <w:sz w:val="24"/>
                <w:szCs w:val="24"/>
              </w:rPr>
              <w:t>具体标准见下表。</w:t>
            </w:r>
          </w:p>
          <w:p w14:paraId="35D6AC15">
            <w:pPr>
              <w:pStyle w:val="104"/>
              <w:adjustRightInd w:val="0"/>
              <w:snapToGrid w:val="0"/>
              <w:ind w:firstLine="422"/>
              <w:jc w:val="center"/>
              <w:rPr>
                <w:b/>
                <w:bCs/>
                <w:color w:val="auto"/>
                <w:sz w:val="24"/>
                <w:szCs w:val="24"/>
              </w:rPr>
            </w:pPr>
            <w:bookmarkStart w:id="20" w:name="_Ref50066023"/>
            <w:r>
              <w:rPr>
                <w:b/>
                <w:bCs/>
                <w:color w:val="auto"/>
                <w:sz w:val="24"/>
                <w:szCs w:val="24"/>
              </w:rPr>
              <w:t>表</w:t>
            </w:r>
            <w:r>
              <w:rPr>
                <w:b/>
                <w:bCs/>
                <w:color w:val="auto"/>
                <w:sz w:val="24"/>
                <w:szCs w:val="24"/>
              </w:rPr>
              <w:fldChar w:fldCharType="begin"/>
            </w:r>
            <w:r>
              <w:rPr>
                <w:b/>
                <w:bCs/>
                <w:color w:val="auto"/>
                <w:sz w:val="24"/>
                <w:szCs w:val="24"/>
              </w:rPr>
              <w:instrText xml:space="preserve"> SEQ 表 \* ARABIC </w:instrText>
            </w:r>
            <w:r>
              <w:rPr>
                <w:b/>
                <w:bCs/>
                <w:color w:val="auto"/>
                <w:sz w:val="24"/>
                <w:szCs w:val="24"/>
              </w:rPr>
              <w:fldChar w:fldCharType="separate"/>
            </w:r>
            <w:r>
              <w:rPr>
                <w:b/>
                <w:bCs/>
                <w:color w:val="auto"/>
                <w:sz w:val="24"/>
                <w:szCs w:val="24"/>
              </w:rPr>
              <w:t>21</w:t>
            </w:r>
            <w:r>
              <w:rPr>
                <w:b/>
                <w:bCs/>
                <w:color w:val="auto"/>
                <w:sz w:val="24"/>
                <w:szCs w:val="24"/>
              </w:rPr>
              <w:fldChar w:fldCharType="end"/>
            </w:r>
            <w:bookmarkEnd w:id="20"/>
            <w:r>
              <w:rPr>
                <w:b/>
                <w:bCs/>
                <w:color w:val="auto"/>
                <w:sz w:val="24"/>
                <w:szCs w:val="24"/>
              </w:rPr>
              <w:t xml:space="preserve">  《工业企业厂界环境噪声排放标准》（GB12348-2008）</w:t>
            </w:r>
          </w:p>
          <w:tbl>
            <w:tblPr>
              <w:tblStyle w:val="37"/>
              <w:tblW w:w="796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18"/>
              <w:gridCol w:w="3149"/>
              <w:gridCol w:w="2601"/>
            </w:tblGrid>
            <w:tr w14:paraId="176D81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218" w:type="dxa"/>
                  <w:vAlign w:val="center"/>
                </w:tcPr>
                <w:p w14:paraId="0794685D">
                  <w:pPr>
                    <w:pStyle w:val="103"/>
                    <w:adjustRightInd w:val="0"/>
                    <w:snapToGrid w:val="0"/>
                    <w:rPr>
                      <w:rFonts w:ascii="Times New Roman" w:hAnsi="Times New Roman" w:eastAsia="宋体" w:cs="Times New Roman"/>
                      <w:b/>
                      <w:bCs/>
                      <w:color w:val="auto"/>
                    </w:rPr>
                  </w:pPr>
                  <w:r>
                    <w:rPr>
                      <w:rFonts w:ascii="Times New Roman" w:hAnsi="Times New Roman" w:eastAsia="宋体" w:cs="Times New Roman"/>
                      <w:b/>
                      <w:bCs/>
                      <w:color w:val="auto"/>
                    </w:rPr>
                    <w:t>类别</w:t>
                  </w:r>
                </w:p>
              </w:tc>
              <w:tc>
                <w:tcPr>
                  <w:tcW w:w="3149" w:type="dxa"/>
                  <w:vAlign w:val="center"/>
                </w:tcPr>
                <w:p w14:paraId="63747D3E">
                  <w:pPr>
                    <w:pStyle w:val="103"/>
                    <w:adjustRightInd w:val="0"/>
                    <w:snapToGrid w:val="0"/>
                    <w:rPr>
                      <w:rFonts w:ascii="Times New Roman" w:hAnsi="Times New Roman" w:eastAsia="宋体" w:cs="Times New Roman"/>
                      <w:b/>
                      <w:bCs/>
                      <w:color w:val="auto"/>
                    </w:rPr>
                  </w:pPr>
                  <w:r>
                    <w:rPr>
                      <w:rFonts w:ascii="Times New Roman" w:hAnsi="Times New Roman" w:eastAsia="宋体" w:cs="Times New Roman"/>
                      <w:b/>
                      <w:bCs/>
                      <w:color w:val="auto"/>
                    </w:rPr>
                    <w:t>昼间</w:t>
                  </w:r>
                </w:p>
              </w:tc>
              <w:tc>
                <w:tcPr>
                  <w:tcW w:w="2601" w:type="dxa"/>
                  <w:vAlign w:val="center"/>
                </w:tcPr>
                <w:p w14:paraId="06F59BFA">
                  <w:pPr>
                    <w:pStyle w:val="103"/>
                    <w:adjustRightInd w:val="0"/>
                    <w:snapToGrid w:val="0"/>
                    <w:rPr>
                      <w:rFonts w:ascii="Times New Roman" w:hAnsi="Times New Roman" w:eastAsia="宋体" w:cs="Times New Roman"/>
                      <w:b/>
                      <w:bCs/>
                      <w:color w:val="auto"/>
                    </w:rPr>
                  </w:pPr>
                  <w:r>
                    <w:rPr>
                      <w:rFonts w:ascii="Times New Roman" w:hAnsi="Times New Roman" w:eastAsia="宋体" w:cs="Times New Roman"/>
                      <w:b/>
                      <w:bCs/>
                      <w:color w:val="auto"/>
                    </w:rPr>
                    <w:t>夜间</w:t>
                  </w:r>
                </w:p>
              </w:tc>
            </w:tr>
            <w:tr w14:paraId="7A9B16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218" w:type="dxa"/>
                  <w:vAlign w:val="center"/>
                </w:tcPr>
                <w:p w14:paraId="5F03DC92">
                  <w:pPr>
                    <w:pStyle w:val="103"/>
                    <w:adjustRightInd w:val="0"/>
                    <w:snapToGrid w:val="0"/>
                    <w:rPr>
                      <w:rFonts w:ascii="Times New Roman" w:hAnsi="Times New Roman" w:eastAsia="宋体" w:cs="Times New Roman"/>
                      <w:color w:val="auto"/>
                    </w:rPr>
                  </w:pPr>
                  <w:r>
                    <w:rPr>
                      <w:rFonts w:ascii="Times New Roman" w:hAnsi="Times New Roman" w:eastAsia="宋体" w:cs="Times New Roman"/>
                      <w:color w:val="auto"/>
                    </w:rPr>
                    <w:t>3类</w:t>
                  </w:r>
                </w:p>
              </w:tc>
              <w:tc>
                <w:tcPr>
                  <w:tcW w:w="3149" w:type="dxa"/>
                  <w:vAlign w:val="center"/>
                </w:tcPr>
                <w:p w14:paraId="3231BDF5">
                  <w:pPr>
                    <w:pStyle w:val="103"/>
                    <w:adjustRightInd w:val="0"/>
                    <w:snapToGrid w:val="0"/>
                    <w:rPr>
                      <w:rFonts w:ascii="Times New Roman" w:hAnsi="Times New Roman" w:eastAsia="宋体" w:cs="Times New Roman"/>
                      <w:color w:val="auto"/>
                    </w:rPr>
                  </w:pPr>
                  <w:r>
                    <w:rPr>
                      <w:rFonts w:ascii="Times New Roman" w:hAnsi="Times New Roman" w:eastAsia="宋体" w:cs="Times New Roman"/>
                      <w:color w:val="auto"/>
                    </w:rPr>
                    <w:t>65dB(A)</w:t>
                  </w:r>
                </w:p>
              </w:tc>
              <w:tc>
                <w:tcPr>
                  <w:tcW w:w="2601" w:type="dxa"/>
                  <w:vAlign w:val="center"/>
                </w:tcPr>
                <w:p w14:paraId="39512F94">
                  <w:pPr>
                    <w:pStyle w:val="103"/>
                    <w:adjustRightInd w:val="0"/>
                    <w:snapToGrid w:val="0"/>
                    <w:rPr>
                      <w:rFonts w:ascii="Times New Roman" w:hAnsi="Times New Roman" w:eastAsia="宋体" w:cs="Times New Roman"/>
                      <w:color w:val="auto"/>
                    </w:rPr>
                  </w:pPr>
                  <w:r>
                    <w:rPr>
                      <w:rFonts w:ascii="Times New Roman" w:hAnsi="Times New Roman" w:eastAsia="宋体" w:cs="Times New Roman"/>
                      <w:color w:val="auto"/>
                    </w:rPr>
                    <w:t>55dB(A)</w:t>
                  </w:r>
                </w:p>
              </w:tc>
            </w:tr>
          </w:tbl>
          <w:p w14:paraId="2AC8C473">
            <w:pPr>
              <w:adjustRightInd w:val="0"/>
              <w:snapToGrid w:val="0"/>
              <w:spacing w:line="360" w:lineRule="auto"/>
              <w:ind w:firstLine="482" w:firstLineChars="200"/>
              <w:rPr>
                <w:b/>
                <w:bCs/>
                <w:color w:val="auto"/>
                <w:kern w:val="0"/>
                <w:sz w:val="24"/>
                <w:szCs w:val="24"/>
              </w:rPr>
            </w:pPr>
            <w:r>
              <w:rPr>
                <w:b/>
                <w:bCs/>
                <w:color w:val="auto"/>
                <w:kern w:val="0"/>
                <w:sz w:val="24"/>
                <w:szCs w:val="24"/>
              </w:rPr>
              <w:t>4、固体废物控制标准</w:t>
            </w:r>
          </w:p>
          <w:p w14:paraId="73253109">
            <w:pPr>
              <w:spacing w:line="360" w:lineRule="auto"/>
              <w:ind w:firstLine="480" w:firstLineChars="200"/>
              <w:rPr>
                <w:color w:val="auto"/>
                <w:kern w:val="0"/>
                <w:szCs w:val="21"/>
              </w:rPr>
            </w:pPr>
            <w:r>
              <w:rPr>
                <w:color w:val="auto"/>
                <w:kern w:val="0"/>
                <w:sz w:val="24"/>
                <w:szCs w:val="24"/>
                <w:lang w:bidi="ar"/>
              </w:rPr>
              <w:t>一般工业固体废物暂存应满足《中华人民共和国固体废物污染环境防治法》相关要求，采取防扬散、防流失、防渗漏或者其他防止污染环境的措施，不得擅自倾倒、堆放、丢弃、遗撒固体废物；同时执行</w:t>
            </w:r>
            <w:r>
              <w:rPr>
                <w:color w:val="auto"/>
                <w:sz w:val="24"/>
                <w:szCs w:val="24"/>
              </w:rPr>
              <w:t>《固体废物分类与代码目录》（公告2024年第4号）</w:t>
            </w:r>
            <w:r>
              <w:rPr>
                <w:color w:val="auto"/>
                <w:kern w:val="0"/>
                <w:sz w:val="24"/>
                <w:szCs w:val="24"/>
                <w:lang w:bidi="ar"/>
              </w:rPr>
              <w:t>以及《固体废物鉴别标准 通则》(GB 34330—2017)相关要求；危险废物执行《危险废物贮存污染控制标准》（GB18597-2023），危险废物标识按照《危险废物识别标志设置技术规范》（HJ 1276-2022）执行。</w:t>
            </w:r>
          </w:p>
        </w:tc>
      </w:tr>
      <w:tr w14:paraId="05ED9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76" w:hRule="atLeast"/>
          <w:jc w:val="center"/>
        </w:trPr>
        <w:tc>
          <w:tcPr>
            <w:tcW w:w="369" w:type="dxa"/>
            <w:tcMar>
              <w:left w:w="28" w:type="dxa"/>
              <w:right w:w="28" w:type="dxa"/>
            </w:tcMar>
            <w:vAlign w:val="center"/>
          </w:tcPr>
          <w:p w14:paraId="7E1F53F0">
            <w:pPr>
              <w:adjustRightInd w:val="0"/>
              <w:snapToGrid w:val="0"/>
              <w:jc w:val="center"/>
              <w:rPr>
                <w:color w:val="auto"/>
                <w:kern w:val="0"/>
                <w:szCs w:val="21"/>
              </w:rPr>
            </w:pPr>
            <w:r>
              <w:rPr>
                <w:color w:val="auto"/>
                <w:kern w:val="0"/>
                <w:szCs w:val="21"/>
              </w:rPr>
              <w:t>总量</w:t>
            </w:r>
          </w:p>
          <w:p w14:paraId="12E41900">
            <w:pPr>
              <w:adjustRightInd w:val="0"/>
              <w:snapToGrid w:val="0"/>
              <w:jc w:val="center"/>
              <w:rPr>
                <w:color w:val="auto"/>
                <w:kern w:val="0"/>
                <w:szCs w:val="21"/>
              </w:rPr>
            </w:pPr>
            <w:r>
              <w:rPr>
                <w:color w:val="auto"/>
                <w:kern w:val="0"/>
                <w:szCs w:val="21"/>
              </w:rPr>
              <w:t>控制</w:t>
            </w:r>
          </w:p>
          <w:p w14:paraId="539FBD63">
            <w:pPr>
              <w:adjustRightInd w:val="0"/>
              <w:snapToGrid w:val="0"/>
              <w:jc w:val="center"/>
              <w:rPr>
                <w:color w:val="auto"/>
                <w:szCs w:val="21"/>
              </w:rPr>
            </w:pPr>
            <w:r>
              <w:rPr>
                <w:color w:val="auto"/>
                <w:kern w:val="0"/>
                <w:szCs w:val="21"/>
              </w:rPr>
              <w:t>指标</w:t>
            </w:r>
          </w:p>
        </w:tc>
        <w:tc>
          <w:tcPr>
            <w:tcW w:w="8631" w:type="dxa"/>
          </w:tcPr>
          <w:p w14:paraId="32315522">
            <w:pPr>
              <w:pStyle w:val="89"/>
              <w:adjustRightInd w:val="0"/>
              <w:snapToGrid w:val="0"/>
              <w:spacing w:before="0" w:beforeLines="0"/>
              <w:ind w:firstLine="420"/>
              <w:rPr>
                <w:rFonts w:cs="Times New Roman"/>
                <w:color w:val="auto"/>
                <w:sz w:val="24"/>
                <w:szCs w:val="24"/>
              </w:rPr>
            </w:pPr>
            <w:r>
              <w:rPr>
                <w:rFonts w:cs="Times New Roman"/>
                <w:color w:val="auto"/>
                <w:sz w:val="24"/>
                <w:szCs w:val="24"/>
              </w:rPr>
              <w:t>根据本项目的污染物排放总量，建议本项目的总量控制指标按以下执行：</w:t>
            </w:r>
          </w:p>
          <w:p w14:paraId="299BCED9">
            <w:pPr>
              <w:spacing w:line="360" w:lineRule="auto"/>
              <w:ind w:firstLine="480" w:firstLineChars="200"/>
              <w:rPr>
                <w:color w:val="auto"/>
                <w:sz w:val="24"/>
                <w:szCs w:val="24"/>
              </w:rPr>
            </w:pPr>
            <w:r>
              <w:rPr>
                <w:color w:val="auto"/>
                <w:sz w:val="24"/>
                <w:szCs w:val="24"/>
              </w:rPr>
              <w:t>（1）水污染排放总量控制指标</w:t>
            </w:r>
          </w:p>
          <w:p w14:paraId="2F52F1CC">
            <w:pPr>
              <w:spacing w:line="360" w:lineRule="auto"/>
              <w:ind w:firstLine="480" w:firstLineChars="200"/>
              <w:jc w:val="left"/>
              <w:rPr>
                <w:rFonts w:ascii="Times New Roman" w:hAnsi="Times New Roman" w:eastAsia="宋体" w:cs="Times New Roman"/>
                <w:bCs/>
                <w:color w:val="auto"/>
                <w:sz w:val="24"/>
                <w:szCs w:val="24"/>
              </w:rPr>
            </w:pPr>
            <w:r>
              <w:rPr>
                <w:rFonts w:ascii="Times New Roman" w:hAnsi="Times New Roman" w:eastAsia="宋体" w:cs="Times New Roman"/>
                <w:bCs/>
                <w:color w:val="auto"/>
                <w:sz w:val="24"/>
                <w:szCs w:val="24"/>
              </w:rPr>
              <w:t>本项目</w:t>
            </w:r>
            <w:r>
              <w:rPr>
                <w:rFonts w:hint="eastAsia" w:ascii="Times New Roman" w:hAnsi="Times New Roman" w:eastAsia="宋体" w:cs="Times New Roman"/>
                <w:bCs/>
                <w:color w:val="auto"/>
                <w:sz w:val="24"/>
                <w:szCs w:val="24"/>
                <w:lang w:val="en-US" w:eastAsia="zh-CN"/>
              </w:rPr>
              <w:t>不涉及生产废水，生活污水预处理达标后由</w:t>
            </w:r>
            <w:r>
              <w:rPr>
                <w:rFonts w:ascii="Times New Roman" w:hAnsi="Times New Roman" w:eastAsia="宋体" w:cs="Times New Roman"/>
                <w:bCs/>
                <w:color w:val="auto"/>
                <w:sz w:val="24"/>
                <w:szCs w:val="24"/>
              </w:rPr>
              <w:t>园区污水管道排入园区污水处理厂进行处理</w:t>
            </w:r>
            <w:r>
              <w:rPr>
                <w:rFonts w:hint="eastAsia" w:ascii="Times New Roman" w:hAnsi="Times New Roman" w:eastAsia="宋体" w:cs="Times New Roman"/>
                <w:bCs/>
                <w:color w:val="auto"/>
                <w:sz w:val="24"/>
                <w:szCs w:val="24"/>
                <w:lang w:eastAsia="zh-CN"/>
              </w:rPr>
              <w:t>，</w:t>
            </w:r>
            <w:r>
              <w:rPr>
                <w:rFonts w:hint="eastAsia" w:ascii="Times New Roman" w:hAnsi="Times New Roman" w:eastAsia="宋体" w:cs="Times New Roman"/>
                <w:bCs/>
                <w:color w:val="auto"/>
                <w:sz w:val="24"/>
                <w:szCs w:val="24"/>
                <w:lang w:val="en-US" w:eastAsia="zh-CN"/>
              </w:rPr>
              <w:t>经三级化粪池预处理后</w:t>
            </w:r>
            <w:r>
              <w:rPr>
                <w:rFonts w:hint="default" w:ascii="Times New Roman" w:hAnsi="Times New Roman" w:eastAsia="宋体" w:cs="Times New Roman"/>
                <w:bCs/>
                <w:color w:val="auto"/>
                <w:sz w:val="24"/>
                <w:szCs w:val="24"/>
              </w:rPr>
              <w:t>COD</w:t>
            </w:r>
            <w:r>
              <w:rPr>
                <w:rFonts w:hint="eastAsia" w:ascii="Times New Roman" w:hAnsi="Times New Roman" w:eastAsia="宋体" w:cs="Times New Roman"/>
                <w:bCs/>
                <w:color w:val="auto"/>
                <w:sz w:val="24"/>
                <w:szCs w:val="24"/>
                <w:vertAlign w:val="subscript"/>
                <w:lang w:val="en-US" w:eastAsia="zh-CN"/>
              </w:rPr>
              <w:t>C</w:t>
            </w:r>
            <w:r>
              <w:rPr>
                <w:rFonts w:hint="default" w:ascii="Times New Roman" w:hAnsi="Times New Roman" w:eastAsia="宋体" w:cs="Times New Roman"/>
                <w:bCs/>
                <w:color w:val="auto"/>
                <w:sz w:val="24"/>
                <w:szCs w:val="24"/>
                <w:vertAlign w:val="subscript"/>
              </w:rPr>
              <w:t>r</w:t>
            </w:r>
            <w:r>
              <w:rPr>
                <w:rFonts w:hint="default" w:ascii="Times New Roman" w:hAnsi="Times New Roman" w:eastAsia="宋体" w:cs="Times New Roman"/>
                <w:bCs/>
                <w:color w:val="auto"/>
                <w:sz w:val="24"/>
                <w:szCs w:val="24"/>
                <w:lang w:eastAsia="zh-CN"/>
              </w:rPr>
              <w:t>（</w:t>
            </w:r>
            <w:r>
              <w:rPr>
                <w:rFonts w:hint="eastAsia" w:ascii="Times New Roman" w:hAnsi="Times New Roman" w:eastAsia="宋体" w:cs="Times New Roman"/>
                <w:bCs/>
                <w:color w:val="auto"/>
                <w:sz w:val="24"/>
                <w:szCs w:val="24"/>
                <w:lang w:val="en-US" w:eastAsia="zh-CN"/>
              </w:rPr>
              <w:t>0.023</w:t>
            </w:r>
            <w:r>
              <w:rPr>
                <w:rFonts w:hint="default" w:ascii="Times New Roman" w:hAnsi="Times New Roman" w:eastAsia="宋体" w:cs="Times New Roman"/>
                <w:bCs/>
                <w:color w:val="auto"/>
                <w:sz w:val="24"/>
                <w:szCs w:val="24"/>
                <w:lang w:val="en-US" w:eastAsia="zh-CN"/>
              </w:rPr>
              <w:t>t/a）</w:t>
            </w:r>
            <w:r>
              <w:rPr>
                <w:rFonts w:hint="default" w:ascii="Times New Roman" w:hAnsi="Times New Roman" w:eastAsia="宋体" w:cs="Times New Roman"/>
                <w:bCs/>
                <w:color w:val="auto"/>
                <w:sz w:val="24"/>
                <w:szCs w:val="24"/>
              </w:rPr>
              <w:t>、NH</w:t>
            </w:r>
            <w:r>
              <w:rPr>
                <w:rFonts w:hint="default" w:ascii="Times New Roman" w:hAnsi="Times New Roman" w:eastAsia="宋体" w:cs="Times New Roman"/>
                <w:bCs/>
                <w:color w:val="auto"/>
                <w:sz w:val="24"/>
                <w:szCs w:val="24"/>
                <w:vertAlign w:val="subscript"/>
                <w:lang w:val="en-US" w:eastAsia="zh-CN"/>
              </w:rPr>
              <w:t>3</w:t>
            </w:r>
            <w:r>
              <w:rPr>
                <w:rFonts w:hint="default" w:ascii="Times New Roman" w:hAnsi="Times New Roman" w:eastAsia="宋体" w:cs="Times New Roman"/>
                <w:bCs/>
                <w:color w:val="auto"/>
                <w:sz w:val="24"/>
                <w:szCs w:val="24"/>
                <w:lang w:val="en-US" w:eastAsia="zh-CN"/>
              </w:rPr>
              <w:t>-</w:t>
            </w:r>
            <w:r>
              <w:rPr>
                <w:rFonts w:hint="default" w:ascii="Times New Roman" w:hAnsi="Times New Roman" w:eastAsia="宋体" w:cs="Times New Roman"/>
                <w:bCs/>
                <w:color w:val="auto"/>
                <w:sz w:val="24"/>
                <w:szCs w:val="24"/>
              </w:rPr>
              <w:t>N</w:t>
            </w:r>
            <w:r>
              <w:rPr>
                <w:rFonts w:hint="default" w:ascii="Times New Roman" w:hAnsi="Times New Roman" w:eastAsia="宋体" w:cs="Times New Roman"/>
                <w:bCs/>
                <w:color w:val="auto"/>
                <w:sz w:val="24"/>
                <w:szCs w:val="24"/>
                <w:lang w:eastAsia="zh-CN"/>
              </w:rPr>
              <w:t>（</w:t>
            </w:r>
            <w:r>
              <w:rPr>
                <w:rFonts w:hint="eastAsia" w:ascii="Times New Roman" w:hAnsi="Times New Roman" w:eastAsia="宋体" w:cs="Times New Roman"/>
                <w:bCs/>
                <w:color w:val="auto"/>
                <w:sz w:val="24"/>
                <w:szCs w:val="24"/>
                <w:lang w:val="en-US" w:eastAsia="zh-CN"/>
              </w:rPr>
              <w:t>0.004</w:t>
            </w:r>
            <w:r>
              <w:rPr>
                <w:rFonts w:hint="default" w:ascii="Times New Roman" w:hAnsi="Times New Roman" w:eastAsia="宋体" w:cs="Times New Roman"/>
                <w:bCs/>
                <w:color w:val="auto"/>
                <w:sz w:val="24"/>
                <w:szCs w:val="24"/>
                <w:lang w:val="en-US" w:eastAsia="zh-CN"/>
              </w:rPr>
              <w:t>t/a）</w:t>
            </w:r>
            <w:r>
              <w:rPr>
                <w:rFonts w:hint="default" w:ascii="Times New Roman" w:hAnsi="Times New Roman" w:eastAsia="宋体" w:cs="Times New Roman"/>
                <w:bCs/>
                <w:color w:val="auto"/>
                <w:sz w:val="24"/>
                <w:szCs w:val="24"/>
              </w:rPr>
              <w:t>纳入园区污水处理厂的总量控制指标，</w:t>
            </w:r>
            <w:r>
              <w:rPr>
                <w:rFonts w:ascii="Times New Roman" w:hAnsi="Times New Roman" w:eastAsia="宋体" w:cs="Times New Roman"/>
                <w:bCs/>
                <w:color w:val="auto"/>
                <w:sz w:val="24"/>
                <w:szCs w:val="24"/>
              </w:rPr>
              <w:t>不单独设置总量指标</w:t>
            </w:r>
            <w:r>
              <w:rPr>
                <w:rFonts w:hint="default" w:ascii="Times New Roman" w:hAnsi="Times New Roman" w:eastAsia="宋体" w:cs="Times New Roman"/>
                <w:bCs/>
                <w:color w:val="auto"/>
                <w:sz w:val="24"/>
                <w:szCs w:val="24"/>
              </w:rPr>
              <w:t>。</w:t>
            </w:r>
          </w:p>
          <w:p w14:paraId="16B38DB1">
            <w:pPr>
              <w:spacing w:line="360" w:lineRule="auto"/>
              <w:ind w:firstLine="480" w:firstLineChars="200"/>
              <w:rPr>
                <w:bCs/>
                <w:color w:val="auto"/>
                <w:sz w:val="24"/>
                <w:szCs w:val="24"/>
              </w:rPr>
            </w:pPr>
            <w:r>
              <w:rPr>
                <w:color w:val="auto"/>
                <w:sz w:val="24"/>
                <w:szCs w:val="24"/>
              </w:rPr>
              <w:t>（2）大气污染</w:t>
            </w:r>
            <w:r>
              <w:rPr>
                <w:bCs/>
                <w:color w:val="auto"/>
                <w:sz w:val="24"/>
                <w:szCs w:val="24"/>
              </w:rPr>
              <w:t>物排放总量控制指标</w:t>
            </w:r>
          </w:p>
          <w:p w14:paraId="014F77CD">
            <w:pPr>
              <w:spacing w:line="360" w:lineRule="auto"/>
              <w:ind w:firstLine="480" w:firstLineChars="200"/>
              <w:jc w:val="left"/>
              <w:rPr>
                <w:bCs/>
                <w:color w:val="auto"/>
                <w:sz w:val="24"/>
                <w:szCs w:val="24"/>
              </w:rPr>
            </w:pPr>
            <w:r>
              <w:rPr>
                <w:bCs/>
                <w:color w:val="auto"/>
                <w:sz w:val="24"/>
                <w:szCs w:val="24"/>
              </w:rPr>
              <w:t>本项目大气污染物总量控制指标如下表所示：</w:t>
            </w:r>
          </w:p>
          <w:p w14:paraId="60B3A54C">
            <w:pPr>
              <w:jc w:val="center"/>
              <w:rPr>
                <w:b/>
                <w:color w:val="auto"/>
                <w:sz w:val="24"/>
                <w:szCs w:val="24"/>
              </w:rPr>
            </w:pPr>
            <w:r>
              <w:rPr>
                <w:b/>
                <w:bCs/>
                <w:color w:val="auto"/>
                <w:kern w:val="0"/>
                <w:sz w:val="24"/>
                <w:szCs w:val="24"/>
              </w:rPr>
              <w:t>表</w:t>
            </w:r>
            <w:r>
              <w:rPr>
                <w:b/>
                <w:bCs/>
                <w:color w:val="auto"/>
                <w:kern w:val="0"/>
                <w:sz w:val="24"/>
                <w:szCs w:val="24"/>
              </w:rPr>
              <w:fldChar w:fldCharType="begin"/>
            </w:r>
            <w:r>
              <w:rPr>
                <w:b/>
                <w:bCs/>
                <w:color w:val="auto"/>
                <w:kern w:val="0"/>
                <w:sz w:val="24"/>
                <w:szCs w:val="24"/>
              </w:rPr>
              <w:instrText xml:space="preserve"> SEQ 表 \* ARABIC </w:instrText>
            </w:r>
            <w:r>
              <w:rPr>
                <w:b/>
                <w:bCs/>
                <w:color w:val="auto"/>
                <w:kern w:val="0"/>
                <w:sz w:val="24"/>
                <w:szCs w:val="24"/>
              </w:rPr>
              <w:fldChar w:fldCharType="separate"/>
            </w:r>
            <w:r>
              <w:rPr>
                <w:b/>
                <w:bCs/>
                <w:color w:val="auto"/>
                <w:kern w:val="0"/>
                <w:sz w:val="24"/>
                <w:szCs w:val="24"/>
              </w:rPr>
              <w:t>22</w:t>
            </w:r>
            <w:r>
              <w:rPr>
                <w:b/>
                <w:bCs/>
                <w:color w:val="auto"/>
                <w:kern w:val="0"/>
                <w:sz w:val="24"/>
                <w:szCs w:val="24"/>
              </w:rPr>
              <w:fldChar w:fldCharType="end"/>
            </w:r>
            <w:r>
              <w:rPr>
                <w:b/>
                <w:bCs/>
                <w:color w:val="auto"/>
                <w:sz w:val="24"/>
                <w:szCs w:val="24"/>
                <w:lang w:bidi="ar"/>
              </w:rPr>
              <w:t xml:space="preserve"> </w:t>
            </w:r>
            <w:r>
              <w:rPr>
                <w:b/>
                <w:color w:val="auto"/>
                <w:sz w:val="24"/>
                <w:szCs w:val="24"/>
              </w:rPr>
              <w:t xml:space="preserve"> 本项目大气污染物总量控制指标</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8"/>
              <w:gridCol w:w="1649"/>
              <w:gridCol w:w="1649"/>
              <w:gridCol w:w="1684"/>
              <w:gridCol w:w="1662"/>
            </w:tblGrid>
            <w:tr w14:paraId="514E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6" w:type="pct"/>
                  <w:vMerge w:val="restart"/>
                  <w:vAlign w:val="center"/>
                </w:tcPr>
                <w:p w14:paraId="66D94CCB">
                  <w:pPr>
                    <w:pStyle w:val="19"/>
                    <w:widowControl/>
                    <w:snapToGrid w:val="0"/>
                    <w:spacing w:after="0"/>
                    <w:ind w:right="113"/>
                    <w:jc w:val="center"/>
                    <w:rPr>
                      <w:b/>
                      <w:bCs/>
                      <w:color w:val="auto"/>
                      <w:szCs w:val="21"/>
                    </w:rPr>
                  </w:pPr>
                  <w:r>
                    <w:rPr>
                      <w:b/>
                      <w:bCs/>
                      <w:color w:val="auto"/>
                      <w:szCs w:val="21"/>
                    </w:rPr>
                    <w:t>污染物</w:t>
                  </w:r>
                </w:p>
              </w:tc>
              <w:tc>
                <w:tcPr>
                  <w:tcW w:w="2964" w:type="pct"/>
                  <w:gridSpan w:val="3"/>
                  <w:vAlign w:val="center"/>
                </w:tcPr>
                <w:p w14:paraId="3963FA89">
                  <w:pPr>
                    <w:pStyle w:val="19"/>
                    <w:widowControl/>
                    <w:snapToGrid w:val="0"/>
                    <w:spacing w:after="0"/>
                    <w:ind w:right="113"/>
                    <w:jc w:val="center"/>
                    <w:rPr>
                      <w:b/>
                      <w:bCs/>
                      <w:color w:val="auto"/>
                      <w:szCs w:val="21"/>
                    </w:rPr>
                  </w:pPr>
                  <w:r>
                    <w:rPr>
                      <w:b/>
                      <w:bCs/>
                      <w:color w:val="auto"/>
                      <w:szCs w:val="21"/>
                    </w:rPr>
                    <w:t>本项目</w:t>
                  </w:r>
                  <w:r>
                    <w:rPr>
                      <w:b/>
                      <w:color w:val="auto"/>
                      <w:szCs w:val="21"/>
                    </w:rPr>
                    <w:t>（t/a）</w:t>
                  </w:r>
                </w:p>
              </w:tc>
              <w:tc>
                <w:tcPr>
                  <w:tcW w:w="989" w:type="pct"/>
                  <w:vMerge w:val="restart"/>
                  <w:vAlign w:val="center"/>
                </w:tcPr>
                <w:p w14:paraId="4B8F3E19">
                  <w:pPr>
                    <w:pStyle w:val="19"/>
                    <w:widowControl/>
                    <w:snapToGrid w:val="0"/>
                    <w:spacing w:after="0"/>
                    <w:ind w:right="113"/>
                    <w:jc w:val="center"/>
                    <w:rPr>
                      <w:b/>
                      <w:bCs/>
                      <w:color w:val="auto"/>
                      <w:szCs w:val="21"/>
                    </w:rPr>
                  </w:pPr>
                  <w:r>
                    <w:rPr>
                      <w:b/>
                      <w:bCs/>
                      <w:color w:val="auto"/>
                      <w:szCs w:val="21"/>
                    </w:rPr>
                    <w:t>总量控制指标</w:t>
                  </w:r>
                </w:p>
              </w:tc>
            </w:tr>
            <w:tr w14:paraId="1434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046" w:type="pct"/>
                  <w:vMerge w:val="continue"/>
                  <w:vAlign w:val="center"/>
                </w:tcPr>
                <w:p w14:paraId="3E44270D">
                  <w:pPr>
                    <w:pStyle w:val="19"/>
                    <w:widowControl/>
                    <w:snapToGrid w:val="0"/>
                    <w:spacing w:after="0"/>
                    <w:ind w:right="113"/>
                    <w:jc w:val="center"/>
                    <w:rPr>
                      <w:b/>
                      <w:bCs/>
                      <w:color w:val="auto"/>
                      <w:szCs w:val="21"/>
                    </w:rPr>
                  </w:pPr>
                </w:p>
              </w:tc>
              <w:tc>
                <w:tcPr>
                  <w:tcW w:w="981" w:type="pct"/>
                  <w:vAlign w:val="center"/>
                </w:tcPr>
                <w:p w14:paraId="579AFA08">
                  <w:pPr>
                    <w:pStyle w:val="19"/>
                    <w:widowControl/>
                    <w:snapToGrid w:val="0"/>
                    <w:spacing w:after="0"/>
                    <w:ind w:right="113"/>
                    <w:jc w:val="center"/>
                    <w:rPr>
                      <w:b/>
                      <w:bCs/>
                      <w:color w:val="auto"/>
                      <w:szCs w:val="21"/>
                    </w:rPr>
                  </w:pPr>
                  <w:r>
                    <w:rPr>
                      <w:b/>
                      <w:bCs/>
                      <w:color w:val="auto"/>
                      <w:szCs w:val="21"/>
                    </w:rPr>
                    <w:t>有组织排放量</w:t>
                  </w:r>
                </w:p>
              </w:tc>
              <w:tc>
                <w:tcPr>
                  <w:tcW w:w="981" w:type="pct"/>
                  <w:vAlign w:val="center"/>
                </w:tcPr>
                <w:p w14:paraId="6F76FCB7">
                  <w:pPr>
                    <w:pStyle w:val="19"/>
                    <w:widowControl/>
                    <w:snapToGrid w:val="0"/>
                    <w:spacing w:after="0"/>
                    <w:ind w:right="113"/>
                    <w:jc w:val="center"/>
                    <w:rPr>
                      <w:b/>
                      <w:bCs/>
                      <w:color w:val="auto"/>
                      <w:szCs w:val="21"/>
                    </w:rPr>
                  </w:pPr>
                  <w:r>
                    <w:rPr>
                      <w:b/>
                      <w:bCs/>
                      <w:color w:val="auto"/>
                      <w:szCs w:val="21"/>
                    </w:rPr>
                    <w:t>无组织排放量</w:t>
                  </w:r>
                </w:p>
              </w:tc>
              <w:tc>
                <w:tcPr>
                  <w:tcW w:w="1002" w:type="pct"/>
                  <w:vAlign w:val="center"/>
                </w:tcPr>
                <w:p w14:paraId="42C9E354">
                  <w:pPr>
                    <w:pStyle w:val="19"/>
                    <w:widowControl/>
                    <w:snapToGrid w:val="0"/>
                    <w:spacing w:after="0"/>
                    <w:ind w:right="113"/>
                    <w:jc w:val="center"/>
                    <w:rPr>
                      <w:b/>
                      <w:bCs/>
                      <w:color w:val="auto"/>
                      <w:szCs w:val="21"/>
                    </w:rPr>
                  </w:pPr>
                  <w:r>
                    <w:rPr>
                      <w:b/>
                      <w:bCs/>
                      <w:color w:val="auto"/>
                      <w:szCs w:val="21"/>
                    </w:rPr>
                    <w:t>总计</w:t>
                  </w:r>
                </w:p>
              </w:tc>
              <w:tc>
                <w:tcPr>
                  <w:tcW w:w="989" w:type="pct"/>
                  <w:vMerge w:val="continue"/>
                  <w:vAlign w:val="center"/>
                </w:tcPr>
                <w:p w14:paraId="5622E841">
                  <w:pPr>
                    <w:pStyle w:val="19"/>
                    <w:widowControl/>
                    <w:snapToGrid w:val="0"/>
                    <w:spacing w:after="0"/>
                    <w:ind w:right="113"/>
                    <w:jc w:val="center"/>
                    <w:rPr>
                      <w:b/>
                      <w:bCs/>
                      <w:color w:val="auto"/>
                      <w:szCs w:val="21"/>
                    </w:rPr>
                  </w:pPr>
                </w:p>
              </w:tc>
            </w:tr>
            <w:tr w14:paraId="7574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046" w:type="pct"/>
                  <w:vAlign w:val="center"/>
                </w:tcPr>
                <w:p w14:paraId="4B3C5903">
                  <w:pPr>
                    <w:pStyle w:val="19"/>
                    <w:widowControl/>
                    <w:snapToGrid w:val="0"/>
                    <w:spacing w:after="0"/>
                    <w:ind w:right="113"/>
                    <w:jc w:val="center"/>
                    <w:rPr>
                      <w:bCs/>
                      <w:color w:val="auto"/>
                      <w:szCs w:val="21"/>
                    </w:rPr>
                  </w:pPr>
                  <w:r>
                    <w:rPr>
                      <w:bCs/>
                      <w:color w:val="auto"/>
                      <w:szCs w:val="21"/>
                    </w:rPr>
                    <w:t>VOCs</w:t>
                  </w:r>
                </w:p>
              </w:tc>
              <w:tc>
                <w:tcPr>
                  <w:tcW w:w="1655" w:type="dxa"/>
                  <w:vAlign w:val="center"/>
                </w:tcPr>
                <w:p w14:paraId="652F9ACF">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0.019734</w:t>
                  </w:r>
                </w:p>
              </w:tc>
              <w:tc>
                <w:tcPr>
                  <w:tcW w:w="1655" w:type="dxa"/>
                  <w:vAlign w:val="center"/>
                </w:tcPr>
                <w:p w14:paraId="6E52E56B">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0.028732</w:t>
                  </w:r>
                </w:p>
              </w:tc>
              <w:tc>
                <w:tcPr>
                  <w:tcW w:w="1691" w:type="dxa"/>
                  <w:vAlign w:val="center"/>
                </w:tcPr>
                <w:p w14:paraId="7D381B20">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0.048466</w:t>
                  </w:r>
                </w:p>
              </w:tc>
              <w:tc>
                <w:tcPr>
                  <w:tcW w:w="989" w:type="pct"/>
                  <w:vAlign w:val="center"/>
                </w:tcPr>
                <w:p w14:paraId="6C759222">
                  <w:pPr>
                    <w:widowControl/>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0.048466</w:t>
                  </w:r>
                </w:p>
              </w:tc>
            </w:tr>
          </w:tbl>
          <w:p w14:paraId="2475F0F9">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根据</w:t>
            </w:r>
            <w:r>
              <w:rPr>
                <w:rFonts w:hint="default" w:ascii="Times New Roman" w:hAnsi="Times New Roman" w:eastAsia="宋体" w:cs="Times New Roman"/>
                <w:color w:val="auto"/>
                <w:sz w:val="24"/>
                <w:szCs w:val="24"/>
              </w:rPr>
              <w:t>生态环境部“十四五”主要污染物总量减排有关文件以及</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广东省人民政府关于印发广东省“三线一单”生态环境分区管控方案的通知</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粤府〔2020〕71号</w:t>
            </w:r>
            <w:r>
              <w:rPr>
                <w:rFonts w:hint="default" w:ascii="Times New Roman" w:hAnsi="Times New Roman" w:eastAsia="宋体" w:cs="Times New Roman"/>
                <w:color w:val="auto"/>
                <w:sz w:val="24"/>
                <w:szCs w:val="24"/>
                <w:lang w:eastAsia="zh-CN"/>
              </w:rPr>
              <w:t>），重点污染物排放总量指标包括化学需氧量、氨氮、氮氧化物及挥发性有机物等</w:t>
            </w:r>
            <w:r>
              <w:rPr>
                <w:rFonts w:hint="default" w:ascii="Times New Roman" w:hAnsi="Times New Roman" w:eastAsia="宋体" w:cs="Times New Roman"/>
                <w:color w:val="auto"/>
                <w:sz w:val="24"/>
                <w:szCs w:val="24"/>
                <w:lang w:val="en-US" w:eastAsia="zh-CN"/>
              </w:rPr>
              <w:t>四项</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颗粒物</w:t>
            </w:r>
            <w:r>
              <w:rPr>
                <w:rFonts w:hint="eastAsia" w:ascii="Times New Roman" w:hAnsi="Times New Roman" w:eastAsia="宋体" w:cs="Times New Roman"/>
                <w:color w:val="auto"/>
                <w:sz w:val="24"/>
                <w:szCs w:val="24"/>
                <w:lang w:val="en-US" w:eastAsia="zh-CN"/>
              </w:rPr>
              <w:t>、SO</w:t>
            </w:r>
            <w:r>
              <w:rPr>
                <w:rFonts w:hint="eastAsia"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无需设置大气污染物总量控制指标</w:t>
            </w:r>
            <w:r>
              <w:rPr>
                <w:rFonts w:hint="default" w:ascii="Times New Roman" w:hAnsi="Times New Roman" w:eastAsia="宋体" w:cs="Times New Roman"/>
                <w:color w:val="auto"/>
                <w:sz w:val="24"/>
                <w:szCs w:val="24"/>
              </w:rPr>
              <w:t>。</w:t>
            </w:r>
          </w:p>
          <w:p w14:paraId="2FB9D6F5">
            <w:pPr>
              <w:spacing w:line="360" w:lineRule="auto"/>
              <w:ind w:firstLine="480" w:firstLineChars="200"/>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 w:val="24"/>
                <w:szCs w:val="24"/>
              </w:rPr>
              <w:t>本项目建成后</w:t>
            </w:r>
            <w:r>
              <w:rPr>
                <w:rFonts w:hint="eastAsia" w:ascii="Times New Roman" w:hAnsi="Times New Roman" w:eastAsia="宋体" w:cs="Times New Roman"/>
                <w:color w:val="auto"/>
                <w:sz w:val="24"/>
                <w:szCs w:val="24"/>
                <w:lang w:val="en-US" w:eastAsia="zh-CN"/>
              </w:rPr>
              <w:t>挥发性有机物</w:t>
            </w:r>
            <w:r>
              <w:rPr>
                <w:rFonts w:hint="default" w:ascii="Times New Roman" w:hAnsi="Times New Roman" w:eastAsia="宋体" w:cs="Times New Roman"/>
                <w:color w:val="auto"/>
                <w:sz w:val="24"/>
                <w:szCs w:val="24"/>
              </w:rPr>
              <w:t>排放总量为</w:t>
            </w:r>
            <w:r>
              <w:rPr>
                <w:rFonts w:hint="default"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lang w:val="en-US" w:eastAsia="zh-CN"/>
              </w:rPr>
              <w:t>.048466</w:t>
            </w:r>
            <w:r>
              <w:rPr>
                <w:rFonts w:hint="default" w:ascii="Times New Roman" w:hAnsi="Times New Roman" w:eastAsia="宋体" w:cs="Times New Roman"/>
                <w:color w:val="auto"/>
                <w:sz w:val="24"/>
                <w:szCs w:val="24"/>
              </w:rPr>
              <w:t>t/a</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根据《广东省人民政府办公厅印发广东省关于进一步深化投融资体制改革若干举措的通知》（粤府办〔2025]8号），“对氮氧化物、化学需氧量、挥发性有机污染物的单项新增年排放量小于0.1吨、氨氮小于0.01吨的建设项目，免予提交总量指标来源说明，由生态环境部门统筹总量指标替代来源，</w:t>
            </w:r>
            <w:r>
              <w:rPr>
                <w:rFonts w:hint="eastAsia" w:ascii="Times New Roman" w:hAnsi="Times New Roman" w:eastAsia="宋体" w:cs="Times New Roman"/>
                <w:color w:val="auto"/>
                <w:sz w:val="24"/>
                <w:szCs w:val="24"/>
                <w:lang w:val="en-US" w:eastAsia="zh-CN"/>
              </w:rPr>
              <w:t>因此挥发性有机物</w:t>
            </w:r>
            <w:r>
              <w:rPr>
                <w:rFonts w:hint="default" w:ascii="Times New Roman" w:hAnsi="Times New Roman" w:eastAsia="宋体" w:cs="Times New Roman"/>
                <w:color w:val="auto"/>
                <w:sz w:val="24"/>
                <w:szCs w:val="24"/>
              </w:rPr>
              <w:t>等量替代</w:t>
            </w:r>
            <w:r>
              <w:rPr>
                <w:rFonts w:hint="eastAsia" w:ascii="Times New Roman" w:hAnsi="Times New Roman" w:eastAsia="宋体" w:cs="Times New Roman"/>
                <w:color w:val="auto"/>
                <w:sz w:val="24"/>
                <w:szCs w:val="24"/>
                <w:lang w:val="en-US" w:eastAsia="zh-CN"/>
              </w:rPr>
              <w:t>无需向</w:t>
            </w:r>
            <w:r>
              <w:rPr>
                <w:rFonts w:hint="default" w:ascii="Times New Roman" w:hAnsi="Times New Roman" w:eastAsia="宋体" w:cs="Times New Roman"/>
                <w:color w:val="auto"/>
                <w:sz w:val="24"/>
                <w:szCs w:val="24"/>
              </w:rPr>
              <w:t>韶关市生态环境局乐昌分局申请分配</w:t>
            </w:r>
            <w:r>
              <w:rPr>
                <w:rFonts w:hint="eastAsia" w:ascii="Times New Roman" w:hAnsi="Times New Roman" w:eastAsia="宋体" w:cs="Times New Roman"/>
                <w:color w:val="auto"/>
                <w:szCs w:val="21"/>
                <w:lang w:eastAsia="zh-CN"/>
              </w:rPr>
              <w:t>。</w:t>
            </w:r>
          </w:p>
          <w:p w14:paraId="5DE55296">
            <w:pPr>
              <w:rPr>
                <w:color w:val="auto"/>
                <w:kern w:val="0"/>
                <w:szCs w:val="21"/>
                <w:lang w:bidi="ar"/>
              </w:rPr>
            </w:pPr>
          </w:p>
          <w:p w14:paraId="419E37CF">
            <w:pPr>
              <w:rPr>
                <w:color w:val="auto"/>
                <w:kern w:val="0"/>
                <w:szCs w:val="21"/>
                <w:lang w:bidi="ar"/>
              </w:rPr>
            </w:pPr>
          </w:p>
          <w:p w14:paraId="6DCFC894">
            <w:pPr>
              <w:rPr>
                <w:color w:val="auto"/>
                <w:kern w:val="0"/>
                <w:szCs w:val="21"/>
                <w:lang w:bidi="ar"/>
              </w:rPr>
            </w:pPr>
          </w:p>
          <w:p w14:paraId="574EC170">
            <w:pPr>
              <w:rPr>
                <w:color w:val="auto"/>
                <w:kern w:val="0"/>
                <w:szCs w:val="21"/>
                <w:lang w:bidi="ar"/>
              </w:rPr>
            </w:pPr>
          </w:p>
          <w:p w14:paraId="035FC048">
            <w:pPr>
              <w:rPr>
                <w:color w:val="auto"/>
                <w:kern w:val="0"/>
                <w:szCs w:val="21"/>
                <w:lang w:bidi="ar"/>
              </w:rPr>
            </w:pPr>
          </w:p>
          <w:p w14:paraId="0B602E6D">
            <w:pPr>
              <w:rPr>
                <w:color w:val="auto"/>
                <w:kern w:val="0"/>
                <w:szCs w:val="21"/>
                <w:lang w:bidi="ar"/>
              </w:rPr>
            </w:pPr>
          </w:p>
          <w:p w14:paraId="03E1BBC8">
            <w:pPr>
              <w:rPr>
                <w:color w:val="auto"/>
                <w:kern w:val="0"/>
                <w:szCs w:val="21"/>
                <w:lang w:bidi="ar"/>
              </w:rPr>
            </w:pPr>
          </w:p>
        </w:tc>
      </w:tr>
    </w:tbl>
    <w:p w14:paraId="0637669B">
      <w:pPr>
        <w:pStyle w:val="33"/>
        <w:adjustRightInd w:val="0"/>
        <w:snapToGrid w:val="0"/>
        <w:jc w:val="center"/>
        <w:outlineLvl w:val="0"/>
        <w:rPr>
          <w:rFonts w:ascii="Times New Roman" w:hAnsi="Times New Roman" w:eastAsia="黑体" w:cs="Times New Roman"/>
          <w:snapToGrid w:val="0"/>
          <w:color w:val="auto"/>
          <w:sz w:val="30"/>
          <w:szCs w:val="30"/>
        </w:rPr>
      </w:pPr>
      <w:bookmarkStart w:id="21" w:name="_Toc10899_WPSOffice_Level1"/>
      <w:bookmarkStart w:id="22" w:name="_Toc11110"/>
      <w:bookmarkStart w:id="23" w:name="_Toc23107_WPSOffice_Level1"/>
      <w:bookmarkStart w:id="24" w:name="_Toc27619_WPSOffice_Level1"/>
      <w:bookmarkStart w:id="25" w:name="_Toc12278_WPSOffice_Level1"/>
      <w:bookmarkStart w:id="26" w:name="_Toc11424"/>
      <w:r>
        <w:rPr>
          <w:rFonts w:ascii="Times New Roman" w:hAnsi="Times New Roman" w:eastAsia="黑体" w:cs="Times New Roman"/>
          <w:snapToGrid w:val="0"/>
          <w:color w:val="auto"/>
          <w:sz w:val="36"/>
          <w:szCs w:val="36"/>
        </w:rPr>
        <w:br w:type="page"/>
      </w:r>
      <w:bookmarkStart w:id="27" w:name="_Toc10483"/>
      <w:bookmarkStart w:id="28" w:name="_Toc20226"/>
      <w:bookmarkStart w:id="29" w:name="_Toc22082_WPSOffice_Level1"/>
      <w:bookmarkStart w:id="30" w:name="_Toc25437_WPSOffice_Level1"/>
      <w:bookmarkStart w:id="31" w:name="_Toc2308"/>
      <w:bookmarkStart w:id="32" w:name="_Toc15615_WPSOffice_Level1"/>
      <w:bookmarkStart w:id="33" w:name="_Toc21379_WPSOffice_Level1"/>
      <w:r>
        <w:rPr>
          <w:rFonts w:ascii="Times New Roman" w:hAnsi="Times New Roman" w:eastAsia="黑体" w:cs="Times New Roman"/>
          <w:snapToGrid w:val="0"/>
          <w:color w:val="auto"/>
          <w:sz w:val="30"/>
          <w:szCs w:val="30"/>
        </w:rPr>
        <w:t>四、主要环境影响和保护措施</w:t>
      </w:r>
      <w:bookmarkEnd w:id="27"/>
      <w:bookmarkEnd w:id="28"/>
      <w:bookmarkEnd w:id="29"/>
      <w:bookmarkEnd w:id="30"/>
      <w:bookmarkEnd w:id="31"/>
      <w:bookmarkEnd w:id="32"/>
      <w:bookmarkEnd w:id="33"/>
    </w:p>
    <w:tbl>
      <w:tblPr>
        <w:tblStyle w:val="37"/>
        <w:tblW w:w="898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66"/>
        <w:gridCol w:w="8732"/>
      </w:tblGrid>
      <w:tr w14:paraId="2E783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27" w:hRule="atLeast"/>
        </w:trPr>
        <w:tc>
          <w:tcPr>
            <w:tcW w:w="240" w:type="dxa"/>
            <w:tcMar>
              <w:left w:w="28" w:type="dxa"/>
              <w:right w:w="28" w:type="dxa"/>
            </w:tcMar>
            <w:vAlign w:val="center"/>
          </w:tcPr>
          <w:p w14:paraId="1668060D">
            <w:pPr>
              <w:pStyle w:val="33"/>
              <w:adjustRightInd w:val="0"/>
              <w:snapToGrid w:val="0"/>
              <w:spacing w:before="0" w:beforeAutospacing="0" w:after="0" w:afterAutospacing="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施工</w:t>
            </w:r>
          </w:p>
          <w:p w14:paraId="2FBCEDFA">
            <w:pPr>
              <w:pStyle w:val="33"/>
              <w:adjustRightInd w:val="0"/>
              <w:snapToGrid w:val="0"/>
              <w:spacing w:before="0" w:beforeAutospacing="0" w:after="0" w:afterAutospacing="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期环</w:t>
            </w:r>
          </w:p>
          <w:p w14:paraId="7E024DB5">
            <w:pPr>
              <w:pStyle w:val="33"/>
              <w:adjustRightInd w:val="0"/>
              <w:snapToGrid w:val="0"/>
              <w:spacing w:before="0" w:beforeAutospacing="0" w:after="0" w:afterAutospacing="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境保</w:t>
            </w:r>
          </w:p>
          <w:p w14:paraId="396C1A4E">
            <w:pPr>
              <w:pStyle w:val="33"/>
              <w:adjustRightInd w:val="0"/>
              <w:snapToGrid w:val="0"/>
              <w:spacing w:before="0" w:beforeAutospacing="0" w:after="0" w:afterAutospacing="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护措</w:t>
            </w:r>
          </w:p>
          <w:p w14:paraId="0339FE6D">
            <w:pPr>
              <w:adjustRightInd w:val="0"/>
              <w:snapToGrid w:val="0"/>
              <w:jc w:val="center"/>
              <w:rPr>
                <w:bCs/>
                <w:color w:val="auto"/>
                <w:szCs w:val="21"/>
              </w:rPr>
            </w:pPr>
            <w:r>
              <w:rPr>
                <w:color w:val="auto"/>
                <w:szCs w:val="21"/>
              </w:rPr>
              <w:t>施</w:t>
            </w:r>
          </w:p>
        </w:tc>
        <w:tc>
          <w:tcPr>
            <w:tcW w:w="8740" w:type="dxa"/>
          </w:tcPr>
          <w:p w14:paraId="62E25823">
            <w:pPr>
              <w:pStyle w:val="89"/>
              <w:adjustRightInd w:val="0"/>
              <w:snapToGrid w:val="0"/>
              <w:spacing w:before="0" w:beforeLines="0"/>
              <w:ind w:firstLine="420"/>
              <w:rPr>
                <w:rFonts w:cs="Times New Roman"/>
                <w:color w:val="auto"/>
                <w:sz w:val="24"/>
                <w:szCs w:val="24"/>
              </w:rPr>
            </w:pPr>
            <w:r>
              <w:rPr>
                <w:rFonts w:cs="Times New Roman"/>
                <w:color w:val="auto"/>
                <w:sz w:val="24"/>
                <w:szCs w:val="24"/>
              </w:rPr>
              <w:t>本项目为新建项目，租用已建厂房进行建设，施工期主要内容为：厂房安装新生产线及环保设备及其辅助建筑的装修等。施工期1个月。</w:t>
            </w:r>
            <w:r>
              <w:rPr>
                <w:rFonts w:cs="Times New Roman"/>
                <w:bCs/>
                <w:color w:val="auto"/>
                <w:spacing w:val="-10"/>
                <w:sz w:val="24"/>
                <w:szCs w:val="24"/>
              </w:rPr>
              <w:t>对环境的影响不大。本报告仅提出简</w:t>
            </w:r>
            <w:r>
              <w:rPr>
                <w:rFonts w:cs="Times New Roman"/>
                <w:color w:val="auto"/>
                <w:sz w:val="24"/>
                <w:szCs w:val="24"/>
              </w:rPr>
              <w:t>单措施：</w:t>
            </w:r>
          </w:p>
          <w:p w14:paraId="205C2DEE">
            <w:pPr>
              <w:adjustRightInd w:val="0"/>
              <w:snapToGrid w:val="0"/>
              <w:spacing w:line="360" w:lineRule="auto"/>
              <w:ind w:firstLine="480" w:firstLineChars="200"/>
              <w:rPr>
                <w:color w:val="auto"/>
                <w:sz w:val="24"/>
                <w:szCs w:val="24"/>
              </w:rPr>
            </w:pPr>
            <w:r>
              <w:rPr>
                <w:color w:val="auto"/>
                <w:sz w:val="24"/>
                <w:szCs w:val="24"/>
              </w:rPr>
              <w:t>（1）废水：主要为施工人员的生活污水，本项目不为施工人员供应食宿，施工期间产生的生活污水依托所在建筑既有三级化粪池处理，处理后排入园区污水处理厂。</w:t>
            </w:r>
          </w:p>
          <w:p w14:paraId="0B5ACD92">
            <w:pPr>
              <w:adjustRightInd w:val="0"/>
              <w:snapToGrid w:val="0"/>
              <w:spacing w:line="360" w:lineRule="auto"/>
              <w:ind w:firstLine="480" w:firstLineChars="200"/>
              <w:rPr>
                <w:color w:val="auto"/>
                <w:sz w:val="24"/>
                <w:szCs w:val="24"/>
              </w:rPr>
            </w:pPr>
            <w:r>
              <w:rPr>
                <w:color w:val="auto"/>
                <w:sz w:val="24"/>
                <w:szCs w:val="24"/>
              </w:rPr>
              <w:t>（2）废气：主要为运输车辆扬尘及尾气和装修过程中的废气，施工期拟采取措施有：</w:t>
            </w:r>
            <w:r>
              <w:rPr>
                <w:rFonts w:hint="eastAsia" w:ascii="宋体" w:hAnsi="宋体" w:cs="宋体"/>
                <w:color w:val="auto"/>
                <w:sz w:val="24"/>
                <w:szCs w:val="24"/>
              </w:rPr>
              <w:t>①</w:t>
            </w:r>
            <w:r>
              <w:rPr>
                <w:color w:val="auto"/>
                <w:sz w:val="24"/>
                <w:szCs w:val="24"/>
              </w:rPr>
              <w:t>禁止散装类建筑材料进场；</w:t>
            </w:r>
            <w:r>
              <w:rPr>
                <w:rFonts w:hint="eastAsia" w:ascii="宋体" w:hAnsi="宋体" w:cs="宋体"/>
                <w:color w:val="auto"/>
                <w:sz w:val="24"/>
                <w:szCs w:val="24"/>
              </w:rPr>
              <w:t>②</w:t>
            </w:r>
            <w:r>
              <w:rPr>
                <w:color w:val="auto"/>
                <w:sz w:val="24"/>
                <w:szCs w:val="24"/>
              </w:rPr>
              <w:t>物料运输通道适当洒水抑尘。</w:t>
            </w:r>
          </w:p>
          <w:p w14:paraId="358CFFCE">
            <w:pPr>
              <w:numPr>
                <w:ilvl w:val="0"/>
                <w:numId w:val="19"/>
              </w:numPr>
              <w:adjustRightInd w:val="0"/>
              <w:snapToGrid w:val="0"/>
              <w:spacing w:line="360" w:lineRule="auto"/>
              <w:ind w:firstLine="480" w:firstLineChars="200"/>
              <w:rPr>
                <w:color w:val="auto"/>
                <w:sz w:val="24"/>
                <w:szCs w:val="24"/>
              </w:rPr>
            </w:pPr>
            <w:r>
              <w:rPr>
                <w:color w:val="auto"/>
                <w:sz w:val="24"/>
                <w:szCs w:val="24"/>
              </w:rPr>
              <w:t>固废：施工人员生活垃圾依托厂区内生活垃圾收集桶收集，委托环卫部门清运处理。</w:t>
            </w:r>
          </w:p>
          <w:p w14:paraId="7D3E4A4A">
            <w:pPr>
              <w:snapToGrid w:val="0"/>
              <w:spacing w:line="360" w:lineRule="auto"/>
              <w:ind w:firstLine="480" w:firstLineChars="200"/>
              <w:rPr>
                <w:color w:val="auto"/>
                <w:sz w:val="24"/>
                <w:szCs w:val="24"/>
                <w:lang w:bidi="ar"/>
              </w:rPr>
            </w:pPr>
            <w:r>
              <w:rPr>
                <w:color w:val="auto"/>
                <w:sz w:val="24"/>
                <w:szCs w:val="24"/>
              </w:rPr>
              <w:t>（4）噪声：合理安排时间，严禁夜间进行设备安装，设备安装过程采取基础减振、隔声等降噪措施。</w:t>
            </w:r>
          </w:p>
          <w:p w14:paraId="59B4EB86">
            <w:pPr>
              <w:pStyle w:val="89"/>
              <w:adjustRightInd w:val="0"/>
              <w:snapToGrid w:val="0"/>
              <w:spacing w:before="0" w:beforeLines="0"/>
              <w:ind w:firstLine="420"/>
              <w:rPr>
                <w:rFonts w:cs="Times New Roman"/>
                <w:color w:val="auto"/>
                <w:sz w:val="24"/>
                <w:szCs w:val="24"/>
              </w:rPr>
            </w:pPr>
            <w:r>
              <w:rPr>
                <w:rFonts w:cs="Times New Roman"/>
                <w:color w:val="auto"/>
                <w:sz w:val="24"/>
                <w:szCs w:val="24"/>
              </w:rPr>
              <w:t>综上所述，本项目施工期在严格落实了本环评提出的上述污染防治措施之后，对周围的环境影响较小。</w:t>
            </w:r>
          </w:p>
          <w:p w14:paraId="0CBC4A3A">
            <w:pPr>
              <w:adjustRightInd w:val="0"/>
              <w:snapToGrid w:val="0"/>
              <w:spacing w:line="360" w:lineRule="auto"/>
              <w:rPr>
                <w:bCs/>
                <w:color w:val="auto"/>
                <w:spacing w:val="-10"/>
                <w:szCs w:val="21"/>
              </w:rPr>
            </w:pPr>
          </w:p>
        </w:tc>
      </w:tr>
      <w:tr w14:paraId="08F2C7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27" w:hRule="atLeast"/>
        </w:trPr>
        <w:tc>
          <w:tcPr>
            <w:tcW w:w="240" w:type="dxa"/>
            <w:tcMar>
              <w:left w:w="28" w:type="dxa"/>
              <w:right w:w="28" w:type="dxa"/>
            </w:tcMar>
            <w:vAlign w:val="center"/>
          </w:tcPr>
          <w:p w14:paraId="5609681C">
            <w:pPr>
              <w:adjustRightInd w:val="0"/>
              <w:snapToGrid w:val="0"/>
              <w:jc w:val="center"/>
              <w:rPr>
                <w:bCs/>
                <w:color w:val="auto"/>
                <w:szCs w:val="21"/>
              </w:rPr>
            </w:pPr>
            <w:r>
              <w:rPr>
                <w:bCs/>
                <w:color w:val="auto"/>
                <w:szCs w:val="21"/>
              </w:rPr>
              <w:t>运营</w:t>
            </w:r>
          </w:p>
          <w:p w14:paraId="41EBDE47">
            <w:pPr>
              <w:adjustRightInd w:val="0"/>
              <w:snapToGrid w:val="0"/>
              <w:jc w:val="center"/>
              <w:rPr>
                <w:bCs/>
                <w:color w:val="auto"/>
                <w:szCs w:val="21"/>
              </w:rPr>
            </w:pPr>
            <w:r>
              <w:rPr>
                <w:bCs/>
                <w:color w:val="auto"/>
                <w:szCs w:val="21"/>
              </w:rPr>
              <w:t>期环</w:t>
            </w:r>
          </w:p>
          <w:p w14:paraId="10BB170C">
            <w:pPr>
              <w:adjustRightInd w:val="0"/>
              <w:snapToGrid w:val="0"/>
              <w:jc w:val="center"/>
              <w:rPr>
                <w:bCs/>
                <w:color w:val="auto"/>
                <w:szCs w:val="21"/>
              </w:rPr>
            </w:pPr>
            <w:r>
              <w:rPr>
                <w:bCs/>
                <w:color w:val="auto"/>
                <w:szCs w:val="21"/>
              </w:rPr>
              <w:t>境影</w:t>
            </w:r>
          </w:p>
          <w:p w14:paraId="746FE53F">
            <w:pPr>
              <w:adjustRightInd w:val="0"/>
              <w:snapToGrid w:val="0"/>
              <w:jc w:val="center"/>
              <w:rPr>
                <w:bCs/>
                <w:color w:val="auto"/>
                <w:szCs w:val="21"/>
              </w:rPr>
            </w:pPr>
            <w:r>
              <w:rPr>
                <w:bCs/>
                <w:color w:val="auto"/>
                <w:szCs w:val="21"/>
              </w:rPr>
              <w:t>响和</w:t>
            </w:r>
          </w:p>
          <w:p w14:paraId="03BAA371">
            <w:pPr>
              <w:adjustRightInd w:val="0"/>
              <w:snapToGrid w:val="0"/>
              <w:jc w:val="center"/>
              <w:rPr>
                <w:bCs/>
                <w:color w:val="auto"/>
                <w:szCs w:val="21"/>
              </w:rPr>
            </w:pPr>
            <w:r>
              <w:rPr>
                <w:bCs/>
                <w:color w:val="auto"/>
                <w:szCs w:val="21"/>
              </w:rPr>
              <w:t>保护</w:t>
            </w:r>
          </w:p>
          <w:p w14:paraId="2A1CDBC7">
            <w:pPr>
              <w:adjustRightInd w:val="0"/>
              <w:snapToGrid w:val="0"/>
              <w:jc w:val="center"/>
              <w:rPr>
                <w:bCs/>
                <w:color w:val="auto"/>
                <w:szCs w:val="21"/>
              </w:rPr>
            </w:pPr>
            <w:r>
              <w:rPr>
                <w:bCs/>
                <w:color w:val="auto"/>
                <w:szCs w:val="21"/>
              </w:rPr>
              <w:t>措施</w:t>
            </w:r>
          </w:p>
        </w:tc>
        <w:tc>
          <w:tcPr>
            <w:tcW w:w="8740" w:type="dxa"/>
          </w:tcPr>
          <w:p w14:paraId="30281DD6">
            <w:pPr>
              <w:pStyle w:val="91"/>
              <w:adjustRightInd w:val="0"/>
              <w:snapToGrid w:val="0"/>
              <w:ind w:firstLine="0" w:firstLineChars="0"/>
              <w:rPr>
                <w:rFonts w:ascii="Times New Roman" w:hAnsi="Times New Roman"/>
                <w:b/>
                <w:bCs/>
                <w:color w:val="auto"/>
                <w:sz w:val="24"/>
                <w:szCs w:val="24"/>
              </w:rPr>
            </w:pPr>
            <w:r>
              <w:rPr>
                <w:rFonts w:ascii="Times New Roman" w:hAnsi="Times New Roman"/>
                <w:b/>
                <w:bCs/>
                <w:color w:val="auto"/>
                <w:sz w:val="24"/>
                <w:szCs w:val="24"/>
              </w:rPr>
              <w:t>一、废气</w:t>
            </w:r>
          </w:p>
          <w:p w14:paraId="0E0D6B98">
            <w:pPr>
              <w:adjustRightInd w:val="0"/>
              <w:snapToGrid w:val="0"/>
              <w:spacing w:line="360" w:lineRule="auto"/>
              <w:ind w:firstLine="442" w:firstLineChars="200"/>
              <w:rPr>
                <w:b/>
                <w:color w:val="auto"/>
                <w:spacing w:val="-10"/>
                <w:sz w:val="24"/>
                <w:szCs w:val="24"/>
              </w:rPr>
            </w:pPr>
            <w:r>
              <w:rPr>
                <w:b/>
                <w:color w:val="auto"/>
                <w:spacing w:val="-10"/>
                <w:sz w:val="24"/>
                <w:szCs w:val="24"/>
              </w:rPr>
              <w:t>1、项目运营期废气产排情况分析</w:t>
            </w:r>
          </w:p>
          <w:p w14:paraId="33E55952">
            <w:pPr>
              <w:widowControl/>
              <w:adjustRightInd w:val="0"/>
              <w:snapToGrid w:val="0"/>
              <w:spacing w:line="360" w:lineRule="auto"/>
              <w:ind w:firstLine="482" w:firstLineChars="200"/>
              <w:jc w:val="left"/>
              <w:rPr>
                <w:b/>
                <w:bCs/>
                <w:color w:val="auto"/>
                <w:sz w:val="24"/>
                <w:szCs w:val="24"/>
              </w:rPr>
            </w:pPr>
            <w:r>
              <w:rPr>
                <w:b/>
                <w:bCs/>
                <w:color w:val="auto"/>
                <w:sz w:val="24"/>
                <w:szCs w:val="24"/>
              </w:rPr>
              <w:t>（1）废气产生情况分析</w:t>
            </w:r>
          </w:p>
          <w:p w14:paraId="00A073FD">
            <w:pPr>
              <w:widowControl/>
              <w:spacing w:line="360" w:lineRule="auto"/>
              <w:ind w:firstLine="480" w:firstLineChars="200"/>
              <w:jc w:val="left"/>
              <w:rPr>
                <w:rFonts w:ascii="Times New Roman" w:hAnsi="Times New Roman" w:eastAsia="宋体" w:cs="Times New Roman"/>
                <w:color w:val="auto"/>
                <w:sz w:val="24"/>
                <w:szCs w:val="24"/>
              </w:rPr>
            </w:pPr>
            <w:r>
              <w:rPr>
                <w:color w:val="auto"/>
                <w:sz w:val="24"/>
                <w:szCs w:val="24"/>
              </w:rPr>
              <w:t>本项目废气主要产生过程为投料、蚊香香坯喷药、电蚊液装罐过程中挥发产生的有机废气</w:t>
            </w:r>
            <w:r>
              <w:rPr>
                <w:rFonts w:ascii="Times New Roman" w:hAnsi="Times New Roman" w:eastAsia="宋体" w:cs="Times New Roman"/>
                <w:color w:val="auto"/>
                <w:sz w:val="24"/>
                <w:szCs w:val="24"/>
              </w:rPr>
              <w:t>（以非甲烷总烃表征）</w:t>
            </w:r>
            <w:r>
              <w:rPr>
                <w:rFonts w:hint="eastAsia" w:cs="Times New Roman"/>
                <w:color w:val="auto"/>
                <w:sz w:val="24"/>
                <w:szCs w:val="24"/>
                <w:lang w:eastAsia="zh-CN"/>
              </w:rPr>
              <w:t>，</w:t>
            </w:r>
            <w:r>
              <w:rPr>
                <w:rFonts w:hint="eastAsia" w:cs="Times New Roman"/>
                <w:color w:val="auto"/>
                <w:sz w:val="24"/>
                <w:szCs w:val="24"/>
                <w:lang w:val="en-US" w:eastAsia="zh-CN"/>
              </w:rPr>
              <w:t>生产异味</w:t>
            </w:r>
            <w:r>
              <w:rPr>
                <w:rFonts w:ascii="Times New Roman" w:hAnsi="Times New Roman" w:eastAsia="宋体" w:cs="Times New Roman"/>
                <w:color w:val="auto"/>
                <w:sz w:val="24"/>
                <w:szCs w:val="24"/>
              </w:rPr>
              <w:t>。</w:t>
            </w:r>
          </w:p>
          <w:p w14:paraId="5CE3C3A5">
            <w:pPr>
              <w:widowControl/>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w:t>
            </w:r>
            <w:r>
              <w:rPr>
                <w:rFonts w:hint="eastAsia" w:ascii="Times New Roman" w:hAnsi="Times New Roman" w:eastAsia="宋体" w:cs="Times New Roman"/>
                <w:color w:val="auto"/>
                <w:sz w:val="24"/>
                <w:szCs w:val="24"/>
                <w:lang w:val="en-US" w:eastAsia="zh-CN"/>
              </w:rPr>
              <w:t>挥发性有机废气</w:t>
            </w:r>
          </w:p>
          <w:p w14:paraId="77B4AA90">
            <w:pPr>
              <w:widowControl/>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由于《排放源统计调查产排污核算方法和系数手册》中</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263 农药制造行业系数手册</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未明确农药制剂单纯混合或分装挥发性有机物产污系数。根据《污染源源强核算技术指南 农药制造工业》（HJ993-2018）采用类比法</w:t>
            </w:r>
            <w:r>
              <w:rPr>
                <w:rFonts w:hint="eastAsia" w:cs="Times New Roman"/>
                <w:color w:val="auto"/>
                <w:sz w:val="24"/>
                <w:szCs w:val="24"/>
                <w:lang w:val="en-US" w:eastAsia="zh-CN"/>
              </w:rPr>
              <w:t>对本项目</w:t>
            </w:r>
            <w:r>
              <w:rPr>
                <w:rFonts w:hint="default" w:ascii="Times New Roman" w:hAnsi="Times New Roman" w:eastAsia="宋体" w:cs="Times New Roman"/>
                <w:color w:val="auto"/>
                <w:sz w:val="24"/>
                <w:szCs w:val="24"/>
                <w:lang w:val="en-US" w:eastAsia="zh-CN"/>
              </w:rPr>
              <w:t>进行污染源源强核算</w:t>
            </w:r>
            <w:r>
              <w:rPr>
                <w:rFonts w:hint="eastAsia" w:ascii="Times New Roman" w:hAnsi="Times New Roman" w:eastAsia="宋体" w:cs="Times New Roman"/>
                <w:color w:val="auto"/>
                <w:sz w:val="24"/>
                <w:szCs w:val="24"/>
                <w:lang w:val="en-US" w:eastAsia="zh-CN"/>
              </w:rPr>
              <w:t>。</w:t>
            </w:r>
          </w:p>
          <w:p w14:paraId="00D43C87">
            <w:pPr>
              <w:widowControl/>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根据《</w:t>
            </w:r>
            <w:r>
              <w:rPr>
                <w:rFonts w:hint="default" w:ascii="Times New Roman" w:hAnsi="Times New Roman" w:eastAsia="宋体" w:cs="Times New Roman"/>
                <w:color w:val="auto"/>
                <w:sz w:val="24"/>
                <w:szCs w:val="24"/>
                <w:lang w:val="en-US" w:eastAsia="zh-CN"/>
              </w:rPr>
              <w:t>湖南绿怡然生物科技有限公司年生产1000吨蚊香液、600吨灭蚊片建设项目</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阶段性</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竣工环境保护验收监测报告</w:t>
            </w:r>
            <w:r>
              <w:rPr>
                <w:rFonts w:hint="eastAsia" w:cs="Times New Roman"/>
                <w:color w:val="auto"/>
                <w:sz w:val="24"/>
                <w:szCs w:val="24"/>
                <w:lang w:val="en-US" w:eastAsia="zh-CN"/>
              </w:rPr>
              <w:t>》（监测数据见附件6），</w:t>
            </w:r>
            <w:r>
              <w:rPr>
                <w:rFonts w:hint="default" w:ascii="Times New Roman" w:hAnsi="Times New Roman" w:eastAsia="宋体" w:cs="Times New Roman"/>
                <w:color w:val="auto"/>
                <w:sz w:val="24"/>
                <w:szCs w:val="24"/>
                <w:lang w:val="en-US" w:eastAsia="zh-CN"/>
              </w:rPr>
              <w:t>本项目在原辅料</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产品、工艺</w:t>
            </w:r>
            <w:r>
              <w:rPr>
                <w:rFonts w:hint="eastAsia" w:ascii="Times New Roman" w:hAnsi="Times New Roman" w:eastAsia="宋体" w:cs="Times New Roman"/>
                <w:color w:val="auto"/>
                <w:sz w:val="24"/>
                <w:szCs w:val="24"/>
                <w:lang w:val="en-US" w:eastAsia="zh-CN"/>
              </w:rPr>
              <w:t>上</w:t>
            </w:r>
            <w:r>
              <w:rPr>
                <w:rFonts w:hint="eastAsia" w:cs="Times New Roman"/>
                <w:color w:val="auto"/>
                <w:sz w:val="24"/>
                <w:szCs w:val="24"/>
                <w:lang w:val="en-US" w:eastAsia="zh-CN"/>
              </w:rPr>
              <w:t>和该项目很接近</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生产</w:t>
            </w:r>
            <w:r>
              <w:rPr>
                <w:rFonts w:hint="eastAsia" w:ascii="Times New Roman" w:hAnsi="Times New Roman" w:eastAsia="宋体" w:cs="Times New Roman"/>
                <w:color w:val="auto"/>
                <w:sz w:val="24"/>
                <w:szCs w:val="24"/>
                <w:lang w:val="en-US" w:eastAsia="zh-CN"/>
              </w:rPr>
              <w:t>产品</w:t>
            </w:r>
            <w:r>
              <w:rPr>
                <w:rFonts w:hint="default" w:ascii="Times New Roman" w:hAnsi="Times New Roman" w:eastAsia="宋体" w:cs="Times New Roman"/>
                <w:color w:val="auto"/>
                <w:sz w:val="24"/>
                <w:szCs w:val="24"/>
                <w:lang w:val="en-US" w:eastAsia="zh-CN"/>
              </w:rPr>
              <w:t>品种、生产工艺</w:t>
            </w:r>
            <w:r>
              <w:rPr>
                <w:rFonts w:hint="eastAsia" w:cs="Times New Roman"/>
                <w:color w:val="auto"/>
                <w:sz w:val="24"/>
                <w:szCs w:val="24"/>
                <w:lang w:val="en-US" w:eastAsia="zh-CN"/>
              </w:rPr>
              <w:t>基本相同</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2、原料及辅料类别</w:t>
            </w:r>
            <w:r>
              <w:rPr>
                <w:rFonts w:hint="eastAsia" w:cs="Times New Roman"/>
                <w:color w:val="auto"/>
                <w:sz w:val="24"/>
                <w:szCs w:val="24"/>
                <w:lang w:val="en-US" w:eastAsia="zh-CN"/>
              </w:rPr>
              <w:t>相似</w:t>
            </w:r>
            <w:r>
              <w:rPr>
                <w:rFonts w:hint="default" w:ascii="Times New Roman" w:hAnsi="Times New Roman" w:eastAsia="宋体" w:cs="Times New Roman"/>
                <w:color w:val="auto"/>
                <w:sz w:val="24"/>
                <w:szCs w:val="24"/>
                <w:lang w:val="en-US" w:eastAsia="zh-CN"/>
              </w:rPr>
              <w:t>，且与污染物排放相关的成分相似；3、生产规模差异超过30%，但为同一生产及管理模式。</w:t>
            </w:r>
            <w:r>
              <w:rPr>
                <w:rFonts w:hint="eastAsia" w:cs="Times New Roman"/>
                <w:color w:val="auto"/>
                <w:sz w:val="24"/>
                <w:szCs w:val="24"/>
                <w:lang w:val="en-US" w:eastAsia="zh-CN"/>
              </w:rPr>
              <w:t>本项目与类比项目</w:t>
            </w:r>
            <w:r>
              <w:rPr>
                <w:rFonts w:hint="default" w:ascii="Times New Roman" w:hAnsi="Times New Roman" w:eastAsia="宋体" w:cs="Times New Roman"/>
                <w:color w:val="auto"/>
                <w:sz w:val="24"/>
                <w:szCs w:val="24"/>
                <w:lang w:val="en-US" w:eastAsia="zh-CN"/>
              </w:rPr>
              <w:t>原辅料成分、产品、工艺、规模、污染控制措施、管理水平等方面具有相同或类似排污特征的污染源</w:t>
            </w:r>
            <w:r>
              <w:rPr>
                <w:rFonts w:hint="eastAsia" w:ascii="Times New Roman" w:hAnsi="Times New Roman" w:eastAsia="宋体" w:cs="Times New Roman"/>
                <w:color w:val="auto"/>
                <w:sz w:val="24"/>
                <w:szCs w:val="24"/>
                <w:lang w:val="en-US" w:eastAsia="zh-CN"/>
              </w:rPr>
              <w:t>，具有可类比性</w:t>
            </w:r>
            <w:r>
              <w:rPr>
                <w:rFonts w:hint="default" w:ascii="Times New Roman" w:hAnsi="Times New Roman" w:eastAsia="宋体" w:cs="Times New Roman"/>
                <w:color w:val="auto"/>
                <w:sz w:val="24"/>
                <w:szCs w:val="24"/>
                <w:lang w:val="en-US" w:eastAsia="zh-CN"/>
              </w:rPr>
              <w:t xml:space="preserve">。 </w:t>
            </w:r>
          </w:p>
          <w:p w14:paraId="33D746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b/>
                <w:bCs/>
                <w:color w:val="auto"/>
                <w:kern w:val="0"/>
                <w:sz w:val="24"/>
                <w:szCs w:val="24"/>
                <w:lang w:val="en-US" w:eastAsia="zh-CN"/>
              </w:rPr>
            </w:pPr>
            <w:r>
              <w:rPr>
                <w:rFonts w:ascii="Times New Roman" w:hAnsi="Times New Roman" w:eastAsia="宋体"/>
                <w:b/>
                <w:bCs/>
                <w:color w:val="auto"/>
                <w:sz w:val="24"/>
                <w:szCs w:val="24"/>
              </w:rPr>
              <w:t>表</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表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23</w:t>
            </w:r>
            <w:r>
              <w:rPr>
                <w:rFonts w:ascii="Times New Roman" w:hAnsi="Times New Roman" w:eastAsia="宋体"/>
                <w:b/>
                <w:bCs/>
                <w:color w:val="auto"/>
                <w:sz w:val="24"/>
                <w:szCs w:val="24"/>
              </w:rPr>
              <w:fldChar w:fldCharType="end"/>
            </w:r>
            <w:r>
              <w:rPr>
                <w:rFonts w:ascii="Times New Roman" w:hAnsi="Times New Roman" w:eastAsia="宋体"/>
                <w:b/>
                <w:bCs/>
                <w:color w:val="auto"/>
                <w:sz w:val="24"/>
                <w:szCs w:val="24"/>
              </w:rPr>
              <w:t xml:space="preserve">  </w:t>
            </w:r>
            <w:r>
              <w:rPr>
                <w:rFonts w:hint="eastAsia" w:ascii="Times New Roman" w:hAnsi="Times New Roman" w:eastAsia="宋体"/>
                <w:b/>
                <w:bCs/>
                <w:color w:val="auto"/>
                <w:sz w:val="24"/>
                <w:szCs w:val="24"/>
                <w:lang w:val="en-US" w:eastAsia="zh-CN"/>
              </w:rPr>
              <w:t>本项目与同类项目类比一览表</w:t>
            </w:r>
          </w:p>
          <w:tbl>
            <w:tblPr>
              <w:tblStyle w:val="37"/>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493"/>
              <w:gridCol w:w="2504"/>
              <w:gridCol w:w="2667"/>
              <w:gridCol w:w="1415"/>
            </w:tblGrid>
            <w:tr w14:paraId="4CB4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7" w:type="dxa"/>
                  <w:vAlign w:val="center"/>
                </w:tcPr>
                <w:p w14:paraId="2B3E3C2A">
                  <w:pPr>
                    <w:adjustRightInd w:val="0"/>
                    <w:snapToGrid w:val="0"/>
                    <w:jc w:val="center"/>
                    <w:rPr>
                      <w:b/>
                      <w:bCs/>
                      <w:color w:val="auto"/>
                      <w:szCs w:val="21"/>
                    </w:rPr>
                  </w:pPr>
                  <w:r>
                    <w:rPr>
                      <w:b/>
                      <w:bCs/>
                      <w:color w:val="auto"/>
                      <w:szCs w:val="21"/>
                    </w:rPr>
                    <w:t>序号</w:t>
                  </w:r>
                </w:p>
              </w:tc>
              <w:tc>
                <w:tcPr>
                  <w:tcW w:w="1493" w:type="dxa"/>
                  <w:vAlign w:val="center"/>
                </w:tcPr>
                <w:p w14:paraId="65107490">
                  <w:pPr>
                    <w:adjustRightInd w:val="0"/>
                    <w:snapToGrid w:val="0"/>
                    <w:jc w:val="center"/>
                    <w:rPr>
                      <w:rFonts w:hint="default" w:eastAsia="宋体"/>
                      <w:b/>
                      <w:bCs/>
                      <w:color w:val="auto"/>
                      <w:szCs w:val="21"/>
                      <w:lang w:val="en-US" w:eastAsia="zh-CN"/>
                    </w:rPr>
                  </w:pPr>
                  <w:r>
                    <w:rPr>
                      <w:rFonts w:hint="eastAsia"/>
                      <w:b/>
                      <w:bCs/>
                      <w:color w:val="auto"/>
                      <w:szCs w:val="21"/>
                      <w:lang w:val="en-US" w:eastAsia="zh-CN"/>
                    </w:rPr>
                    <w:t>类比论证内容</w:t>
                  </w:r>
                </w:p>
              </w:tc>
              <w:tc>
                <w:tcPr>
                  <w:tcW w:w="2504" w:type="dxa"/>
                  <w:vAlign w:val="center"/>
                </w:tcPr>
                <w:p w14:paraId="1BB11A78">
                  <w:pPr>
                    <w:adjustRightInd w:val="0"/>
                    <w:snapToGrid w:val="0"/>
                    <w:jc w:val="center"/>
                    <w:rPr>
                      <w:rFonts w:hint="eastAsia" w:eastAsia="宋体"/>
                      <w:b/>
                      <w:bCs/>
                      <w:color w:val="auto"/>
                      <w:szCs w:val="21"/>
                      <w:lang w:val="en-US" w:eastAsia="zh-CN"/>
                    </w:rPr>
                  </w:pPr>
                  <w:r>
                    <w:rPr>
                      <w:rFonts w:hint="eastAsia"/>
                      <w:b/>
                      <w:bCs/>
                      <w:color w:val="auto"/>
                      <w:szCs w:val="21"/>
                      <w:lang w:val="en-US" w:eastAsia="zh-CN"/>
                    </w:rPr>
                    <w:t>同类项目</w:t>
                  </w:r>
                </w:p>
              </w:tc>
              <w:tc>
                <w:tcPr>
                  <w:tcW w:w="2667" w:type="dxa"/>
                  <w:vAlign w:val="center"/>
                </w:tcPr>
                <w:p w14:paraId="6837477D">
                  <w:pPr>
                    <w:adjustRightInd w:val="0"/>
                    <w:snapToGrid w:val="0"/>
                    <w:jc w:val="center"/>
                    <w:rPr>
                      <w:rFonts w:hint="eastAsia" w:eastAsia="宋体"/>
                      <w:b/>
                      <w:bCs/>
                      <w:color w:val="auto"/>
                      <w:szCs w:val="21"/>
                      <w:lang w:val="en-US" w:eastAsia="zh-CN"/>
                    </w:rPr>
                  </w:pPr>
                  <w:r>
                    <w:rPr>
                      <w:rFonts w:hint="eastAsia"/>
                      <w:b/>
                      <w:bCs/>
                      <w:color w:val="auto"/>
                      <w:szCs w:val="21"/>
                      <w:lang w:val="en-US" w:eastAsia="zh-CN"/>
                    </w:rPr>
                    <w:t>本项目</w:t>
                  </w:r>
                </w:p>
              </w:tc>
              <w:tc>
                <w:tcPr>
                  <w:tcW w:w="1415" w:type="dxa"/>
                  <w:vAlign w:val="center"/>
                </w:tcPr>
                <w:p w14:paraId="67782AB3">
                  <w:pPr>
                    <w:adjustRightInd w:val="0"/>
                    <w:snapToGrid w:val="0"/>
                    <w:jc w:val="center"/>
                    <w:rPr>
                      <w:rFonts w:hint="default" w:eastAsia="宋体"/>
                      <w:b/>
                      <w:bCs/>
                      <w:color w:val="auto"/>
                      <w:szCs w:val="21"/>
                      <w:lang w:val="en-US" w:eastAsia="zh-CN"/>
                    </w:rPr>
                  </w:pPr>
                  <w:r>
                    <w:rPr>
                      <w:rFonts w:hint="eastAsia"/>
                      <w:b/>
                      <w:bCs/>
                      <w:color w:val="auto"/>
                      <w:szCs w:val="21"/>
                      <w:lang w:val="en-US" w:eastAsia="zh-CN"/>
                    </w:rPr>
                    <w:t>类比分析</w:t>
                  </w:r>
                </w:p>
              </w:tc>
            </w:tr>
            <w:tr w14:paraId="4397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7" w:type="dxa"/>
                  <w:vAlign w:val="center"/>
                </w:tcPr>
                <w:p w14:paraId="0F2B4106">
                  <w:pPr>
                    <w:adjustRightInd w:val="0"/>
                    <w:snapToGrid w:val="0"/>
                    <w:jc w:val="center"/>
                    <w:rPr>
                      <w:rFonts w:hint="eastAsia" w:eastAsia="宋体"/>
                      <w:color w:val="auto"/>
                      <w:szCs w:val="21"/>
                      <w:lang w:val="en-US" w:eastAsia="zh-CN"/>
                    </w:rPr>
                  </w:pPr>
                  <w:r>
                    <w:rPr>
                      <w:rFonts w:hint="eastAsia"/>
                      <w:color w:val="auto"/>
                      <w:szCs w:val="21"/>
                      <w:lang w:val="en-US" w:eastAsia="zh-CN"/>
                    </w:rPr>
                    <w:t>1</w:t>
                  </w:r>
                </w:p>
              </w:tc>
              <w:tc>
                <w:tcPr>
                  <w:tcW w:w="1493" w:type="dxa"/>
                  <w:vAlign w:val="center"/>
                </w:tcPr>
                <w:p w14:paraId="7BAECC68">
                  <w:pPr>
                    <w:widowControl/>
                    <w:jc w:val="center"/>
                    <w:rPr>
                      <w:rFonts w:hint="default"/>
                      <w:color w:val="auto"/>
                      <w:szCs w:val="21"/>
                      <w:lang w:val="en-US" w:eastAsia="zh-CN"/>
                    </w:rPr>
                  </w:pPr>
                  <w:r>
                    <w:rPr>
                      <w:rFonts w:hint="default" w:ascii="Times New Roman" w:hAnsi="Times New Roman" w:eastAsia="宋体" w:cs="Times New Roman"/>
                      <w:color w:val="auto"/>
                      <w:szCs w:val="21"/>
                      <w:lang w:val="en-US" w:eastAsia="zh-CN"/>
                    </w:rPr>
                    <w:t>生产</w:t>
                  </w:r>
                  <w:r>
                    <w:rPr>
                      <w:rFonts w:hint="eastAsia" w:ascii="Times New Roman" w:hAnsi="Times New Roman" w:eastAsia="宋体" w:cs="Times New Roman"/>
                      <w:color w:val="auto"/>
                      <w:szCs w:val="21"/>
                      <w:lang w:val="en-US" w:eastAsia="zh-CN"/>
                    </w:rPr>
                    <w:t>产品</w:t>
                  </w:r>
                  <w:r>
                    <w:rPr>
                      <w:rFonts w:hint="default" w:ascii="Times New Roman" w:hAnsi="Times New Roman" w:eastAsia="宋体" w:cs="Times New Roman"/>
                      <w:color w:val="auto"/>
                      <w:szCs w:val="21"/>
                      <w:lang w:val="en-US" w:eastAsia="zh-CN"/>
                    </w:rPr>
                    <w:t>品种</w:t>
                  </w:r>
                </w:p>
              </w:tc>
              <w:tc>
                <w:tcPr>
                  <w:tcW w:w="2504" w:type="dxa"/>
                  <w:vAlign w:val="center"/>
                </w:tcPr>
                <w:p w14:paraId="10606122">
                  <w:pPr>
                    <w:widowControl/>
                    <w:jc w:val="center"/>
                    <w:textAlignment w:val="center"/>
                    <w:rPr>
                      <w:rFonts w:hint="default"/>
                      <w:color w:val="auto"/>
                      <w:szCs w:val="21"/>
                      <w:lang w:val="en-US" w:eastAsia="zh-CN"/>
                    </w:rPr>
                  </w:pPr>
                  <w:r>
                    <w:rPr>
                      <w:rFonts w:hint="eastAsia"/>
                      <w:color w:val="auto"/>
                      <w:szCs w:val="21"/>
                      <w:lang w:val="en-US" w:eastAsia="zh-CN"/>
                    </w:rPr>
                    <w:t>蚊香液、灭蚊片</w:t>
                  </w:r>
                </w:p>
              </w:tc>
              <w:tc>
                <w:tcPr>
                  <w:tcW w:w="2667" w:type="dxa"/>
                  <w:vAlign w:val="center"/>
                </w:tcPr>
                <w:p w14:paraId="4BC04E8E">
                  <w:pPr>
                    <w:widowControl/>
                    <w:jc w:val="center"/>
                    <w:textAlignment w:val="center"/>
                    <w:rPr>
                      <w:rFonts w:hint="default" w:eastAsia="宋体"/>
                      <w:color w:val="auto"/>
                      <w:szCs w:val="21"/>
                      <w:lang w:val="en-US" w:eastAsia="zh-CN"/>
                    </w:rPr>
                  </w:pPr>
                  <w:r>
                    <w:rPr>
                      <w:rFonts w:hint="eastAsia"/>
                      <w:color w:val="auto"/>
                      <w:szCs w:val="21"/>
                      <w:lang w:val="en-US" w:eastAsia="zh-CN"/>
                    </w:rPr>
                    <w:t>电热蚊香液、盘式蚊香</w:t>
                  </w:r>
                </w:p>
              </w:tc>
              <w:tc>
                <w:tcPr>
                  <w:tcW w:w="1415" w:type="dxa"/>
                  <w:vAlign w:val="center"/>
                </w:tcPr>
                <w:p w14:paraId="3220708C">
                  <w:pPr>
                    <w:widowControl/>
                    <w:jc w:val="center"/>
                    <w:textAlignment w:val="center"/>
                    <w:rPr>
                      <w:rFonts w:hint="default" w:eastAsia="宋体"/>
                      <w:color w:val="auto"/>
                      <w:szCs w:val="21"/>
                      <w:lang w:val="en-US" w:eastAsia="zh-CN"/>
                    </w:rPr>
                  </w:pPr>
                  <w:r>
                    <w:rPr>
                      <w:rFonts w:hint="eastAsia" w:eastAsia="宋体"/>
                      <w:color w:val="auto"/>
                      <w:szCs w:val="21"/>
                      <w:lang w:val="en-US" w:eastAsia="zh-CN"/>
                    </w:rPr>
                    <w:t>产品基本相同</w:t>
                  </w:r>
                </w:p>
              </w:tc>
            </w:tr>
            <w:tr w14:paraId="4896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7" w:type="dxa"/>
                  <w:vAlign w:val="center"/>
                </w:tcPr>
                <w:p w14:paraId="75B7FA1D">
                  <w:pPr>
                    <w:adjustRightInd w:val="0"/>
                    <w:snapToGrid w:val="0"/>
                    <w:jc w:val="center"/>
                    <w:rPr>
                      <w:rFonts w:hint="eastAsia" w:eastAsia="宋体"/>
                      <w:color w:val="auto"/>
                      <w:szCs w:val="21"/>
                      <w:lang w:val="en-US" w:eastAsia="zh-CN"/>
                    </w:rPr>
                  </w:pPr>
                  <w:r>
                    <w:rPr>
                      <w:rFonts w:hint="eastAsia"/>
                      <w:color w:val="auto"/>
                      <w:szCs w:val="21"/>
                      <w:lang w:val="en-US" w:eastAsia="zh-CN"/>
                    </w:rPr>
                    <w:t>2</w:t>
                  </w:r>
                </w:p>
              </w:tc>
              <w:tc>
                <w:tcPr>
                  <w:tcW w:w="1493" w:type="dxa"/>
                  <w:vAlign w:val="center"/>
                </w:tcPr>
                <w:p w14:paraId="53AAE9D4">
                  <w:pPr>
                    <w:widowControl/>
                    <w:jc w:val="center"/>
                    <w:rPr>
                      <w:rFonts w:hint="default"/>
                      <w:color w:val="auto"/>
                      <w:szCs w:val="21"/>
                      <w:lang w:val="en-US" w:eastAsia="zh-CN"/>
                    </w:rPr>
                  </w:pPr>
                  <w:r>
                    <w:rPr>
                      <w:rFonts w:hint="eastAsia"/>
                      <w:color w:val="auto"/>
                      <w:szCs w:val="21"/>
                      <w:lang w:val="en-US" w:eastAsia="zh-CN"/>
                    </w:rPr>
                    <w:t>生产工艺</w:t>
                  </w:r>
                </w:p>
              </w:tc>
              <w:tc>
                <w:tcPr>
                  <w:tcW w:w="2504" w:type="dxa"/>
                  <w:vAlign w:val="center"/>
                </w:tcPr>
                <w:p w14:paraId="40E0DFE7">
                  <w:pPr>
                    <w:widowControl/>
                    <w:jc w:val="center"/>
                    <w:textAlignment w:val="center"/>
                    <w:rPr>
                      <w:rFonts w:hint="eastAsia"/>
                      <w:color w:val="auto"/>
                      <w:szCs w:val="21"/>
                      <w:lang w:val="en-US" w:eastAsia="zh-CN"/>
                    </w:rPr>
                  </w:pPr>
                  <w:r>
                    <w:rPr>
                      <w:rFonts w:hint="eastAsia"/>
                      <w:color w:val="auto"/>
                      <w:szCs w:val="21"/>
                      <w:lang w:val="en-US" w:eastAsia="zh-CN"/>
                    </w:rPr>
                    <w:t>蚊香液：原药混合搅拌-自动灌装-旋盖-包装入库</w:t>
                  </w:r>
                </w:p>
                <w:p w14:paraId="7263AC5B">
                  <w:pPr>
                    <w:widowControl/>
                    <w:jc w:val="center"/>
                    <w:textAlignment w:val="center"/>
                    <w:rPr>
                      <w:rFonts w:hint="default"/>
                      <w:color w:val="auto"/>
                      <w:szCs w:val="21"/>
                      <w:lang w:val="en-US" w:eastAsia="zh-CN"/>
                    </w:rPr>
                  </w:pPr>
                  <w:r>
                    <w:rPr>
                      <w:rFonts w:hint="eastAsia"/>
                      <w:color w:val="auto"/>
                      <w:szCs w:val="21"/>
                      <w:lang w:val="en-US" w:eastAsia="zh-CN"/>
                    </w:rPr>
                    <w:t>灭蚊片：原药混合搅拌-自动发片-自动滴药-自动包装生产线包装生产</w:t>
                  </w:r>
                </w:p>
              </w:tc>
              <w:tc>
                <w:tcPr>
                  <w:tcW w:w="2667" w:type="dxa"/>
                  <w:vAlign w:val="center"/>
                </w:tcPr>
                <w:p w14:paraId="7276C55E">
                  <w:pPr>
                    <w:widowControl/>
                    <w:jc w:val="center"/>
                    <w:textAlignment w:val="center"/>
                    <w:rPr>
                      <w:rFonts w:hint="eastAsia"/>
                      <w:color w:val="auto"/>
                      <w:szCs w:val="21"/>
                      <w:lang w:val="en-US" w:eastAsia="zh-CN"/>
                    </w:rPr>
                  </w:pPr>
                  <w:r>
                    <w:rPr>
                      <w:rFonts w:hint="eastAsia"/>
                      <w:color w:val="auto"/>
                      <w:szCs w:val="21"/>
                      <w:lang w:val="en-US" w:eastAsia="zh-CN"/>
                    </w:rPr>
                    <w:t>电热蚊香液：原药混合搅拌-自动灌装-装芯棒-旋盖-包装入库</w:t>
                  </w:r>
                </w:p>
                <w:p w14:paraId="5A14C0AC">
                  <w:pPr>
                    <w:widowControl/>
                    <w:jc w:val="center"/>
                    <w:textAlignment w:val="center"/>
                    <w:rPr>
                      <w:rFonts w:hint="default"/>
                      <w:color w:val="auto"/>
                      <w:szCs w:val="21"/>
                      <w:lang w:val="en-US"/>
                    </w:rPr>
                  </w:pPr>
                  <w:r>
                    <w:rPr>
                      <w:rFonts w:hint="eastAsia"/>
                      <w:color w:val="auto"/>
                      <w:szCs w:val="21"/>
                      <w:lang w:val="en-US" w:eastAsia="zh-CN"/>
                    </w:rPr>
                    <w:t>灭蚊片：原药混合搅拌-自动上片-自动喷药-自动包装生产线数片、理片、包装</w:t>
                  </w:r>
                </w:p>
              </w:tc>
              <w:tc>
                <w:tcPr>
                  <w:tcW w:w="1415" w:type="dxa"/>
                  <w:vAlign w:val="center"/>
                </w:tcPr>
                <w:p w14:paraId="21511E5C">
                  <w:pPr>
                    <w:widowControl/>
                    <w:jc w:val="center"/>
                    <w:textAlignment w:val="center"/>
                    <w:rPr>
                      <w:rFonts w:hint="default" w:eastAsia="宋体"/>
                      <w:color w:val="auto"/>
                      <w:szCs w:val="21"/>
                      <w:lang w:val="en-US" w:eastAsia="zh-CN"/>
                    </w:rPr>
                  </w:pPr>
                  <w:r>
                    <w:rPr>
                      <w:rFonts w:hint="eastAsia" w:eastAsia="宋体"/>
                      <w:color w:val="auto"/>
                      <w:szCs w:val="21"/>
                      <w:lang w:val="en-US" w:eastAsia="zh-CN"/>
                    </w:rPr>
                    <w:t>生产工艺基本相同</w:t>
                  </w:r>
                </w:p>
              </w:tc>
            </w:tr>
            <w:tr w14:paraId="4202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7" w:type="dxa"/>
                  <w:vAlign w:val="center"/>
                </w:tcPr>
                <w:p w14:paraId="3789C202">
                  <w:pPr>
                    <w:adjustRightInd w:val="0"/>
                    <w:snapToGrid w:val="0"/>
                    <w:jc w:val="center"/>
                    <w:rPr>
                      <w:rFonts w:hint="eastAsia" w:eastAsia="宋体"/>
                      <w:color w:val="auto"/>
                      <w:szCs w:val="21"/>
                      <w:lang w:val="en-US" w:eastAsia="zh-CN"/>
                    </w:rPr>
                  </w:pPr>
                  <w:r>
                    <w:rPr>
                      <w:rFonts w:hint="eastAsia"/>
                      <w:color w:val="auto"/>
                      <w:szCs w:val="21"/>
                      <w:lang w:val="en-US" w:eastAsia="zh-CN"/>
                    </w:rPr>
                    <w:t>3</w:t>
                  </w:r>
                </w:p>
              </w:tc>
              <w:tc>
                <w:tcPr>
                  <w:tcW w:w="1493" w:type="dxa"/>
                  <w:shd w:val="clear" w:color="auto" w:fill="auto"/>
                  <w:vAlign w:val="center"/>
                </w:tcPr>
                <w:p w14:paraId="61FF9E6D">
                  <w:pPr>
                    <w:widowControl/>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主要原辅料</w:t>
                  </w:r>
                </w:p>
              </w:tc>
              <w:tc>
                <w:tcPr>
                  <w:tcW w:w="2504" w:type="dxa"/>
                  <w:shd w:val="clear" w:color="auto" w:fill="auto"/>
                  <w:vAlign w:val="center"/>
                </w:tcPr>
                <w:p w14:paraId="47AD68E3">
                  <w:pPr>
                    <w:widowControl/>
                    <w:jc w:val="center"/>
                    <w:textAlignment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氯氟醚菊酯、</w:t>
                  </w:r>
                  <w:r>
                    <w:rPr>
                      <w:rFonts w:hint="default" w:ascii="Times New Roman" w:hAnsi="Times New Roman" w:eastAsia="宋体" w:cs="Times New Roman"/>
                      <w:color w:val="auto"/>
                      <w:szCs w:val="21"/>
                      <w:lang w:val="en-US" w:eastAsia="zh-CN"/>
                    </w:rPr>
                    <w:t>AEO-3</w:t>
                  </w:r>
                  <w:r>
                    <w:rPr>
                      <w:rFonts w:hint="eastAsia" w:ascii="Times New Roman" w:hAnsi="Times New Roman" w:eastAsia="宋体" w:cs="Times New Roman"/>
                      <w:color w:val="auto"/>
                      <w:szCs w:val="21"/>
                      <w:lang w:val="en-US" w:eastAsia="zh-CN"/>
                    </w:rPr>
                    <w:t xml:space="preserve">（脂 </w:t>
                  </w:r>
                </w:p>
                <w:p w14:paraId="492079BB">
                  <w:pPr>
                    <w:widowControl/>
                    <w:jc w:val="center"/>
                    <w:textAlignment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肪醇聚氧乙烯醚）、富右旋反式烯丙菊酯、食用白矿油</w:t>
                  </w:r>
                </w:p>
              </w:tc>
              <w:tc>
                <w:tcPr>
                  <w:tcW w:w="2667" w:type="dxa"/>
                  <w:shd w:val="clear" w:color="auto" w:fill="auto"/>
                  <w:vAlign w:val="center"/>
                </w:tcPr>
                <w:p w14:paraId="20C12D75">
                  <w:pPr>
                    <w:widowControl/>
                    <w:jc w:val="center"/>
                    <w:textAlignment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氯氟醚菊酯、煤油（轻质白油）、香坯</w:t>
                  </w:r>
                </w:p>
              </w:tc>
              <w:tc>
                <w:tcPr>
                  <w:tcW w:w="1415" w:type="dxa"/>
                  <w:vMerge w:val="restart"/>
                  <w:vAlign w:val="center"/>
                </w:tcPr>
                <w:p w14:paraId="4AF68DF0">
                  <w:pPr>
                    <w:widowControl/>
                    <w:jc w:val="center"/>
                    <w:textAlignment w:val="center"/>
                    <w:rPr>
                      <w:rFonts w:hint="default" w:eastAsia="宋体"/>
                      <w:color w:val="auto"/>
                      <w:szCs w:val="21"/>
                      <w:lang w:val="en-US" w:eastAsia="zh-CN"/>
                    </w:rPr>
                  </w:pPr>
                  <w:r>
                    <w:rPr>
                      <w:rFonts w:hint="eastAsia" w:ascii="Times New Roman" w:hAnsi="Times New Roman" w:eastAsia="宋体" w:cs="Times New Roman"/>
                      <w:color w:val="auto"/>
                      <w:szCs w:val="21"/>
                      <w:lang w:val="en-US" w:eastAsia="zh-CN"/>
                    </w:rPr>
                    <w:t>原辅料</w:t>
                  </w:r>
                  <w:r>
                    <w:rPr>
                      <w:rFonts w:hint="default" w:ascii="Times New Roman" w:hAnsi="Times New Roman" w:eastAsia="宋体" w:cs="Times New Roman"/>
                      <w:color w:val="auto"/>
                      <w:szCs w:val="21"/>
                      <w:lang w:val="en-US" w:eastAsia="zh-CN"/>
                    </w:rPr>
                    <w:t>类别相似</w:t>
                  </w:r>
                  <w:r>
                    <w:rPr>
                      <w:rFonts w:hint="eastAsia" w:ascii="Times New Roman" w:hAnsi="Times New Roman" w:eastAsia="宋体" w:cs="Times New Roman"/>
                      <w:color w:val="auto"/>
                      <w:szCs w:val="21"/>
                      <w:lang w:val="en-US" w:eastAsia="zh-CN"/>
                    </w:rPr>
                    <w:t>，且</w:t>
                  </w:r>
                  <w:r>
                    <w:rPr>
                      <w:rFonts w:hint="default" w:ascii="Times New Roman" w:hAnsi="Times New Roman" w:eastAsia="宋体" w:cs="Times New Roman"/>
                      <w:color w:val="auto"/>
                      <w:szCs w:val="21"/>
                      <w:lang w:val="en-US" w:eastAsia="zh-CN"/>
                    </w:rPr>
                    <w:t>与污染物排放相关的</w:t>
                  </w:r>
                  <w:r>
                    <w:rPr>
                      <w:rFonts w:hint="eastAsia" w:ascii="Times New Roman" w:hAnsi="Times New Roman" w:eastAsia="宋体" w:cs="Times New Roman"/>
                      <w:color w:val="auto"/>
                      <w:szCs w:val="21"/>
                      <w:lang w:val="en-US" w:eastAsia="zh-CN"/>
                    </w:rPr>
                    <w:t>挥发性物料</w:t>
                  </w:r>
                  <w:r>
                    <w:rPr>
                      <w:rFonts w:hint="default" w:ascii="Times New Roman" w:hAnsi="Times New Roman" w:eastAsia="宋体" w:cs="Times New Roman"/>
                      <w:color w:val="auto"/>
                      <w:szCs w:val="21"/>
                      <w:lang w:val="en-US" w:eastAsia="zh-CN"/>
                    </w:rPr>
                    <w:t>成分相似</w:t>
                  </w:r>
                  <w:r>
                    <w:rPr>
                      <w:rFonts w:hint="eastAsia" w:ascii="Times New Roman" w:hAnsi="Times New Roman" w:eastAsia="宋体" w:cs="Times New Roman"/>
                      <w:color w:val="auto"/>
                      <w:szCs w:val="21"/>
                      <w:lang w:val="en-US" w:eastAsia="zh-CN"/>
                    </w:rPr>
                    <w:t>，污染物产生环节相似</w:t>
                  </w:r>
                </w:p>
              </w:tc>
            </w:tr>
            <w:tr w14:paraId="7820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7" w:type="dxa"/>
                  <w:vAlign w:val="center"/>
                </w:tcPr>
                <w:p w14:paraId="576114DC">
                  <w:pPr>
                    <w:adjustRightInd w:val="0"/>
                    <w:snapToGrid w:val="0"/>
                    <w:jc w:val="center"/>
                    <w:rPr>
                      <w:rFonts w:hint="eastAsia" w:eastAsia="宋体"/>
                      <w:color w:val="auto"/>
                      <w:szCs w:val="21"/>
                      <w:lang w:val="en-US" w:eastAsia="zh-CN"/>
                    </w:rPr>
                  </w:pPr>
                  <w:r>
                    <w:rPr>
                      <w:rFonts w:hint="eastAsia"/>
                      <w:color w:val="auto"/>
                      <w:szCs w:val="21"/>
                      <w:lang w:val="en-US" w:eastAsia="zh-CN"/>
                    </w:rPr>
                    <w:t>4</w:t>
                  </w:r>
                </w:p>
              </w:tc>
              <w:tc>
                <w:tcPr>
                  <w:tcW w:w="1493" w:type="dxa"/>
                  <w:shd w:val="clear" w:color="auto" w:fill="auto"/>
                  <w:vAlign w:val="center"/>
                </w:tcPr>
                <w:p w14:paraId="382B43FA">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废气产生环节</w:t>
                  </w:r>
                </w:p>
              </w:tc>
              <w:tc>
                <w:tcPr>
                  <w:tcW w:w="2504" w:type="dxa"/>
                  <w:shd w:val="clear" w:color="auto" w:fill="auto"/>
                  <w:vAlign w:val="center"/>
                </w:tcPr>
                <w:p w14:paraId="76DD0059">
                  <w:pPr>
                    <w:widowControl/>
                    <w:jc w:val="center"/>
                    <w:textAlignment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 xml:space="preserve">蚊香液生产线自动灌装过程、灭蚊片生产线自动滴药输送过程产生的 </w:t>
                  </w:r>
                </w:p>
                <w:p w14:paraId="62F70231">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有机废气，生产异味</w:t>
                  </w:r>
                </w:p>
              </w:tc>
              <w:tc>
                <w:tcPr>
                  <w:tcW w:w="2667" w:type="dxa"/>
                  <w:shd w:val="clear" w:color="auto" w:fill="auto"/>
                  <w:vAlign w:val="center"/>
                </w:tcPr>
                <w:p w14:paraId="6073710D">
                  <w:pPr>
                    <w:widowControl/>
                    <w:jc w:val="center"/>
                    <w:textAlignment w:val="center"/>
                    <w:rPr>
                      <w:rFonts w:hint="default" w:ascii="Times New Roman" w:hAnsi="Times New Roman" w:eastAsia="宋体" w:cs="Times New Roman"/>
                      <w:color w:val="auto"/>
                      <w:kern w:val="2"/>
                      <w:sz w:val="21"/>
                      <w:szCs w:val="21"/>
                      <w:lang w:val="en-US" w:eastAsia="zh-CN" w:bidi="ar-SA"/>
                    </w:rPr>
                  </w:pPr>
                  <w:r>
                    <w:rPr>
                      <w:color w:val="auto"/>
                      <w:szCs w:val="21"/>
                    </w:rPr>
                    <w:t>投料、蚊香香坯喷药、电蚊液装罐过程中挥发产生的有机废气</w:t>
                  </w:r>
                  <w:r>
                    <w:rPr>
                      <w:rFonts w:ascii="Times New Roman" w:hAnsi="Times New Roman" w:eastAsia="宋体" w:cs="Times New Roman"/>
                      <w:color w:val="auto"/>
                      <w:szCs w:val="21"/>
                    </w:rPr>
                    <w:t>（以非甲烷总烃表征）</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lang w:val="en-US" w:eastAsia="zh-CN"/>
                    </w:rPr>
                    <w:t>生产异味</w:t>
                  </w:r>
                </w:p>
              </w:tc>
              <w:tc>
                <w:tcPr>
                  <w:tcW w:w="1415" w:type="dxa"/>
                  <w:vMerge w:val="continue"/>
                  <w:vAlign w:val="center"/>
                </w:tcPr>
                <w:p w14:paraId="5CCF59D8">
                  <w:pPr>
                    <w:widowControl/>
                    <w:jc w:val="center"/>
                    <w:textAlignment w:val="center"/>
                    <w:rPr>
                      <w:rFonts w:hint="default"/>
                      <w:color w:val="auto"/>
                      <w:szCs w:val="21"/>
                      <w:lang w:val="en-US"/>
                    </w:rPr>
                  </w:pPr>
                </w:p>
              </w:tc>
            </w:tr>
            <w:tr w14:paraId="4D02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7" w:type="dxa"/>
                  <w:vAlign w:val="center"/>
                </w:tcPr>
                <w:p w14:paraId="089C3B72">
                  <w:pPr>
                    <w:adjustRightInd w:val="0"/>
                    <w:snapToGrid w:val="0"/>
                    <w:jc w:val="center"/>
                    <w:rPr>
                      <w:rFonts w:hint="default"/>
                      <w:color w:val="auto"/>
                      <w:szCs w:val="21"/>
                      <w:lang w:val="en-US" w:eastAsia="zh-CN"/>
                    </w:rPr>
                  </w:pPr>
                  <w:r>
                    <w:rPr>
                      <w:rFonts w:hint="eastAsia"/>
                      <w:color w:val="auto"/>
                      <w:szCs w:val="21"/>
                      <w:lang w:val="en-US" w:eastAsia="zh-CN"/>
                    </w:rPr>
                    <w:t>5</w:t>
                  </w:r>
                </w:p>
              </w:tc>
              <w:tc>
                <w:tcPr>
                  <w:tcW w:w="1493" w:type="dxa"/>
                  <w:shd w:val="clear" w:color="auto" w:fill="auto"/>
                  <w:vAlign w:val="center"/>
                </w:tcPr>
                <w:p w14:paraId="0C257040">
                  <w:pPr>
                    <w:widowControl/>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生产规模</w:t>
                  </w:r>
                </w:p>
              </w:tc>
              <w:tc>
                <w:tcPr>
                  <w:tcW w:w="2504" w:type="dxa"/>
                  <w:shd w:val="clear" w:color="auto" w:fill="auto"/>
                  <w:vAlign w:val="center"/>
                </w:tcPr>
                <w:p w14:paraId="28E06E28">
                  <w:pPr>
                    <w:widowControl/>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验收时产品产量：</w:t>
                  </w:r>
                  <w:r>
                    <w:rPr>
                      <w:rFonts w:hint="eastAsia"/>
                      <w:color w:val="auto"/>
                      <w:szCs w:val="21"/>
                      <w:lang w:val="en-US" w:eastAsia="zh-CN"/>
                    </w:rPr>
                    <w:t>蚊香液1.83t/d、灭蚊片0.63t/d（平均值）</w:t>
                  </w:r>
                </w:p>
              </w:tc>
              <w:tc>
                <w:tcPr>
                  <w:tcW w:w="2667" w:type="dxa"/>
                  <w:shd w:val="clear" w:color="auto" w:fill="auto"/>
                  <w:vAlign w:val="center"/>
                </w:tcPr>
                <w:p w14:paraId="1E94364A">
                  <w:pPr>
                    <w:widowControl/>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设计产能：</w:t>
                  </w:r>
                  <w:r>
                    <w:rPr>
                      <w:rFonts w:hint="eastAsia"/>
                      <w:color w:val="auto"/>
                      <w:szCs w:val="21"/>
                      <w:lang w:val="en-US" w:eastAsia="zh-CN"/>
                    </w:rPr>
                    <w:t>电热蚊香液0.015t/d、盘式蚊香7.7t/d</w:t>
                  </w:r>
                </w:p>
              </w:tc>
              <w:tc>
                <w:tcPr>
                  <w:tcW w:w="1415" w:type="dxa"/>
                  <w:vAlign w:val="center"/>
                </w:tcPr>
                <w:p w14:paraId="19EA2877">
                  <w:pPr>
                    <w:widowControl/>
                    <w:jc w:val="center"/>
                    <w:textAlignment w:val="center"/>
                    <w:rPr>
                      <w:rFonts w:hint="default" w:eastAsia="宋体"/>
                      <w:color w:val="auto"/>
                      <w:szCs w:val="21"/>
                      <w:lang w:val="en-US" w:eastAsia="zh-CN"/>
                    </w:rPr>
                  </w:pPr>
                  <w:r>
                    <w:rPr>
                      <w:rFonts w:hint="default" w:ascii="Times New Roman" w:hAnsi="Times New Roman" w:eastAsia="宋体" w:cs="Times New Roman"/>
                      <w:color w:val="auto"/>
                      <w:szCs w:val="21"/>
                      <w:lang w:val="en-US" w:eastAsia="zh-CN"/>
                    </w:rPr>
                    <w:t>生产规模差异超过30%，但为同一生产及管理模式</w:t>
                  </w:r>
                </w:p>
              </w:tc>
            </w:tr>
          </w:tbl>
          <w:p w14:paraId="163B2C26">
            <w:pPr>
              <w:widowControl/>
              <w:spacing w:line="360" w:lineRule="auto"/>
              <w:ind w:firstLine="480" w:firstLineChars="200"/>
              <w:jc w:val="left"/>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w:t>
            </w:r>
            <w:r>
              <w:rPr>
                <w:rFonts w:hint="eastAsia" w:cs="Times New Roman"/>
                <w:color w:val="auto"/>
                <w:sz w:val="24"/>
                <w:szCs w:val="24"/>
                <w:lang w:val="en-US" w:eastAsia="zh-CN"/>
              </w:rPr>
              <w:t>有机废气产污系数</w:t>
            </w:r>
            <w:r>
              <w:rPr>
                <w:rFonts w:hint="default" w:ascii="Times New Roman" w:hAnsi="Times New Roman" w:eastAsia="宋体" w:cs="Times New Roman"/>
                <w:color w:val="auto"/>
                <w:sz w:val="24"/>
                <w:szCs w:val="24"/>
                <w:lang w:val="en-US" w:eastAsia="zh-CN"/>
              </w:rPr>
              <w:t>类比同类企业《湖南绿怡然生物科技有限公司年生产1000吨蚊香液、600吨灭蚊片建设项目</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阶段性</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竣工环境保护验收监测报告》（</w:t>
            </w:r>
            <w:r>
              <w:rPr>
                <w:rFonts w:hint="eastAsia" w:cs="Times New Roman"/>
                <w:color w:val="auto"/>
                <w:sz w:val="24"/>
                <w:szCs w:val="24"/>
                <w:lang w:val="en-US" w:eastAsia="zh-CN"/>
              </w:rPr>
              <w:t>2023年9月</w:t>
            </w:r>
            <w:r>
              <w:rPr>
                <w:rFonts w:hint="default" w:ascii="Times New Roman" w:hAnsi="Times New Roman" w:eastAsia="宋体" w:cs="Times New Roman"/>
                <w:color w:val="auto"/>
                <w:sz w:val="24"/>
                <w:szCs w:val="24"/>
                <w:lang w:val="en-US" w:eastAsia="zh-CN"/>
              </w:rPr>
              <w:t>）废气源强产生情况，有机废气</w:t>
            </w:r>
            <w:r>
              <w:rPr>
                <w:rFonts w:hint="eastAsia" w:ascii="Times New Roman" w:hAnsi="Times New Roman" w:eastAsia="宋体" w:cs="Times New Roman"/>
                <w:color w:val="auto"/>
                <w:sz w:val="24"/>
                <w:szCs w:val="24"/>
                <w:lang w:val="en-US" w:eastAsia="zh-CN"/>
              </w:rPr>
              <w:t>（以非甲烷总烃表征）</w:t>
            </w:r>
            <w:r>
              <w:rPr>
                <w:rFonts w:hint="default" w:ascii="Times New Roman" w:hAnsi="Times New Roman" w:eastAsia="宋体" w:cs="Times New Roman"/>
                <w:color w:val="auto"/>
                <w:sz w:val="24"/>
                <w:szCs w:val="24"/>
                <w:lang w:val="en-US" w:eastAsia="zh-CN"/>
              </w:rPr>
              <w:t>产污系数</w:t>
            </w:r>
            <w:r>
              <w:rPr>
                <w:rFonts w:hint="eastAsia" w:ascii="Times New Roman" w:hAnsi="Times New Roman" w:eastAsia="宋体" w:cs="Times New Roman"/>
                <w:color w:val="auto"/>
                <w:sz w:val="24"/>
                <w:szCs w:val="24"/>
                <w:lang w:val="en-US" w:eastAsia="zh-CN"/>
              </w:rPr>
              <w:t>按0.00195kg/kg-挥发性物料计，分析如下表。</w:t>
            </w:r>
          </w:p>
          <w:p w14:paraId="55FC2D4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b/>
                <w:bCs/>
                <w:color w:val="auto"/>
                <w:kern w:val="0"/>
                <w:sz w:val="24"/>
                <w:szCs w:val="24"/>
                <w:lang w:val="en-US" w:eastAsia="zh-CN"/>
              </w:rPr>
            </w:pPr>
            <w:r>
              <w:rPr>
                <w:rFonts w:ascii="Times New Roman" w:hAnsi="Times New Roman" w:eastAsia="宋体"/>
                <w:b/>
                <w:bCs/>
                <w:color w:val="auto"/>
                <w:sz w:val="24"/>
                <w:szCs w:val="24"/>
              </w:rPr>
              <w:t>表</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表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24</w:t>
            </w:r>
            <w:r>
              <w:rPr>
                <w:rFonts w:ascii="Times New Roman" w:hAnsi="Times New Roman" w:eastAsia="宋体"/>
                <w:b/>
                <w:bCs/>
                <w:color w:val="auto"/>
                <w:sz w:val="24"/>
                <w:szCs w:val="24"/>
              </w:rPr>
              <w:fldChar w:fldCharType="end"/>
            </w:r>
            <w:r>
              <w:rPr>
                <w:rFonts w:ascii="Times New Roman" w:hAnsi="Times New Roman" w:eastAsia="宋体"/>
                <w:b/>
                <w:bCs/>
                <w:color w:val="auto"/>
                <w:sz w:val="24"/>
                <w:szCs w:val="24"/>
              </w:rPr>
              <w:t xml:space="preserve">  </w:t>
            </w:r>
            <w:r>
              <w:rPr>
                <w:rFonts w:hint="eastAsia" w:ascii="Times New Roman" w:hAnsi="Times New Roman" w:eastAsia="宋体"/>
                <w:b/>
                <w:bCs/>
                <w:color w:val="auto"/>
                <w:sz w:val="24"/>
                <w:szCs w:val="24"/>
                <w:lang w:val="en-US" w:eastAsia="zh-CN"/>
              </w:rPr>
              <w:t>类比项目验收期间产污分析一览表</w:t>
            </w:r>
          </w:p>
          <w:tbl>
            <w:tblPr>
              <w:tblStyle w:val="3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3"/>
              <w:gridCol w:w="2888"/>
              <w:gridCol w:w="3062"/>
            </w:tblGrid>
            <w:tr w14:paraId="6B67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01" w:type="pct"/>
                  <w:vAlign w:val="center"/>
                </w:tcPr>
                <w:p w14:paraId="5C8C17FE">
                  <w:pPr>
                    <w:adjustRightInd w:val="0"/>
                    <w:snapToGrid w:val="0"/>
                    <w:jc w:val="center"/>
                    <w:rPr>
                      <w:b/>
                      <w:bCs/>
                      <w:color w:val="auto"/>
                      <w:szCs w:val="21"/>
                    </w:rPr>
                  </w:pPr>
                  <w:r>
                    <w:rPr>
                      <w:b/>
                      <w:bCs/>
                      <w:color w:val="auto"/>
                      <w:szCs w:val="21"/>
                    </w:rPr>
                    <w:t>序号</w:t>
                  </w:r>
                </w:p>
              </w:tc>
              <w:tc>
                <w:tcPr>
                  <w:tcW w:w="1698" w:type="pct"/>
                  <w:vAlign w:val="center"/>
                </w:tcPr>
                <w:p w14:paraId="40AD260D">
                  <w:pPr>
                    <w:adjustRightInd w:val="0"/>
                    <w:snapToGrid w:val="0"/>
                    <w:jc w:val="center"/>
                    <w:rPr>
                      <w:rFonts w:hint="default" w:eastAsia="宋体"/>
                      <w:b/>
                      <w:bCs/>
                      <w:color w:val="auto"/>
                      <w:szCs w:val="21"/>
                      <w:lang w:val="en-US" w:eastAsia="zh-CN"/>
                    </w:rPr>
                  </w:pPr>
                  <w:r>
                    <w:rPr>
                      <w:rFonts w:hint="eastAsia" w:eastAsia="宋体"/>
                      <w:b/>
                      <w:bCs/>
                      <w:color w:val="auto"/>
                      <w:szCs w:val="21"/>
                      <w:lang w:val="en-US" w:eastAsia="zh-CN"/>
                    </w:rPr>
                    <w:t>1</w:t>
                  </w:r>
                </w:p>
              </w:tc>
              <w:tc>
                <w:tcPr>
                  <w:tcW w:w="1800" w:type="pct"/>
                  <w:vAlign w:val="center"/>
                </w:tcPr>
                <w:p w14:paraId="69D012F5">
                  <w:pPr>
                    <w:adjustRightInd w:val="0"/>
                    <w:snapToGrid w:val="0"/>
                    <w:jc w:val="center"/>
                    <w:rPr>
                      <w:rFonts w:hint="default" w:eastAsia="宋体"/>
                      <w:b/>
                      <w:bCs/>
                      <w:color w:val="auto"/>
                      <w:szCs w:val="21"/>
                      <w:lang w:val="en-US" w:eastAsia="zh-CN"/>
                    </w:rPr>
                  </w:pPr>
                  <w:r>
                    <w:rPr>
                      <w:rFonts w:hint="eastAsia" w:eastAsia="宋体"/>
                      <w:b/>
                      <w:bCs/>
                      <w:color w:val="auto"/>
                      <w:szCs w:val="21"/>
                      <w:lang w:val="en-US" w:eastAsia="zh-CN"/>
                    </w:rPr>
                    <w:t>2</w:t>
                  </w:r>
                </w:p>
              </w:tc>
            </w:tr>
            <w:tr w14:paraId="0471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01" w:type="pct"/>
                  <w:vAlign w:val="center"/>
                </w:tcPr>
                <w:p w14:paraId="17F7A4BD">
                  <w:pPr>
                    <w:adjustRightInd w:val="0"/>
                    <w:snapToGrid w:val="0"/>
                    <w:jc w:val="center"/>
                    <w:rPr>
                      <w:rFonts w:hint="eastAsia" w:eastAsia="宋体"/>
                      <w:b/>
                      <w:bCs/>
                      <w:color w:val="auto"/>
                      <w:szCs w:val="21"/>
                      <w:lang w:val="en-US" w:eastAsia="zh-CN"/>
                    </w:rPr>
                  </w:pPr>
                  <w:r>
                    <w:rPr>
                      <w:rFonts w:hint="eastAsia" w:ascii="Times New Roman" w:hAnsi="Times New Roman" w:eastAsia="宋体" w:cs="Times New Roman"/>
                      <w:b/>
                      <w:bCs/>
                      <w:color w:val="auto"/>
                      <w:szCs w:val="21"/>
                      <w:lang w:val="en-US" w:eastAsia="zh-CN"/>
                    </w:rPr>
                    <w:t>与</w:t>
                  </w:r>
                  <w:r>
                    <w:rPr>
                      <w:rFonts w:hint="default" w:ascii="Times New Roman" w:hAnsi="Times New Roman" w:eastAsia="宋体" w:cs="Times New Roman"/>
                      <w:b/>
                      <w:bCs/>
                      <w:color w:val="auto"/>
                      <w:szCs w:val="21"/>
                      <w:lang w:val="en-US" w:eastAsia="zh-CN"/>
                    </w:rPr>
                    <w:t>污染物排放相关的</w:t>
                  </w:r>
                  <w:r>
                    <w:rPr>
                      <w:rFonts w:hint="eastAsia" w:ascii="Times New Roman" w:hAnsi="Times New Roman" w:eastAsia="宋体" w:cs="Times New Roman"/>
                      <w:b/>
                      <w:bCs/>
                      <w:color w:val="auto"/>
                      <w:szCs w:val="21"/>
                      <w:lang w:val="en-US" w:eastAsia="zh-CN"/>
                    </w:rPr>
                    <w:t>挥发性物料用量</w:t>
                  </w:r>
                </w:p>
              </w:tc>
              <w:tc>
                <w:tcPr>
                  <w:tcW w:w="1698" w:type="pct"/>
                  <w:vAlign w:val="center"/>
                </w:tcPr>
                <w:p w14:paraId="60539BD6">
                  <w:pPr>
                    <w:widowControl/>
                    <w:jc w:val="center"/>
                    <w:rPr>
                      <w:rFonts w:hint="default"/>
                      <w:color w:val="auto"/>
                      <w:szCs w:val="21"/>
                      <w:lang w:val="en-US" w:eastAsia="zh-CN"/>
                    </w:rPr>
                  </w:pPr>
                  <w:r>
                    <w:rPr>
                      <w:rFonts w:hint="eastAsia"/>
                      <w:color w:val="auto"/>
                      <w:szCs w:val="21"/>
                      <w:lang w:val="en-US" w:eastAsia="zh-CN"/>
                    </w:rPr>
                    <w:t>69.95kg</w:t>
                  </w:r>
                </w:p>
              </w:tc>
              <w:tc>
                <w:tcPr>
                  <w:tcW w:w="1800" w:type="pct"/>
                  <w:vAlign w:val="center"/>
                </w:tcPr>
                <w:p w14:paraId="502D5967">
                  <w:pPr>
                    <w:widowControl/>
                    <w:jc w:val="center"/>
                    <w:textAlignment w:val="center"/>
                    <w:rPr>
                      <w:rFonts w:hint="default"/>
                      <w:color w:val="auto"/>
                      <w:szCs w:val="21"/>
                      <w:lang w:val="en-US" w:eastAsia="zh-CN"/>
                    </w:rPr>
                  </w:pPr>
                  <w:r>
                    <w:rPr>
                      <w:rFonts w:hint="eastAsia"/>
                      <w:color w:val="auto"/>
                      <w:szCs w:val="21"/>
                      <w:lang w:val="en-US" w:eastAsia="zh-CN"/>
                    </w:rPr>
                    <w:t>81.27kg</w:t>
                  </w:r>
                </w:p>
              </w:tc>
            </w:tr>
            <w:tr w14:paraId="29E2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01" w:type="pct"/>
                  <w:vAlign w:val="center"/>
                </w:tcPr>
                <w:p w14:paraId="4C8AB458">
                  <w:pPr>
                    <w:adjustRightInd w:val="0"/>
                    <w:snapToGrid w:val="0"/>
                    <w:jc w:val="center"/>
                    <w:rPr>
                      <w:rFonts w:hint="default"/>
                      <w:b/>
                      <w:bCs/>
                      <w:color w:val="auto"/>
                      <w:szCs w:val="21"/>
                      <w:lang w:val="en-US" w:eastAsia="zh-CN"/>
                    </w:rPr>
                  </w:pPr>
                  <w:r>
                    <w:rPr>
                      <w:rFonts w:hint="eastAsia" w:eastAsia="宋体"/>
                      <w:b/>
                      <w:bCs/>
                      <w:color w:val="auto"/>
                      <w:szCs w:val="21"/>
                      <w:lang w:val="en-US" w:eastAsia="zh-CN"/>
                    </w:rPr>
                    <w:t>VOCs处理前排放速率（平均值）</w:t>
                  </w:r>
                </w:p>
              </w:tc>
              <w:tc>
                <w:tcPr>
                  <w:tcW w:w="1698" w:type="pct"/>
                  <w:vAlign w:val="center"/>
                </w:tcPr>
                <w:p w14:paraId="0F62B93F">
                  <w:pPr>
                    <w:widowControl/>
                    <w:jc w:val="center"/>
                    <w:rPr>
                      <w:rFonts w:hint="default"/>
                      <w:color w:val="auto"/>
                      <w:szCs w:val="21"/>
                      <w:lang w:val="en-US" w:eastAsia="zh-CN"/>
                    </w:rPr>
                  </w:pPr>
                  <w:r>
                    <w:rPr>
                      <w:rFonts w:hint="eastAsia"/>
                      <w:color w:val="auto"/>
                      <w:szCs w:val="21"/>
                      <w:lang w:val="en-US" w:eastAsia="zh-CN"/>
                    </w:rPr>
                    <w:t>0.012kg/h</w:t>
                  </w:r>
                </w:p>
              </w:tc>
              <w:tc>
                <w:tcPr>
                  <w:tcW w:w="1800" w:type="pct"/>
                  <w:vAlign w:val="center"/>
                </w:tcPr>
                <w:p w14:paraId="43693239">
                  <w:pPr>
                    <w:widowControl/>
                    <w:jc w:val="center"/>
                    <w:textAlignment w:val="center"/>
                    <w:rPr>
                      <w:rFonts w:hint="eastAsia"/>
                      <w:color w:val="auto"/>
                      <w:szCs w:val="21"/>
                      <w:lang w:val="en-US" w:eastAsia="zh-CN"/>
                    </w:rPr>
                  </w:pPr>
                  <w:r>
                    <w:rPr>
                      <w:rFonts w:hint="eastAsia"/>
                      <w:color w:val="auto"/>
                      <w:szCs w:val="21"/>
                      <w:lang w:val="en-US" w:eastAsia="zh-CN"/>
                    </w:rPr>
                    <w:t>0.0121kg/h</w:t>
                  </w:r>
                </w:p>
              </w:tc>
            </w:tr>
            <w:tr w14:paraId="6F9B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01" w:type="pct"/>
                  <w:vAlign w:val="center"/>
                </w:tcPr>
                <w:p w14:paraId="051FE785">
                  <w:pPr>
                    <w:adjustRightInd w:val="0"/>
                    <w:snapToGrid w:val="0"/>
                    <w:jc w:val="center"/>
                    <w:rPr>
                      <w:rFonts w:hint="eastAsia"/>
                      <w:b/>
                      <w:bCs/>
                      <w:color w:val="auto"/>
                      <w:szCs w:val="21"/>
                      <w:lang w:val="en-US" w:eastAsia="zh-CN"/>
                    </w:rPr>
                  </w:pPr>
                  <w:r>
                    <w:rPr>
                      <w:rFonts w:hint="eastAsia" w:eastAsia="宋体"/>
                      <w:b/>
                      <w:bCs/>
                      <w:color w:val="auto"/>
                      <w:szCs w:val="21"/>
                      <w:lang w:val="en-US" w:eastAsia="zh-CN"/>
                    </w:rPr>
                    <w:t>收集效率</w:t>
                  </w:r>
                </w:p>
              </w:tc>
              <w:tc>
                <w:tcPr>
                  <w:tcW w:w="3498" w:type="pct"/>
                  <w:gridSpan w:val="2"/>
                  <w:vAlign w:val="center"/>
                </w:tcPr>
                <w:p w14:paraId="2D096474">
                  <w:pPr>
                    <w:widowControl/>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类比项目有机废气采用密闭集气罩进行废气收集，与本项目类似，收集效率取65%</w:t>
                  </w:r>
                </w:p>
              </w:tc>
            </w:tr>
            <w:tr w14:paraId="1297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01" w:type="pct"/>
                  <w:vAlign w:val="center"/>
                </w:tcPr>
                <w:p w14:paraId="4506BBCF">
                  <w:pPr>
                    <w:adjustRightInd w:val="0"/>
                    <w:snapToGrid w:val="0"/>
                    <w:jc w:val="center"/>
                    <w:rPr>
                      <w:rFonts w:hint="default"/>
                      <w:b/>
                      <w:bCs/>
                      <w:color w:val="auto"/>
                      <w:szCs w:val="21"/>
                      <w:lang w:val="en-US" w:eastAsia="zh-CN"/>
                    </w:rPr>
                  </w:pPr>
                  <w:r>
                    <w:rPr>
                      <w:rFonts w:hint="eastAsia" w:eastAsia="宋体"/>
                      <w:b/>
                      <w:bCs/>
                      <w:color w:val="auto"/>
                      <w:szCs w:val="21"/>
                      <w:lang w:val="en-US" w:eastAsia="zh-CN"/>
                    </w:rPr>
                    <w:t>VOCs产生速率</w:t>
                  </w:r>
                </w:p>
              </w:tc>
              <w:tc>
                <w:tcPr>
                  <w:tcW w:w="1698" w:type="pct"/>
                  <w:vAlign w:val="center"/>
                </w:tcPr>
                <w:p w14:paraId="6A980FB3">
                  <w:pPr>
                    <w:widowControl/>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0.0185kg/h</w:t>
                  </w:r>
                </w:p>
              </w:tc>
              <w:tc>
                <w:tcPr>
                  <w:tcW w:w="1800" w:type="pct"/>
                  <w:vAlign w:val="center"/>
                </w:tcPr>
                <w:p w14:paraId="16279F47">
                  <w:pPr>
                    <w:widowControl/>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0.0186kg/h</w:t>
                  </w:r>
                </w:p>
              </w:tc>
            </w:tr>
            <w:tr w14:paraId="353A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501" w:type="pct"/>
                  <w:vMerge w:val="restart"/>
                  <w:vAlign w:val="center"/>
                </w:tcPr>
                <w:p w14:paraId="61CA7EAE">
                  <w:pPr>
                    <w:adjustRightInd w:val="0"/>
                    <w:snapToGrid w:val="0"/>
                    <w:jc w:val="center"/>
                    <w:rPr>
                      <w:rFonts w:hint="default"/>
                      <w:b/>
                      <w:bCs/>
                      <w:color w:val="auto"/>
                      <w:szCs w:val="21"/>
                      <w:lang w:val="en-US" w:eastAsia="zh-CN"/>
                    </w:rPr>
                  </w:pPr>
                  <w:r>
                    <w:rPr>
                      <w:rFonts w:hint="eastAsia"/>
                      <w:b/>
                      <w:bCs/>
                      <w:color w:val="auto"/>
                      <w:szCs w:val="21"/>
                      <w:lang w:val="en-US" w:eastAsia="zh-CN"/>
                    </w:rPr>
                    <w:t>挥发性有机污染物产生系数</w:t>
                  </w:r>
                </w:p>
              </w:tc>
              <w:tc>
                <w:tcPr>
                  <w:tcW w:w="1698" w:type="pct"/>
                  <w:vAlign w:val="center"/>
                </w:tcPr>
                <w:p w14:paraId="4ACF2496">
                  <w:pPr>
                    <w:widowControl/>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0.0021kg/kg-挥发性物料</w:t>
                  </w:r>
                </w:p>
              </w:tc>
              <w:tc>
                <w:tcPr>
                  <w:tcW w:w="1800" w:type="pct"/>
                  <w:vAlign w:val="center"/>
                </w:tcPr>
                <w:p w14:paraId="7A1B8A7E">
                  <w:pPr>
                    <w:widowControl/>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0.0018kg/kg-挥发性物料</w:t>
                  </w:r>
                </w:p>
              </w:tc>
            </w:tr>
            <w:tr w14:paraId="0F36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501" w:type="pct"/>
                  <w:vMerge w:val="continue"/>
                  <w:vAlign w:val="center"/>
                </w:tcPr>
                <w:p w14:paraId="52D16739">
                  <w:pPr>
                    <w:widowControl/>
                    <w:jc w:val="center"/>
                    <w:textAlignment w:val="center"/>
                    <w:rPr>
                      <w:color w:val="auto"/>
                    </w:rPr>
                  </w:pPr>
                </w:p>
              </w:tc>
              <w:tc>
                <w:tcPr>
                  <w:tcW w:w="3498" w:type="pct"/>
                  <w:gridSpan w:val="2"/>
                  <w:vAlign w:val="center"/>
                </w:tcPr>
                <w:p w14:paraId="2EAD8C9D">
                  <w:pPr>
                    <w:widowControl/>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平均取值：0.00195kg/kg-挥发性物料</w:t>
                  </w:r>
                </w:p>
              </w:tc>
            </w:tr>
          </w:tbl>
          <w:p w14:paraId="38A731B7">
            <w:pPr>
              <w:widowControl/>
              <w:spacing w:line="360" w:lineRule="auto"/>
              <w:ind w:firstLine="480" w:firstLineChars="200"/>
              <w:jc w:val="left"/>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本项目挥发性物料总用量为34.985t/a（</w:t>
            </w:r>
            <w:r>
              <w:rPr>
                <w:color w:val="auto"/>
                <w:kern w:val="0"/>
                <w:sz w:val="24"/>
                <w:szCs w:val="24"/>
                <w:lang w:bidi="ar"/>
              </w:rPr>
              <w:t>氯氟醚菊酯</w:t>
            </w:r>
            <w:r>
              <w:rPr>
                <w:rFonts w:hint="eastAsia"/>
                <w:color w:val="auto"/>
                <w:kern w:val="0"/>
                <w:sz w:val="24"/>
                <w:szCs w:val="24"/>
                <w:lang w:val="en-US" w:eastAsia="zh-CN" w:bidi="ar"/>
              </w:rPr>
              <w:t>1.635t/a，煤油33.35t/a</w:t>
            </w:r>
            <w:r>
              <w:rPr>
                <w:rFonts w:hint="eastAsia" w:cs="Times New Roman"/>
                <w:color w:val="auto"/>
                <w:sz w:val="24"/>
                <w:szCs w:val="24"/>
                <w:lang w:val="en-US" w:eastAsia="zh-CN"/>
              </w:rPr>
              <w:t>），根据上文类比有机废气产污系数</w:t>
            </w:r>
            <w:r>
              <w:rPr>
                <w:rFonts w:hint="eastAsia" w:ascii="Times New Roman" w:hAnsi="Times New Roman" w:eastAsia="宋体" w:cs="Times New Roman"/>
                <w:color w:val="auto"/>
                <w:sz w:val="24"/>
                <w:szCs w:val="24"/>
                <w:lang w:val="en-US" w:eastAsia="zh-CN"/>
              </w:rPr>
              <w:t>0.00195kg/kg-挥发性物料计，本项目有机废气（以非甲烷总烃表征）产生量共为0.0682</w:t>
            </w:r>
            <w:r>
              <w:rPr>
                <w:rFonts w:hint="default" w:ascii="Times New Roman" w:hAnsi="Times New Roman" w:eastAsia="宋体" w:cs="Times New Roman"/>
                <w:color w:val="auto"/>
                <w:sz w:val="24"/>
                <w:szCs w:val="24"/>
                <w:lang w:val="en-US" w:eastAsia="zh-CN"/>
              </w:rPr>
              <w:t>t/a</w:t>
            </w:r>
            <w:r>
              <w:rPr>
                <w:rFonts w:hint="eastAsia" w:ascii="Times New Roman" w:hAnsi="Times New Roman" w:eastAsia="宋体" w:cs="Times New Roman"/>
                <w:color w:val="auto"/>
                <w:sz w:val="24"/>
                <w:szCs w:val="24"/>
                <w:lang w:val="en-US" w:eastAsia="zh-CN"/>
              </w:rPr>
              <w:t>。</w:t>
            </w:r>
          </w:p>
          <w:p w14:paraId="3CF37B11">
            <w:pPr>
              <w:widowControl/>
              <w:spacing w:line="360" w:lineRule="auto"/>
              <w:ind w:firstLine="480" w:firstLineChars="200"/>
              <w:jc w:val="left"/>
              <w:rPr>
                <w:color w:val="auto"/>
                <w:sz w:val="24"/>
                <w:szCs w:val="24"/>
              </w:rPr>
            </w:pPr>
            <w:r>
              <w:rPr>
                <w:color w:val="auto"/>
                <w:sz w:val="24"/>
                <w:szCs w:val="24"/>
              </w:rPr>
              <w:t>本项目搅拌工序工作时搅拌锅为密闭密封状态，搅拌完成后通过下口管道输送至密闭中转桶中进行中转，且项目原药、煤油等物料根据上文理化性质介绍可知沸点较高，挥发性较低，所以搅拌工序挥发产生的有机废气主要产生于搅拌前的投料操作，且产生量较低。根据企业生产经验及类比同类企业，各工序有机废气产生分配比例如下：</w:t>
            </w:r>
          </w:p>
          <w:p w14:paraId="63C4FDAC">
            <w:pPr>
              <w:pStyle w:val="142"/>
              <w:spacing w:line="360" w:lineRule="auto"/>
              <w:rPr>
                <w:rFonts w:ascii="Times New Roman" w:hAnsi="Times New Roman" w:eastAsia="宋体" w:cs="Times New Roman"/>
                <w:b/>
                <w:color w:val="auto"/>
                <w:sz w:val="24"/>
                <w:szCs w:val="24"/>
              </w:rPr>
            </w:pPr>
            <w:r>
              <w:rPr>
                <w:rFonts w:ascii="Times New Roman" w:hAnsi="Times New Roman" w:eastAsia="宋体" w:cs="Times New Roman"/>
                <w:b/>
                <w:bCs/>
                <w:color w:val="auto"/>
                <w:kern w:val="0"/>
                <w:sz w:val="24"/>
                <w:szCs w:val="24"/>
              </w:rPr>
              <w:t>表</w:t>
            </w:r>
            <w:r>
              <w:rPr>
                <w:rFonts w:ascii="Times New Roman" w:hAnsi="Times New Roman" w:eastAsia="宋体" w:cs="Times New Roman"/>
                <w:b/>
                <w:bCs/>
                <w:color w:val="auto"/>
                <w:kern w:val="0"/>
                <w:sz w:val="24"/>
                <w:szCs w:val="24"/>
              </w:rPr>
              <w:fldChar w:fldCharType="begin"/>
            </w:r>
            <w:r>
              <w:rPr>
                <w:rFonts w:ascii="Times New Roman" w:hAnsi="Times New Roman" w:eastAsia="宋体" w:cs="Times New Roman"/>
                <w:b/>
                <w:bCs/>
                <w:color w:val="auto"/>
                <w:kern w:val="0"/>
                <w:sz w:val="24"/>
                <w:szCs w:val="24"/>
              </w:rPr>
              <w:instrText xml:space="preserve"> SEQ 表 \* ARABIC </w:instrText>
            </w:r>
            <w:r>
              <w:rPr>
                <w:rFonts w:ascii="Times New Roman" w:hAnsi="Times New Roman" w:eastAsia="宋体" w:cs="Times New Roman"/>
                <w:b/>
                <w:bCs/>
                <w:color w:val="auto"/>
                <w:kern w:val="0"/>
                <w:sz w:val="24"/>
                <w:szCs w:val="24"/>
              </w:rPr>
              <w:fldChar w:fldCharType="separate"/>
            </w:r>
            <w:r>
              <w:rPr>
                <w:rFonts w:ascii="Times New Roman" w:hAnsi="Times New Roman" w:eastAsia="宋体" w:cs="Times New Roman"/>
                <w:b/>
                <w:bCs/>
                <w:color w:val="auto"/>
                <w:kern w:val="0"/>
                <w:sz w:val="24"/>
                <w:szCs w:val="24"/>
              </w:rPr>
              <w:t>25</w:t>
            </w:r>
            <w:r>
              <w:rPr>
                <w:rFonts w:ascii="Times New Roman" w:hAnsi="Times New Roman" w:eastAsia="宋体" w:cs="Times New Roman"/>
                <w:b/>
                <w:bCs/>
                <w:color w:val="auto"/>
                <w:kern w:val="0"/>
                <w:sz w:val="24"/>
                <w:szCs w:val="24"/>
              </w:rPr>
              <w:fldChar w:fldCharType="end"/>
            </w:r>
            <w:r>
              <w:rPr>
                <w:rFonts w:ascii="Times New Roman" w:hAnsi="Times New Roman" w:eastAsia="宋体" w:cs="Times New Roman"/>
                <w:b/>
                <w:bCs/>
                <w:color w:val="auto"/>
                <w:kern w:val="0"/>
                <w:sz w:val="24"/>
                <w:szCs w:val="24"/>
              </w:rPr>
              <w:t xml:space="preserve"> 本项目废气产生情况表</w:t>
            </w:r>
          </w:p>
          <w:tbl>
            <w:tblPr>
              <w:tblStyle w:val="37"/>
              <w:tblW w:w="4995"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1232"/>
              <w:gridCol w:w="1792"/>
              <w:gridCol w:w="1152"/>
              <w:gridCol w:w="1122"/>
              <w:gridCol w:w="850"/>
              <w:gridCol w:w="1253"/>
            </w:tblGrid>
            <w:tr w14:paraId="368A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9" w:hRule="atLeast"/>
              </w:trPr>
              <w:tc>
                <w:tcPr>
                  <w:tcW w:w="645" w:type="pct"/>
                  <w:shd w:val="clear" w:color="auto" w:fill="auto"/>
                  <w:vAlign w:val="center"/>
                </w:tcPr>
                <w:p w14:paraId="1744A460">
                  <w:pPr>
                    <w:widowControl/>
                    <w:jc w:val="center"/>
                    <w:rPr>
                      <w:b/>
                      <w:bCs/>
                      <w:color w:val="auto"/>
                      <w:kern w:val="0"/>
                      <w:szCs w:val="21"/>
                    </w:rPr>
                  </w:pPr>
                  <w:r>
                    <w:rPr>
                      <w:b/>
                      <w:bCs/>
                      <w:color w:val="auto"/>
                      <w:kern w:val="0"/>
                      <w:szCs w:val="21"/>
                    </w:rPr>
                    <w:t>产品</w:t>
                  </w:r>
                </w:p>
              </w:tc>
              <w:tc>
                <w:tcPr>
                  <w:tcW w:w="725" w:type="pct"/>
                  <w:shd w:val="clear" w:color="auto" w:fill="auto"/>
                  <w:vAlign w:val="center"/>
                </w:tcPr>
                <w:p w14:paraId="3F62B823">
                  <w:pPr>
                    <w:widowControl/>
                    <w:jc w:val="center"/>
                    <w:rPr>
                      <w:b/>
                      <w:bCs/>
                      <w:color w:val="auto"/>
                      <w:kern w:val="0"/>
                      <w:szCs w:val="21"/>
                    </w:rPr>
                  </w:pPr>
                  <w:r>
                    <w:rPr>
                      <w:rFonts w:hint="eastAsia"/>
                      <w:b/>
                      <w:bCs/>
                      <w:color w:val="auto"/>
                      <w:kern w:val="0"/>
                      <w:szCs w:val="21"/>
                      <w:lang w:val="en-US" w:eastAsia="zh-CN"/>
                    </w:rPr>
                    <w:t>挥发性物料使用量</w:t>
                  </w:r>
                  <w:r>
                    <w:rPr>
                      <w:b/>
                      <w:bCs/>
                      <w:color w:val="auto"/>
                      <w:kern w:val="0"/>
                      <w:szCs w:val="21"/>
                    </w:rPr>
                    <w:t>t/a</w:t>
                  </w:r>
                </w:p>
              </w:tc>
              <w:tc>
                <w:tcPr>
                  <w:tcW w:w="1054" w:type="pct"/>
                  <w:shd w:val="clear" w:color="auto" w:fill="auto"/>
                  <w:vAlign w:val="center"/>
                </w:tcPr>
                <w:p w14:paraId="493EF892">
                  <w:pPr>
                    <w:widowControl/>
                    <w:jc w:val="center"/>
                    <w:rPr>
                      <w:b/>
                      <w:bCs/>
                      <w:color w:val="auto"/>
                      <w:kern w:val="0"/>
                      <w:szCs w:val="21"/>
                    </w:rPr>
                  </w:pPr>
                  <w:r>
                    <w:rPr>
                      <w:b/>
                      <w:bCs/>
                      <w:color w:val="auto"/>
                      <w:kern w:val="0"/>
                      <w:szCs w:val="21"/>
                    </w:rPr>
                    <w:t>产污系数</w:t>
                  </w:r>
                </w:p>
              </w:tc>
              <w:tc>
                <w:tcPr>
                  <w:tcW w:w="678" w:type="pct"/>
                  <w:shd w:val="clear" w:color="auto" w:fill="auto"/>
                  <w:vAlign w:val="center"/>
                </w:tcPr>
                <w:p w14:paraId="0FD2DB6C">
                  <w:pPr>
                    <w:widowControl/>
                    <w:jc w:val="center"/>
                    <w:rPr>
                      <w:b/>
                      <w:bCs/>
                      <w:color w:val="auto"/>
                      <w:kern w:val="0"/>
                      <w:szCs w:val="21"/>
                    </w:rPr>
                  </w:pPr>
                  <w:r>
                    <w:rPr>
                      <w:b/>
                      <w:bCs/>
                      <w:color w:val="auto"/>
                      <w:kern w:val="0"/>
                      <w:szCs w:val="21"/>
                    </w:rPr>
                    <w:t>有机废气产生量t/a</w:t>
                  </w:r>
                </w:p>
              </w:tc>
              <w:tc>
                <w:tcPr>
                  <w:tcW w:w="660" w:type="pct"/>
                  <w:shd w:val="clear" w:color="auto" w:fill="auto"/>
                  <w:vAlign w:val="center"/>
                </w:tcPr>
                <w:p w14:paraId="273884AB">
                  <w:pPr>
                    <w:widowControl/>
                    <w:jc w:val="center"/>
                    <w:rPr>
                      <w:b/>
                      <w:bCs/>
                      <w:color w:val="auto"/>
                      <w:kern w:val="0"/>
                      <w:szCs w:val="21"/>
                    </w:rPr>
                  </w:pPr>
                  <w:r>
                    <w:rPr>
                      <w:b/>
                      <w:bCs/>
                      <w:color w:val="auto"/>
                      <w:kern w:val="0"/>
                      <w:szCs w:val="21"/>
                    </w:rPr>
                    <w:t>产生工序</w:t>
                  </w:r>
                </w:p>
              </w:tc>
              <w:tc>
                <w:tcPr>
                  <w:tcW w:w="499" w:type="pct"/>
                  <w:shd w:val="clear" w:color="auto" w:fill="auto"/>
                  <w:vAlign w:val="center"/>
                </w:tcPr>
                <w:p w14:paraId="3E466412">
                  <w:pPr>
                    <w:widowControl/>
                    <w:jc w:val="center"/>
                    <w:rPr>
                      <w:b/>
                      <w:bCs/>
                      <w:color w:val="auto"/>
                      <w:kern w:val="0"/>
                      <w:szCs w:val="21"/>
                    </w:rPr>
                  </w:pPr>
                  <w:r>
                    <w:rPr>
                      <w:b/>
                      <w:bCs/>
                      <w:color w:val="auto"/>
                      <w:kern w:val="0"/>
                      <w:szCs w:val="21"/>
                    </w:rPr>
                    <w:t>产生比例</w:t>
                  </w:r>
                </w:p>
              </w:tc>
              <w:tc>
                <w:tcPr>
                  <w:tcW w:w="737" w:type="pct"/>
                  <w:shd w:val="clear" w:color="auto" w:fill="auto"/>
                  <w:vAlign w:val="center"/>
                </w:tcPr>
                <w:p w14:paraId="2D79D91D">
                  <w:pPr>
                    <w:widowControl/>
                    <w:jc w:val="center"/>
                    <w:rPr>
                      <w:b/>
                      <w:bCs/>
                      <w:color w:val="auto"/>
                      <w:kern w:val="0"/>
                      <w:szCs w:val="21"/>
                    </w:rPr>
                  </w:pPr>
                  <w:r>
                    <w:rPr>
                      <w:b/>
                      <w:bCs/>
                      <w:color w:val="auto"/>
                      <w:kern w:val="0"/>
                      <w:szCs w:val="21"/>
                    </w:rPr>
                    <w:t>工序废气产生量t/a</w:t>
                  </w:r>
                </w:p>
              </w:tc>
            </w:tr>
            <w:tr w14:paraId="2F7D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645" w:type="pct"/>
                  <w:vMerge w:val="restart"/>
                  <w:shd w:val="clear" w:color="auto" w:fill="auto"/>
                  <w:vAlign w:val="center"/>
                </w:tcPr>
                <w:p w14:paraId="09DE36A5">
                  <w:pPr>
                    <w:widowControl/>
                    <w:jc w:val="center"/>
                    <w:rPr>
                      <w:color w:val="auto"/>
                      <w:kern w:val="0"/>
                      <w:szCs w:val="21"/>
                    </w:rPr>
                  </w:pPr>
                  <w:r>
                    <w:rPr>
                      <w:color w:val="auto"/>
                      <w:szCs w:val="21"/>
                    </w:rPr>
                    <w:t>盘式蚊香</w:t>
                  </w:r>
                </w:p>
              </w:tc>
              <w:tc>
                <w:tcPr>
                  <w:tcW w:w="725" w:type="pct"/>
                  <w:vMerge w:val="restart"/>
                  <w:shd w:val="clear" w:color="auto" w:fill="auto"/>
                  <w:vAlign w:val="center"/>
                </w:tcPr>
                <w:p w14:paraId="2CE301D4">
                  <w:pPr>
                    <w:widowControl/>
                    <w:jc w:val="center"/>
                    <w:rPr>
                      <w:rFonts w:hint="default" w:eastAsia="宋体"/>
                      <w:color w:val="auto"/>
                      <w:kern w:val="0"/>
                      <w:szCs w:val="21"/>
                      <w:lang w:val="en-US" w:eastAsia="zh-CN"/>
                    </w:rPr>
                  </w:pPr>
                  <w:r>
                    <w:rPr>
                      <w:rFonts w:hint="eastAsia"/>
                      <w:color w:val="auto"/>
                      <w:kern w:val="0"/>
                      <w:szCs w:val="21"/>
                      <w:lang w:val="en-US" w:eastAsia="zh-CN"/>
                    </w:rPr>
                    <w:t>31.6</w:t>
                  </w:r>
                </w:p>
              </w:tc>
              <w:tc>
                <w:tcPr>
                  <w:tcW w:w="1054" w:type="pct"/>
                  <w:vMerge w:val="restart"/>
                  <w:shd w:val="clear" w:color="auto" w:fill="auto"/>
                  <w:vAlign w:val="center"/>
                </w:tcPr>
                <w:p w14:paraId="1BC9EA19">
                  <w:pPr>
                    <w:widowControl/>
                    <w:jc w:val="center"/>
                    <w:textAlignment w:val="center"/>
                    <w:rPr>
                      <w:color w:val="auto"/>
                      <w:kern w:val="0"/>
                      <w:szCs w:val="21"/>
                    </w:rPr>
                  </w:pPr>
                  <w:r>
                    <w:rPr>
                      <w:rFonts w:hint="eastAsia" w:ascii="Times New Roman" w:hAnsi="Times New Roman" w:eastAsia="宋体" w:cs="Times New Roman"/>
                      <w:color w:val="auto"/>
                      <w:szCs w:val="21"/>
                      <w:lang w:val="en-US" w:eastAsia="zh-CN"/>
                    </w:rPr>
                    <w:t>0.00195kg/kg-挥发性物料计</w:t>
                  </w:r>
                </w:p>
              </w:tc>
              <w:tc>
                <w:tcPr>
                  <w:tcW w:w="678" w:type="pct"/>
                  <w:vMerge w:val="restart"/>
                  <w:shd w:val="clear" w:color="auto" w:fill="auto"/>
                  <w:vAlign w:val="center"/>
                </w:tcPr>
                <w:p w14:paraId="2C2690E2">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0.0616</w:t>
                  </w:r>
                </w:p>
              </w:tc>
              <w:tc>
                <w:tcPr>
                  <w:tcW w:w="660" w:type="pct"/>
                  <w:shd w:val="clear" w:color="auto" w:fill="auto"/>
                  <w:vAlign w:val="center"/>
                </w:tcPr>
                <w:p w14:paraId="5E90F2BC">
                  <w:pPr>
                    <w:widowControl/>
                    <w:jc w:val="center"/>
                    <w:rPr>
                      <w:color w:val="auto"/>
                      <w:kern w:val="0"/>
                      <w:szCs w:val="21"/>
                    </w:rPr>
                  </w:pPr>
                  <w:r>
                    <w:rPr>
                      <w:color w:val="auto"/>
                      <w:kern w:val="0"/>
                      <w:szCs w:val="21"/>
                    </w:rPr>
                    <w:t>投料</w:t>
                  </w:r>
                </w:p>
              </w:tc>
              <w:tc>
                <w:tcPr>
                  <w:tcW w:w="499" w:type="pct"/>
                  <w:shd w:val="clear" w:color="auto" w:fill="auto"/>
                  <w:vAlign w:val="center"/>
                </w:tcPr>
                <w:p w14:paraId="79BCFED2">
                  <w:pPr>
                    <w:widowControl/>
                    <w:jc w:val="center"/>
                    <w:rPr>
                      <w:color w:val="auto"/>
                      <w:kern w:val="0"/>
                      <w:szCs w:val="21"/>
                    </w:rPr>
                  </w:pPr>
                  <w:r>
                    <w:rPr>
                      <w:color w:val="auto"/>
                      <w:kern w:val="0"/>
                      <w:szCs w:val="21"/>
                    </w:rPr>
                    <w:t>10%</w:t>
                  </w:r>
                </w:p>
              </w:tc>
              <w:tc>
                <w:tcPr>
                  <w:tcW w:w="1250" w:type="dxa"/>
                  <w:shd w:val="clear" w:color="auto" w:fill="auto"/>
                  <w:vAlign w:val="center"/>
                </w:tcPr>
                <w:p w14:paraId="6288A709">
                  <w:pPr>
                    <w:widowControl/>
                    <w:jc w:val="center"/>
                    <w:rPr>
                      <w:rFonts w:hint="eastAsia"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0.00616</w:t>
                  </w:r>
                </w:p>
              </w:tc>
            </w:tr>
            <w:tr w14:paraId="7457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45" w:type="pct"/>
                  <w:vMerge w:val="continue"/>
                  <w:shd w:val="clear" w:color="auto" w:fill="auto"/>
                  <w:vAlign w:val="center"/>
                </w:tcPr>
                <w:p w14:paraId="69C56BC4">
                  <w:pPr>
                    <w:widowControl/>
                    <w:jc w:val="center"/>
                    <w:rPr>
                      <w:color w:val="auto"/>
                      <w:szCs w:val="21"/>
                    </w:rPr>
                  </w:pPr>
                </w:p>
              </w:tc>
              <w:tc>
                <w:tcPr>
                  <w:tcW w:w="725" w:type="pct"/>
                  <w:vMerge w:val="continue"/>
                  <w:shd w:val="clear" w:color="auto" w:fill="auto"/>
                  <w:vAlign w:val="center"/>
                </w:tcPr>
                <w:p w14:paraId="55C42860">
                  <w:pPr>
                    <w:widowControl/>
                    <w:jc w:val="center"/>
                    <w:rPr>
                      <w:color w:val="auto"/>
                      <w:kern w:val="0"/>
                      <w:szCs w:val="21"/>
                    </w:rPr>
                  </w:pPr>
                </w:p>
              </w:tc>
              <w:tc>
                <w:tcPr>
                  <w:tcW w:w="1054" w:type="pct"/>
                  <w:vMerge w:val="continue"/>
                  <w:shd w:val="clear" w:color="auto" w:fill="auto"/>
                  <w:vAlign w:val="center"/>
                </w:tcPr>
                <w:p w14:paraId="614DD379">
                  <w:pPr>
                    <w:widowControl/>
                    <w:jc w:val="center"/>
                    <w:textAlignment w:val="center"/>
                    <w:rPr>
                      <w:color w:val="auto"/>
                      <w:kern w:val="0"/>
                      <w:szCs w:val="21"/>
                    </w:rPr>
                  </w:pPr>
                </w:p>
              </w:tc>
              <w:tc>
                <w:tcPr>
                  <w:tcW w:w="678" w:type="pct"/>
                  <w:vMerge w:val="continue"/>
                  <w:shd w:val="clear" w:color="auto" w:fill="auto"/>
                  <w:vAlign w:val="center"/>
                </w:tcPr>
                <w:p w14:paraId="01B6B8AE">
                  <w:pPr>
                    <w:widowControl/>
                    <w:jc w:val="center"/>
                    <w:rPr>
                      <w:rFonts w:hint="eastAsia" w:ascii="Times New Roman" w:hAnsi="Times New Roman" w:eastAsia="宋体" w:cs="Times New Roman"/>
                      <w:color w:val="auto"/>
                      <w:kern w:val="0"/>
                      <w:szCs w:val="21"/>
                      <w:lang w:val="en-US" w:eastAsia="zh-CN"/>
                    </w:rPr>
                  </w:pPr>
                </w:p>
              </w:tc>
              <w:tc>
                <w:tcPr>
                  <w:tcW w:w="660" w:type="pct"/>
                  <w:shd w:val="clear" w:color="auto" w:fill="auto"/>
                  <w:vAlign w:val="center"/>
                </w:tcPr>
                <w:p w14:paraId="59D79804">
                  <w:pPr>
                    <w:widowControl/>
                    <w:jc w:val="center"/>
                    <w:rPr>
                      <w:color w:val="auto"/>
                      <w:kern w:val="0"/>
                      <w:szCs w:val="21"/>
                    </w:rPr>
                  </w:pPr>
                  <w:r>
                    <w:rPr>
                      <w:color w:val="auto"/>
                      <w:kern w:val="0"/>
                      <w:szCs w:val="21"/>
                    </w:rPr>
                    <w:t>喷药</w:t>
                  </w:r>
                </w:p>
              </w:tc>
              <w:tc>
                <w:tcPr>
                  <w:tcW w:w="499" w:type="pct"/>
                  <w:shd w:val="clear" w:color="auto" w:fill="auto"/>
                  <w:vAlign w:val="center"/>
                </w:tcPr>
                <w:p w14:paraId="3EEFC31F">
                  <w:pPr>
                    <w:widowControl/>
                    <w:jc w:val="center"/>
                    <w:rPr>
                      <w:color w:val="auto"/>
                      <w:kern w:val="0"/>
                      <w:szCs w:val="21"/>
                    </w:rPr>
                  </w:pPr>
                  <w:r>
                    <w:rPr>
                      <w:color w:val="auto"/>
                      <w:kern w:val="0"/>
                      <w:szCs w:val="21"/>
                    </w:rPr>
                    <w:t>90%</w:t>
                  </w:r>
                </w:p>
              </w:tc>
              <w:tc>
                <w:tcPr>
                  <w:tcW w:w="1250" w:type="dxa"/>
                  <w:shd w:val="clear" w:color="auto" w:fill="auto"/>
                  <w:vAlign w:val="center"/>
                </w:tcPr>
                <w:p w14:paraId="0F1D5BCC">
                  <w:pPr>
                    <w:widowControl/>
                    <w:jc w:val="center"/>
                    <w:rPr>
                      <w:rFonts w:hint="eastAsia"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0.05544</w:t>
                  </w:r>
                </w:p>
              </w:tc>
            </w:tr>
            <w:tr w14:paraId="1D19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5" w:type="pct"/>
                  <w:vMerge w:val="restart"/>
                  <w:shd w:val="clear" w:color="auto" w:fill="auto"/>
                  <w:vAlign w:val="center"/>
                </w:tcPr>
                <w:p w14:paraId="58BBC8FA">
                  <w:pPr>
                    <w:widowControl/>
                    <w:jc w:val="center"/>
                    <w:rPr>
                      <w:color w:val="auto"/>
                      <w:kern w:val="0"/>
                      <w:szCs w:val="21"/>
                    </w:rPr>
                  </w:pPr>
                  <w:r>
                    <w:rPr>
                      <w:color w:val="auto"/>
                      <w:szCs w:val="21"/>
                    </w:rPr>
                    <w:t>电热蚊香液</w:t>
                  </w:r>
                </w:p>
              </w:tc>
              <w:tc>
                <w:tcPr>
                  <w:tcW w:w="725" w:type="pct"/>
                  <w:vMerge w:val="restart"/>
                  <w:shd w:val="clear" w:color="auto" w:fill="auto"/>
                  <w:vAlign w:val="center"/>
                </w:tcPr>
                <w:p w14:paraId="371A0998">
                  <w:pPr>
                    <w:widowControl/>
                    <w:jc w:val="center"/>
                    <w:rPr>
                      <w:rFonts w:hint="default" w:eastAsia="宋体"/>
                      <w:color w:val="auto"/>
                      <w:kern w:val="0"/>
                      <w:szCs w:val="21"/>
                      <w:lang w:val="en-US" w:eastAsia="zh-CN"/>
                    </w:rPr>
                  </w:pPr>
                  <w:r>
                    <w:rPr>
                      <w:rFonts w:hint="eastAsia"/>
                      <w:color w:val="auto"/>
                      <w:kern w:val="0"/>
                      <w:szCs w:val="21"/>
                      <w:lang w:val="en-US" w:eastAsia="zh-CN"/>
                    </w:rPr>
                    <w:t>3.385</w:t>
                  </w:r>
                </w:p>
              </w:tc>
              <w:tc>
                <w:tcPr>
                  <w:tcW w:w="1054" w:type="pct"/>
                  <w:vMerge w:val="continue"/>
                  <w:shd w:val="clear" w:color="auto" w:fill="auto"/>
                  <w:vAlign w:val="center"/>
                </w:tcPr>
                <w:p w14:paraId="7CEEDFD6">
                  <w:pPr>
                    <w:widowControl/>
                    <w:jc w:val="center"/>
                    <w:textAlignment w:val="center"/>
                    <w:rPr>
                      <w:color w:val="auto"/>
                      <w:kern w:val="0"/>
                      <w:szCs w:val="21"/>
                    </w:rPr>
                  </w:pPr>
                </w:p>
              </w:tc>
              <w:tc>
                <w:tcPr>
                  <w:tcW w:w="678" w:type="pct"/>
                  <w:vMerge w:val="restart"/>
                  <w:shd w:val="clear" w:color="auto" w:fill="auto"/>
                  <w:vAlign w:val="center"/>
                </w:tcPr>
                <w:p w14:paraId="730E09DA">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0.0066</w:t>
                  </w:r>
                </w:p>
              </w:tc>
              <w:tc>
                <w:tcPr>
                  <w:tcW w:w="660" w:type="pct"/>
                  <w:shd w:val="clear" w:color="auto" w:fill="auto"/>
                  <w:noWrap/>
                  <w:vAlign w:val="center"/>
                </w:tcPr>
                <w:p w14:paraId="7C9CECCC">
                  <w:pPr>
                    <w:widowControl/>
                    <w:jc w:val="center"/>
                    <w:rPr>
                      <w:color w:val="auto"/>
                      <w:kern w:val="0"/>
                      <w:szCs w:val="21"/>
                    </w:rPr>
                  </w:pPr>
                  <w:r>
                    <w:rPr>
                      <w:color w:val="auto"/>
                      <w:kern w:val="0"/>
                      <w:szCs w:val="21"/>
                    </w:rPr>
                    <w:t>投料</w:t>
                  </w:r>
                </w:p>
              </w:tc>
              <w:tc>
                <w:tcPr>
                  <w:tcW w:w="499" w:type="pct"/>
                  <w:shd w:val="clear" w:color="auto" w:fill="auto"/>
                  <w:noWrap/>
                  <w:vAlign w:val="center"/>
                </w:tcPr>
                <w:p w14:paraId="2B355103">
                  <w:pPr>
                    <w:widowControl/>
                    <w:jc w:val="center"/>
                    <w:rPr>
                      <w:color w:val="auto"/>
                      <w:kern w:val="0"/>
                      <w:szCs w:val="21"/>
                    </w:rPr>
                  </w:pPr>
                  <w:r>
                    <w:rPr>
                      <w:color w:val="auto"/>
                      <w:kern w:val="0"/>
                      <w:szCs w:val="21"/>
                    </w:rPr>
                    <w:t>10%</w:t>
                  </w:r>
                </w:p>
              </w:tc>
              <w:tc>
                <w:tcPr>
                  <w:tcW w:w="1250" w:type="dxa"/>
                  <w:shd w:val="clear" w:color="auto" w:fill="auto"/>
                  <w:vAlign w:val="center"/>
                </w:tcPr>
                <w:p w14:paraId="3771A028">
                  <w:pPr>
                    <w:widowControl/>
                    <w:jc w:val="center"/>
                    <w:rPr>
                      <w:rFonts w:hint="eastAsia"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0.00066</w:t>
                  </w:r>
                </w:p>
              </w:tc>
            </w:tr>
            <w:tr w14:paraId="056A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645" w:type="pct"/>
                  <w:vMerge w:val="continue"/>
                  <w:shd w:val="clear" w:color="auto" w:fill="auto"/>
                  <w:vAlign w:val="center"/>
                </w:tcPr>
                <w:p w14:paraId="0457F45B">
                  <w:pPr>
                    <w:widowControl/>
                    <w:jc w:val="center"/>
                    <w:rPr>
                      <w:color w:val="auto"/>
                      <w:kern w:val="0"/>
                      <w:szCs w:val="21"/>
                    </w:rPr>
                  </w:pPr>
                </w:p>
              </w:tc>
              <w:tc>
                <w:tcPr>
                  <w:tcW w:w="725" w:type="pct"/>
                  <w:vMerge w:val="continue"/>
                  <w:shd w:val="clear" w:color="auto" w:fill="auto"/>
                  <w:vAlign w:val="center"/>
                </w:tcPr>
                <w:p w14:paraId="3D46077F">
                  <w:pPr>
                    <w:widowControl/>
                    <w:jc w:val="center"/>
                    <w:rPr>
                      <w:color w:val="auto"/>
                      <w:kern w:val="0"/>
                      <w:szCs w:val="21"/>
                    </w:rPr>
                  </w:pPr>
                </w:p>
              </w:tc>
              <w:tc>
                <w:tcPr>
                  <w:tcW w:w="1054" w:type="pct"/>
                  <w:vMerge w:val="continue"/>
                  <w:shd w:val="clear" w:color="auto" w:fill="auto"/>
                  <w:vAlign w:val="center"/>
                </w:tcPr>
                <w:p w14:paraId="429A7511">
                  <w:pPr>
                    <w:widowControl/>
                    <w:jc w:val="center"/>
                    <w:textAlignment w:val="center"/>
                    <w:rPr>
                      <w:color w:val="auto"/>
                      <w:kern w:val="0"/>
                      <w:szCs w:val="21"/>
                    </w:rPr>
                  </w:pPr>
                </w:p>
              </w:tc>
              <w:tc>
                <w:tcPr>
                  <w:tcW w:w="678" w:type="pct"/>
                  <w:vMerge w:val="continue"/>
                  <w:shd w:val="clear" w:color="auto" w:fill="auto"/>
                  <w:vAlign w:val="center"/>
                </w:tcPr>
                <w:p w14:paraId="3A89F687">
                  <w:pPr>
                    <w:widowControl/>
                    <w:jc w:val="center"/>
                    <w:rPr>
                      <w:color w:val="auto"/>
                      <w:kern w:val="0"/>
                      <w:szCs w:val="21"/>
                    </w:rPr>
                  </w:pPr>
                </w:p>
              </w:tc>
              <w:tc>
                <w:tcPr>
                  <w:tcW w:w="660" w:type="pct"/>
                  <w:shd w:val="clear" w:color="auto" w:fill="auto"/>
                  <w:noWrap/>
                  <w:vAlign w:val="center"/>
                </w:tcPr>
                <w:p w14:paraId="59C35B5A">
                  <w:pPr>
                    <w:widowControl/>
                    <w:jc w:val="center"/>
                    <w:rPr>
                      <w:color w:val="auto"/>
                      <w:kern w:val="0"/>
                      <w:szCs w:val="21"/>
                    </w:rPr>
                  </w:pPr>
                  <w:r>
                    <w:rPr>
                      <w:color w:val="auto"/>
                      <w:kern w:val="0"/>
                      <w:szCs w:val="21"/>
                    </w:rPr>
                    <w:t>灌装</w:t>
                  </w:r>
                </w:p>
              </w:tc>
              <w:tc>
                <w:tcPr>
                  <w:tcW w:w="499" w:type="pct"/>
                  <w:shd w:val="clear" w:color="auto" w:fill="auto"/>
                  <w:noWrap/>
                  <w:vAlign w:val="center"/>
                </w:tcPr>
                <w:p w14:paraId="36948262">
                  <w:pPr>
                    <w:widowControl/>
                    <w:jc w:val="center"/>
                    <w:rPr>
                      <w:color w:val="auto"/>
                      <w:kern w:val="0"/>
                      <w:szCs w:val="21"/>
                    </w:rPr>
                  </w:pPr>
                  <w:r>
                    <w:rPr>
                      <w:color w:val="auto"/>
                      <w:kern w:val="0"/>
                      <w:szCs w:val="21"/>
                    </w:rPr>
                    <w:t>80%</w:t>
                  </w:r>
                </w:p>
              </w:tc>
              <w:tc>
                <w:tcPr>
                  <w:tcW w:w="1250" w:type="dxa"/>
                  <w:shd w:val="clear" w:color="auto" w:fill="auto"/>
                  <w:vAlign w:val="center"/>
                </w:tcPr>
                <w:p w14:paraId="7A5AB8A6">
                  <w:pPr>
                    <w:widowControl/>
                    <w:jc w:val="center"/>
                    <w:rPr>
                      <w:rFonts w:hint="eastAsia"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0.00528</w:t>
                  </w:r>
                </w:p>
              </w:tc>
            </w:tr>
            <w:tr w14:paraId="5E92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645" w:type="pct"/>
                  <w:vMerge w:val="continue"/>
                  <w:shd w:val="clear" w:color="auto" w:fill="auto"/>
                  <w:vAlign w:val="center"/>
                </w:tcPr>
                <w:p w14:paraId="6815DD7D">
                  <w:pPr>
                    <w:widowControl/>
                    <w:jc w:val="center"/>
                    <w:textAlignment w:val="center"/>
                    <w:rPr>
                      <w:color w:val="auto"/>
                    </w:rPr>
                  </w:pPr>
                </w:p>
              </w:tc>
              <w:tc>
                <w:tcPr>
                  <w:tcW w:w="725" w:type="pct"/>
                  <w:vMerge w:val="continue"/>
                  <w:shd w:val="clear" w:color="auto" w:fill="auto"/>
                  <w:vAlign w:val="center"/>
                </w:tcPr>
                <w:p w14:paraId="29DEF75A">
                  <w:pPr>
                    <w:widowControl/>
                    <w:jc w:val="center"/>
                    <w:textAlignment w:val="center"/>
                    <w:rPr>
                      <w:color w:val="auto"/>
                    </w:rPr>
                  </w:pPr>
                </w:p>
              </w:tc>
              <w:tc>
                <w:tcPr>
                  <w:tcW w:w="1054" w:type="pct"/>
                  <w:vMerge w:val="continue"/>
                  <w:shd w:val="clear" w:color="auto" w:fill="auto"/>
                  <w:vAlign w:val="center"/>
                </w:tcPr>
                <w:p w14:paraId="69C40398">
                  <w:pPr>
                    <w:widowControl/>
                    <w:jc w:val="center"/>
                    <w:textAlignment w:val="center"/>
                    <w:rPr>
                      <w:color w:val="auto"/>
                    </w:rPr>
                  </w:pPr>
                </w:p>
              </w:tc>
              <w:tc>
                <w:tcPr>
                  <w:tcW w:w="678" w:type="pct"/>
                  <w:vMerge w:val="continue"/>
                  <w:shd w:val="clear" w:color="auto" w:fill="auto"/>
                  <w:vAlign w:val="center"/>
                </w:tcPr>
                <w:p w14:paraId="1FCADE80">
                  <w:pPr>
                    <w:widowControl/>
                    <w:jc w:val="center"/>
                    <w:rPr>
                      <w:color w:val="auto"/>
                      <w:kern w:val="0"/>
                      <w:szCs w:val="21"/>
                    </w:rPr>
                  </w:pPr>
                </w:p>
              </w:tc>
              <w:tc>
                <w:tcPr>
                  <w:tcW w:w="660" w:type="pct"/>
                  <w:shd w:val="clear" w:color="auto" w:fill="auto"/>
                  <w:noWrap/>
                  <w:vAlign w:val="center"/>
                </w:tcPr>
                <w:p w14:paraId="44C686C7">
                  <w:pPr>
                    <w:widowControl/>
                    <w:jc w:val="center"/>
                    <w:rPr>
                      <w:color w:val="auto"/>
                      <w:kern w:val="0"/>
                      <w:szCs w:val="21"/>
                    </w:rPr>
                  </w:pPr>
                  <w:r>
                    <w:rPr>
                      <w:color w:val="auto"/>
                      <w:kern w:val="0"/>
                      <w:szCs w:val="21"/>
                    </w:rPr>
                    <w:t>插芯棒</w:t>
                  </w:r>
                </w:p>
              </w:tc>
              <w:tc>
                <w:tcPr>
                  <w:tcW w:w="499" w:type="pct"/>
                  <w:shd w:val="clear" w:color="auto" w:fill="auto"/>
                  <w:noWrap/>
                  <w:vAlign w:val="center"/>
                </w:tcPr>
                <w:p w14:paraId="0F2D5591">
                  <w:pPr>
                    <w:widowControl/>
                    <w:jc w:val="center"/>
                    <w:rPr>
                      <w:color w:val="auto"/>
                      <w:kern w:val="0"/>
                      <w:szCs w:val="21"/>
                    </w:rPr>
                  </w:pPr>
                  <w:r>
                    <w:rPr>
                      <w:color w:val="auto"/>
                      <w:kern w:val="0"/>
                      <w:szCs w:val="21"/>
                    </w:rPr>
                    <w:t>10%</w:t>
                  </w:r>
                </w:p>
              </w:tc>
              <w:tc>
                <w:tcPr>
                  <w:tcW w:w="1250" w:type="dxa"/>
                  <w:shd w:val="clear" w:color="auto" w:fill="auto"/>
                  <w:vAlign w:val="center"/>
                </w:tcPr>
                <w:p w14:paraId="593843E9">
                  <w:pPr>
                    <w:widowControl/>
                    <w:jc w:val="center"/>
                    <w:rPr>
                      <w:rFonts w:hint="eastAsia"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0.00066</w:t>
                  </w:r>
                </w:p>
              </w:tc>
            </w:tr>
            <w:tr w14:paraId="5D47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4262" w:type="pct"/>
                  <w:gridSpan w:val="6"/>
                  <w:shd w:val="clear" w:color="auto" w:fill="auto"/>
                  <w:vAlign w:val="center"/>
                </w:tcPr>
                <w:p w14:paraId="295171E6">
                  <w:pPr>
                    <w:widowControl/>
                    <w:jc w:val="center"/>
                    <w:textAlignment w:val="center"/>
                    <w:rPr>
                      <w:color w:val="auto"/>
                      <w:kern w:val="0"/>
                      <w:szCs w:val="21"/>
                    </w:rPr>
                  </w:pPr>
                  <w:r>
                    <w:rPr>
                      <w:color w:val="auto"/>
                      <w:kern w:val="0"/>
                      <w:szCs w:val="21"/>
                    </w:rPr>
                    <w:t>合计</w:t>
                  </w:r>
                </w:p>
              </w:tc>
              <w:tc>
                <w:tcPr>
                  <w:tcW w:w="1250" w:type="dxa"/>
                  <w:shd w:val="clear" w:color="auto" w:fill="auto"/>
                  <w:vAlign w:val="center"/>
                </w:tcPr>
                <w:p w14:paraId="348B40F3">
                  <w:pPr>
                    <w:widowControl/>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0.0682</w:t>
                  </w:r>
                </w:p>
              </w:tc>
            </w:tr>
          </w:tbl>
          <w:p w14:paraId="055B968E">
            <w:pPr>
              <w:widowControl/>
              <w:spacing w:line="360" w:lineRule="auto"/>
              <w:ind w:firstLine="420" w:firstLineChars="200"/>
              <w:jc w:val="left"/>
              <w:rPr>
                <w:rFonts w:hint="default" w:ascii="Times New Roman" w:hAnsi="Times New Roman" w:eastAsia="宋体" w:cs="Times New Roman"/>
                <w:color w:val="auto"/>
                <w:szCs w:val="21"/>
              </w:rPr>
            </w:pPr>
          </w:p>
          <w:p w14:paraId="3561F5AF">
            <w:pPr>
              <w:widowControl/>
              <w:spacing w:line="360" w:lineRule="auto"/>
              <w:ind w:firstLine="420" w:firstLineChars="200"/>
              <w:jc w:val="left"/>
              <w:rPr>
                <w:rFonts w:hint="default" w:ascii="Times New Roman" w:hAnsi="Times New Roman" w:eastAsia="宋体" w:cs="Times New Roman"/>
                <w:color w:val="auto"/>
                <w:szCs w:val="21"/>
              </w:rPr>
            </w:pPr>
          </w:p>
          <w:p w14:paraId="46DBD124">
            <w:pPr>
              <w:widowControl/>
              <w:spacing w:line="360" w:lineRule="auto"/>
              <w:ind w:firstLine="480" w:firstLineChars="200"/>
              <w:jc w:val="left"/>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②</w:t>
            </w:r>
            <w:r>
              <w:rPr>
                <w:rFonts w:hint="eastAsia" w:ascii="Times New Roman" w:hAnsi="Times New Roman" w:eastAsia="宋体" w:cs="Times New Roman"/>
                <w:color w:val="auto"/>
                <w:sz w:val="24"/>
                <w:szCs w:val="24"/>
                <w:lang w:val="en-US" w:eastAsia="zh-CN"/>
              </w:rPr>
              <w:t>生产异味</w:t>
            </w:r>
          </w:p>
          <w:p w14:paraId="4360CB82">
            <w:pPr>
              <w:widowControl/>
              <w:spacing w:line="360" w:lineRule="auto"/>
              <w:ind w:firstLine="480" w:firstLineChars="200"/>
              <w:jc w:val="lef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本项目药物</w:t>
            </w:r>
            <w:r>
              <w:rPr>
                <w:rFonts w:hint="eastAsia" w:ascii="Times New Roman" w:hAnsi="Times New Roman" w:eastAsia="宋体" w:cs="Times New Roman"/>
                <w:color w:val="auto"/>
                <w:sz w:val="24"/>
                <w:szCs w:val="24"/>
                <w:lang w:val="en-US" w:eastAsia="zh-CN"/>
              </w:rPr>
              <w:t>投料</w:t>
            </w:r>
            <w:r>
              <w:rPr>
                <w:rFonts w:hint="eastAsia" w:ascii="Times New Roman" w:hAnsi="Times New Roman" w:eastAsia="宋体" w:cs="Times New Roman"/>
                <w:color w:val="auto"/>
                <w:sz w:val="24"/>
                <w:szCs w:val="24"/>
              </w:rPr>
              <w:t>搅拌、</w:t>
            </w:r>
            <w:r>
              <w:rPr>
                <w:rFonts w:hint="eastAsia" w:ascii="Times New Roman" w:hAnsi="Times New Roman" w:eastAsia="宋体" w:cs="Times New Roman"/>
                <w:color w:val="auto"/>
                <w:sz w:val="24"/>
                <w:szCs w:val="24"/>
                <w:lang w:val="en-US" w:eastAsia="zh-CN"/>
              </w:rPr>
              <w:t>喷药等生产加工</w:t>
            </w:r>
            <w:r>
              <w:rPr>
                <w:rFonts w:hint="eastAsia" w:ascii="Times New Roman" w:hAnsi="Times New Roman" w:eastAsia="宋体" w:cs="Times New Roman"/>
                <w:color w:val="auto"/>
                <w:sz w:val="24"/>
                <w:szCs w:val="24"/>
              </w:rPr>
              <w:t>过程中</w:t>
            </w:r>
            <w:r>
              <w:rPr>
                <w:rFonts w:hint="eastAsia" w:ascii="Times New Roman" w:hAnsi="Times New Roman" w:eastAsia="宋体" w:cs="Times New Roman"/>
                <w:color w:val="auto"/>
                <w:sz w:val="24"/>
                <w:szCs w:val="24"/>
                <w:lang w:val="en-US" w:eastAsia="zh-CN"/>
              </w:rPr>
              <w:t>会产生少量异味气味，以臭气浓度进行表征。本项目生产加工过程中会产生少量异味气味，以臭气浓度进行表征。气味主要是通过影响人们的嗅觉来影响环境，由于个人的生理心理条件、年龄、职业、习惯等因素的不同对生产加工气味的喜恶程度、敏感程度和可耐受程度也不同。目前，国外对恶臭强度的分级和测定多以人的嗅觉感官作为基础得到，如德国的臭气强度5级分级（</w:t>
            </w:r>
            <w:r>
              <w:rPr>
                <w:rFonts w:hint="default" w:ascii="Times New Roman" w:hAnsi="Times New Roman" w:eastAsia="宋体" w:cs="Times New Roman"/>
                <w:color w:val="auto"/>
                <w:sz w:val="24"/>
                <w:szCs w:val="24"/>
                <w:lang w:val="en-US" w:eastAsia="zh-CN"/>
              </w:rPr>
              <w:t>1958</w:t>
            </w:r>
            <w:r>
              <w:rPr>
                <w:rFonts w:hint="eastAsia" w:ascii="Times New Roman" w:hAnsi="Times New Roman" w:eastAsia="宋体" w:cs="Times New Roman"/>
                <w:color w:val="auto"/>
                <w:sz w:val="24"/>
                <w:szCs w:val="24"/>
                <w:lang w:val="en-US" w:eastAsia="zh-CN"/>
              </w:rPr>
              <w:t>年）；日本的臭气强度6级分级（</w:t>
            </w:r>
            <w:r>
              <w:rPr>
                <w:rFonts w:hint="default" w:ascii="Times New Roman" w:hAnsi="Times New Roman" w:eastAsia="宋体" w:cs="Times New Roman"/>
                <w:color w:val="auto"/>
                <w:sz w:val="24"/>
                <w:szCs w:val="24"/>
                <w:lang w:val="en-US" w:eastAsia="zh-CN"/>
              </w:rPr>
              <w:t>1972</w:t>
            </w:r>
            <w:r>
              <w:rPr>
                <w:rFonts w:hint="eastAsia" w:ascii="Times New Roman" w:hAnsi="Times New Roman" w:eastAsia="宋体" w:cs="Times New Roman"/>
                <w:color w:val="auto"/>
                <w:sz w:val="24"/>
                <w:szCs w:val="24"/>
                <w:lang w:val="en-US" w:eastAsia="zh-CN"/>
              </w:rPr>
              <w:t>年）等。这种测定方法以经过训练合格的5-8名臭气监测员以自身的恶臭感知能力对恶臭进行强度监测。北京环境监测中心在吸取国外经验的基础上提出了恶臭6级分级法，该分级法以感受器嗅觉的感觉和人的主观感觉特征两个方面来描述各级特征，既明确了各级的差别，也提高了分级的准确程度。</w:t>
            </w:r>
          </w:p>
          <w:p w14:paraId="22550B5E">
            <w:pPr>
              <w:pStyle w:val="142"/>
              <w:spacing w:line="360" w:lineRule="auto"/>
              <w:rPr>
                <w:rFonts w:hint="default" w:ascii="Times New Roman" w:hAnsi="Times New Roman" w:eastAsia="宋体" w:cs="Times New Roman"/>
                <w:b/>
                <w:bCs/>
                <w:color w:val="auto"/>
                <w:kern w:val="0"/>
                <w:sz w:val="24"/>
                <w:szCs w:val="24"/>
                <w:lang w:val="en-US" w:eastAsia="zh-CN"/>
              </w:rPr>
            </w:pPr>
            <w:r>
              <w:rPr>
                <w:rFonts w:ascii="Times New Roman" w:hAnsi="Times New Roman" w:eastAsia="宋体" w:cs="Times New Roman"/>
                <w:b/>
                <w:bCs/>
                <w:color w:val="auto"/>
                <w:kern w:val="0"/>
                <w:sz w:val="24"/>
                <w:szCs w:val="24"/>
              </w:rPr>
              <w:t>表</w:t>
            </w:r>
            <w:r>
              <w:rPr>
                <w:rFonts w:ascii="Times New Roman" w:hAnsi="Times New Roman" w:eastAsia="宋体" w:cs="Times New Roman"/>
                <w:b/>
                <w:bCs/>
                <w:color w:val="auto"/>
                <w:kern w:val="0"/>
                <w:sz w:val="24"/>
                <w:szCs w:val="24"/>
              </w:rPr>
              <w:fldChar w:fldCharType="begin"/>
            </w:r>
            <w:r>
              <w:rPr>
                <w:rFonts w:ascii="Times New Roman" w:hAnsi="Times New Roman" w:eastAsia="宋体" w:cs="Times New Roman"/>
                <w:b/>
                <w:bCs/>
                <w:color w:val="auto"/>
                <w:kern w:val="0"/>
                <w:sz w:val="24"/>
                <w:szCs w:val="24"/>
              </w:rPr>
              <w:instrText xml:space="preserve"> SEQ 表 \* ARABIC </w:instrText>
            </w:r>
            <w:r>
              <w:rPr>
                <w:rFonts w:ascii="Times New Roman" w:hAnsi="Times New Roman" w:eastAsia="宋体" w:cs="Times New Roman"/>
                <w:b/>
                <w:bCs/>
                <w:color w:val="auto"/>
                <w:kern w:val="0"/>
                <w:sz w:val="24"/>
                <w:szCs w:val="24"/>
              </w:rPr>
              <w:fldChar w:fldCharType="separate"/>
            </w:r>
            <w:r>
              <w:rPr>
                <w:rFonts w:ascii="Times New Roman" w:hAnsi="Times New Roman" w:eastAsia="宋体" w:cs="Times New Roman"/>
                <w:b/>
                <w:bCs/>
                <w:color w:val="auto"/>
                <w:kern w:val="0"/>
                <w:sz w:val="24"/>
                <w:szCs w:val="24"/>
              </w:rPr>
              <w:t>26</w:t>
            </w:r>
            <w:r>
              <w:rPr>
                <w:rFonts w:ascii="Times New Roman" w:hAnsi="Times New Roman" w:eastAsia="宋体" w:cs="Times New Roman"/>
                <w:b/>
                <w:bCs/>
                <w:color w:val="auto"/>
                <w:kern w:val="0"/>
                <w:sz w:val="24"/>
                <w:szCs w:val="24"/>
              </w:rPr>
              <w:fldChar w:fldCharType="end"/>
            </w:r>
            <w:r>
              <w:rPr>
                <w:rFonts w:ascii="Times New Roman" w:hAnsi="Times New Roman" w:eastAsia="宋体" w:cs="Times New Roman"/>
                <w:b/>
                <w:bCs/>
                <w:color w:val="auto"/>
                <w:kern w:val="0"/>
                <w:sz w:val="24"/>
                <w:szCs w:val="24"/>
              </w:rPr>
              <w:t xml:space="preserve"> </w:t>
            </w:r>
            <w:r>
              <w:rPr>
                <w:rFonts w:hint="eastAsia" w:ascii="Times New Roman" w:hAnsi="Times New Roman" w:eastAsia="宋体" w:cs="Times New Roman"/>
                <w:b/>
                <w:bCs/>
                <w:color w:val="auto"/>
                <w:kern w:val="0"/>
                <w:sz w:val="24"/>
                <w:szCs w:val="24"/>
                <w:lang w:val="en-US" w:eastAsia="zh-CN"/>
              </w:rPr>
              <w:t>恶臭6级分级法</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5918"/>
            </w:tblGrid>
            <w:tr w14:paraId="115F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0" w:type="pct"/>
                  <w:vAlign w:val="center"/>
                </w:tcPr>
                <w:p w14:paraId="0B22A281">
                  <w:pPr>
                    <w:adjustRightInd w:val="0"/>
                    <w:snapToGrid w:val="0"/>
                    <w:jc w:val="center"/>
                    <w:rPr>
                      <w:rFonts w:hint="default" w:eastAsia="宋体"/>
                      <w:b/>
                      <w:bCs/>
                      <w:color w:val="auto"/>
                      <w:szCs w:val="21"/>
                      <w:lang w:val="en-US" w:eastAsia="zh-CN"/>
                    </w:rPr>
                  </w:pPr>
                  <w:r>
                    <w:rPr>
                      <w:rFonts w:hint="eastAsia"/>
                      <w:b/>
                      <w:bCs/>
                      <w:color w:val="auto"/>
                      <w:szCs w:val="21"/>
                      <w:lang w:val="en-US" w:eastAsia="zh-CN"/>
                    </w:rPr>
                    <w:t>恶臭强度级</w:t>
                  </w:r>
                </w:p>
              </w:tc>
              <w:tc>
                <w:tcPr>
                  <w:tcW w:w="3479" w:type="pct"/>
                  <w:vAlign w:val="center"/>
                </w:tcPr>
                <w:p w14:paraId="35DB73FB">
                  <w:pPr>
                    <w:adjustRightInd w:val="0"/>
                    <w:snapToGrid w:val="0"/>
                    <w:jc w:val="center"/>
                    <w:rPr>
                      <w:rFonts w:hint="eastAsia" w:eastAsia="宋体"/>
                      <w:b/>
                      <w:bCs/>
                      <w:color w:val="auto"/>
                      <w:szCs w:val="21"/>
                      <w:lang w:val="en-US" w:eastAsia="zh-CN"/>
                    </w:rPr>
                  </w:pPr>
                  <w:r>
                    <w:rPr>
                      <w:rFonts w:hint="eastAsia"/>
                      <w:b/>
                      <w:bCs/>
                      <w:color w:val="auto"/>
                      <w:szCs w:val="21"/>
                      <w:lang w:val="en-US" w:eastAsia="zh-CN"/>
                    </w:rPr>
                    <w:t>特征</w:t>
                  </w:r>
                </w:p>
              </w:tc>
            </w:tr>
            <w:tr w14:paraId="334C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520" w:type="pct"/>
                  <w:vAlign w:val="center"/>
                </w:tcPr>
                <w:p w14:paraId="70D99662">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0级</w:t>
                  </w:r>
                </w:p>
              </w:tc>
              <w:tc>
                <w:tcPr>
                  <w:tcW w:w="3479" w:type="pct"/>
                  <w:vAlign w:val="center"/>
                </w:tcPr>
                <w:p w14:paraId="0E49DEDD">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未闻到有任何气味，无任何反应</w:t>
                  </w:r>
                </w:p>
              </w:tc>
            </w:tr>
            <w:tr w14:paraId="1A65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520" w:type="pct"/>
                  <w:vAlign w:val="center"/>
                </w:tcPr>
                <w:p w14:paraId="59532F0A">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1级</w:t>
                  </w:r>
                </w:p>
              </w:tc>
              <w:tc>
                <w:tcPr>
                  <w:tcW w:w="3479" w:type="pct"/>
                  <w:vAlign w:val="center"/>
                </w:tcPr>
                <w:p w14:paraId="6D69C38A">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勉强闻到气味，但不能辨认气味性质，认为无所谓</w:t>
                  </w:r>
                </w:p>
              </w:tc>
            </w:tr>
            <w:tr w14:paraId="0CC2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0" w:type="pct"/>
                  <w:vAlign w:val="center"/>
                </w:tcPr>
                <w:p w14:paraId="50831707">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2级</w:t>
                  </w:r>
                </w:p>
              </w:tc>
              <w:tc>
                <w:tcPr>
                  <w:tcW w:w="3479" w:type="pct"/>
                  <w:vAlign w:val="center"/>
                </w:tcPr>
                <w:p w14:paraId="468701AE">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能闻到气味，且能辨认气味性质，但感到正常</w:t>
                  </w:r>
                </w:p>
              </w:tc>
            </w:tr>
            <w:tr w14:paraId="0253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0" w:type="pct"/>
                  <w:vAlign w:val="center"/>
                </w:tcPr>
                <w:p w14:paraId="0B90F016">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3级</w:t>
                  </w:r>
                </w:p>
              </w:tc>
              <w:tc>
                <w:tcPr>
                  <w:tcW w:w="3479" w:type="pct"/>
                  <w:vAlign w:val="center"/>
                </w:tcPr>
                <w:p w14:paraId="7BC8920A">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很容易闻到气味，有所不快，但不反感</w:t>
                  </w:r>
                </w:p>
              </w:tc>
            </w:tr>
            <w:tr w14:paraId="5B4C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0" w:type="pct"/>
                  <w:vAlign w:val="center"/>
                </w:tcPr>
                <w:p w14:paraId="5DE59951">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4级</w:t>
                  </w:r>
                </w:p>
              </w:tc>
              <w:tc>
                <w:tcPr>
                  <w:tcW w:w="3479" w:type="pct"/>
                  <w:vAlign w:val="center"/>
                </w:tcPr>
                <w:p w14:paraId="4B79C7BD">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有很强的气味，而且很反感，想离开</w:t>
                  </w:r>
                </w:p>
              </w:tc>
            </w:tr>
            <w:tr w14:paraId="191B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0" w:type="pct"/>
                  <w:vAlign w:val="center"/>
                </w:tcPr>
                <w:p w14:paraId="10177A9A">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5级</w:t>
                  </w:r>
                </w:p>
              </w:tc>
              <w:tc>
                <w:tcPr>
                  <w:tcW w:w="3479" w:type="pct"/>
                  <w:vAlign w:val="center"/>
                </w:tcPr>
                <w:p w14:paraId="1F130E2C">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有极强的气味，无法忍受，立即逃跑</w:t>
                  </w:r>
                </w:p>
              </w:tc>
            </w:tr>
          </w:tbl>
          <w:p w14:paraId="69400819">
            <w:pPr>
              <w:widowControl/>
              <w:spacing w:line="360" w:lineRule="auto"/>
              <w:ind w:firstLine="480" w:firstLineChars="200"/>
              <w:jc w:val="left"/>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本项目异味气体随有机废气一并收集处理后引至排气筒高空排放，同时</w:t>
            </w:r>
            <w:r>
              <w:rPr>
                <w:rFonts w:hint="eastAsia" w:ascii="Times New Roman" w:hAnsi="Times New Roman" w:eastAsia="宋体" w:cs="Times New Roman"/>
                <w:color w:val="auto"/>
                <w:sz w:val="24"/>
                <w:szCs w:val="24"/>
              </w:rPr>
              <w:t>建设单位应通过加强生产车间通风换气，避免异味在车间积聚</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无组织排放的生产异味经车间强制通风换气等处理后，不会对车间生产和周围环境产生不良影响，能够满足《恶臭污染物排放标准》（</w:t>
            </w:r>
            <w:r>
              <w:rPr>
                <w:rFonts w:hint="default" w:ascii="Times New Roman" w:hAnsi="Times New Roman" w:eastAsia="宋体" w:cs="Times New Roman"/>
                <w:color w:val="auto"/>
                <w:sz w:val="24"/>
                <w:szCs w:val="24"/>
                <w:lang w:val="en-US" w:eastAsia="zh-CN"/>
              </w:rPr>
              <w:t>GB14554-93</w:t>
            </w:r>
            <w:r>
              <w:rPr>
                <w:rFonts w:hint="eastAsia" w:ascii="Times New Roman" w:hAnsi="Times New Roman" w:eastAsia="宋体" w:cs="Times New Roman"/>
                <w:color w:val="auto"/>
                <w:sz w:val="24"/>
                <w:szCs w:val="24"/>
                <w:lang w:val="en-US" w:eastAsia="zh-CN"/>
              </w:rPr>
              <w:t>）中表1</w:t>
            </w:r>
            <w:r>
              <w:rPr>
                <w:rFonts w:hint="eastAsia" w:cs="Times New Roman"/>
                <w:color w:val="auto"/>
                <w:sz w:val="24"/>
                <w:szCs w:val="24"/>
                <w:lang w:val="en-US" w:eastAsia="zh-CN"/>
              </w:rPr>
              <w:t>新扩改建</w:t>
            </w:r>
            <w:r>
              <w:rPr>
                <w:rFonts w:hint="eastAsia" w:ascii="Times New Roman" w:hAnsi="Times New Roman" w:eastAsia="宋体" w:cs="Times New Roman"/>
                <w:color w:val="auto"/>
                <w:sz w:val="24"/>
                <w:szCs w:val="24"/>
                <w:lang w:val="en-US" w:eastAsia="zh-CN"/>
              </w:rPr>
              <w:t>的二级标准和表2标准要求。</w:t>
            </w:r>
          </w:p>
          <w:p w14:paraId="1834AC26">
            <w:pPr>
              <w:widowControl/>
              <w:adjustRightInd w:val="0"/>
              <w:snapToGrid w:val="0"/>
              <w:spacing w:line="360" w:lineRule="auto"/>
              <w:ind w:firstLine="482" w:firstLineChars="200"/>
              <w:jc w:val="left"/>
              <w:rPr>
                <w:b/>
                <w:bCs/>
                <w:color w:val="auto"/>
                <w:sz w:val="24"/>
                <w:szCs w:val="24"/>
              </w:rPr>
            </w:pPr>
            <w:r>
              <w:rPr>
                <w:b/>
                <w:bCs/>
                <w:color w:val="auto"/>
                <w:sz w:val="24"/>
                <w:szCs w:val="24"/>
              </w:rPr>
              <w:t>（2）收集效率及处理效率</w:t>
            </w:r>
          </w:p>
          <w:p w14:paraId="37BCDBE3">
            <w:pPr>
              <w:pStyle w:val="89"/>
              <w:adjustRightInd w:val="0"/>
              <w:snapToGrid w:val="0"/>
              <w:spacing w:before="0" w:beforeLines="0"/>
              <w:ind w:firstLine="420"/>
              <w:rPr>
                <w:rFonts w:cs="Times New Roman"/>
                <w:color w:val="auto"/>
                <w:sz w:val="24"/>
                <w:szCs w:val="24"/>
              </w:rPr>
            </w:pPr>
            <w:r>
              <w:rPr>
                <w:rFonts w:cs="Times New Roman"/>
                <w:color w:val="auto"/>
                <w:sz w:val="24"/>
                <w:szCs w:val="24"/>
              </w:rPr>
              <w:t>收集效率：</w:t>
            </w:r>
          </w:p>
          <w:p w14:paraId="634C6223">
            <w:pPr>
              <w:pStyle w:val="89"/>
              <w:adjustRightInd w:val="0"/>
              <w:snapToGrid w:val="0"/>
              <w:spacing w:before="0" w:beforeLines="0"/>
              <w:ind w:firstLine="420"/>
              <w:rPr>
                <w:rFonts w:cs="Times New Roman"/>
                <w:color w:val="auto"/>
                <w:sz w:val="24"/>
                <w:szCs w:val="24"/>
              </w:rPr>
            </w:pPr>
            <w:r>
              <w:rPr>
                <w:rFonts w:cs="Times New Roman"/>
                <w:color w:val="auto"/>
                <w:sz w:val="24"/>
                <w:szCs w:val="24"/>
              </w:rPr>
              <w:t>本项目主要在成套生产线上设置密闭包围型集气罩进行收集，密闭包围型集气罩对喷药工序、灌装工序进行收集。密闭包围型集气罩将工序四周及上下进行包围，仅保留物料的进出口，密闭罩上设有集气管道，废气由抽风口被收集至废气处理设施。投料、</w:t>
            </w:r>
            <w:r>
              <w:rPr>
                <w:rFonts w:cs="Times New Roman"/>
                <w:color w:val="auto"/>
                <w:kern w:val="0"/>
                <w:sz w:val="24"/>
                <w:szCs w:val="24"/>
              </w:rPr>
              <w:t>插芯棒</w:t>
            </w:r>
            <w:r>
              <w:rPr>
                <w:rFonts w:cs="Times New Roman"/>
                <w:color w:val="auto"/>
                <w:sz w:val="24"/>
                <w:szCs w:val="24"/>
              </w:rPr>
              <w:t>工序产生的有机废气较少，在车间内无组织排放。</w:t>
            </w:r>
          </w:p>
          <w:p w14:paraId="045DCE48">
            <w:pPr>
              <w:pStyle w:val="89"/>
              <w:snapToGrid w:val="0"/>
              <w:spacing w:before="0" w:beforeLines="0"/>
              <w:ind w:firstLine="420"/>
              <w:rPr>
                <w:rFonts w:cs="Times New Roman"/>
                <w:color w:val="auto"/>
                <w:sz w:val="24"/>
                <w:szCs w:val="24"/>
              </w:rPr>
            </w:pPr>
            <w:r>
              <w:rPr>
                <w:rFonts w:cs="Times New Roman"/>
                <w:color w:val="auto"/>
                <w:sz w:val="24"/>
                <w:szCs w:val="24"/>
              </w:rPr>
              <w:t>根据《广东省工业源挥发性有机物减排量核算方法（2023年修订版）》中3.3-2废气收集集气效率参考值，本项目生产车间废气收集效率取65%。</w:t>
            </w:r>
          </w:p>
          <w:p w14:paraId="1DBF5369">
            <w:pPr>
              <w:pStyle w:val="142"/>
              <w:spacing w:line="360" w:lineRule="auto"/>
              <w:rPr>
                <w:rFonts w:ascii="Times New Roman" w:hAnsi="Times New Roman" w:eastAsia="宋体" w:cs="Times New Roman"/>
                <w:b/>
                <w:bCs/>
                <w:color w:val="auto"/>
                <w:kern w:val="0"/>
                <w:sz w:val="24"/>
                <w:szCs w:val="24"/>
              </w:rPr>
            </w:pPr>
            <w:r>
              <w:rPr>
                <w:rFonts w:ascii="Times New Roman" w:hAnsi="Times New Roman" w:eastAsia="宋体" w:cs="Times New Roman"/>
                <w:b/>
                <w:bCs/>
                <w:color w:val="auto"/>
                <w:kern w:val="0"/>
                <w:sz w:val="24"/>
                <w:szCs w:val="24"/>
              </w:rPr>
              <w:t>表</w:t>
            </w:r>
            <w:r>
              <w:rPr>
                <w:rFonts w:ascii="Times New Roman" w:hAnsi="Times New Roman" w:eastAsia="宋体" w:cs="Times New Roman"/>
                <w:b/>
                <w:bCs/>
                <w:color w:val="auto"/>
                <w:kern w:val="0"/>
                <w:sz w:val="24"/>
                <w:szCs w:val="24"/>
              </w:rPr>
              <w:fldChar w:fldCharType="begin"/>
            </w:r>
            <w:r>
              <w:rPr>
                <w:rFonts w:ascii="Times New Roman" w:hAnsi="Times New Roman" w:eastAsia="宋体" w:cs="Times New Roman"/>
                <w:b/>
                <w:bCs/>
                <w:color w:val="auto"/>
                <w:kern w:val="0"/>
                <w:sz w:val="24"/>
                <w:szCs w:val="24"/>
              </w:rPr>
              <w:instrText xml:space="preserve"> SEQ 表 \* ARABIC </w:instrText>
            </w:r>
            <w:r>
              <w:rPr>
                <w:rFonts w:ascii="Times New Roman" w:hAnsi="Times New Roman" w:eastAsia="宋体" w:cs="Times New Roman"/>
                <w:b/>
                <w:bCs/>
                <w:color w:val="auto"/>
                <w:kern w:val="0"/>
                <w:sz w:val="24"/>
                <w:szCs w:val="24"/>
              </w:rPr>
              <w:fldChar w:fldCharType="separate"/>
            </w:r>
            <w:r>
              <w:rPr>
                <w:rFonts w:ascii="Times New Roman" w:hAnsi="Times New Roman" w:eastAsia="宋体" w:cs="Times New Roman"/>
                <w:b/>
                <w:bCs/>
                <w:color w:val="auto"/>
                <w:kern w:val="0"/>
                <w:sz w:val="24"/>
                <w:szCs w:val="24"/>
              </w:rPr>
              <w:t>27</w:t>
            </w:r>
            <w:r>
              <w:rPr>
                <w:rFonts w:ascii="Times New Roman" w:hAnsi="Times New Roman" w:eastAsia="宋体" w:cs="Times New Roman"/>
                <w:b/>
                <w:bCs/>
                <w:color w:val="auto"/>
                <w:kern w:val="0"/>
                <w:sz w:val="24"/>
                <w:szCs w:val="24"/>
              </w:rPr>
              <w:fldChar w:fldCharType="end"/>
            </w:r>
            <w:r>
              <w:rPr>
                <w:rFonts w:ascii="Times New Roman" w:hAnsi="Times New Roman" w:eastAsia="宋体" w:cs="Times New Roman"/>
                <w:b/>
                <w:bCs/>
                <w:color w:val="auto"/>
                <w:kern w:val="0"/>
                <w:sz w:val="24"/>
                <w:szCs w:val="24"/>
              </w:rPr>
              <w:t xml:space="preserve"> 废气收集集气效率参考值</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2320"/>
              <w:gridCol w:w="4354"/>
              <w:gridCol w:w="1051"/>
            </w:tblGrid>
            <w:tr w14:paraId="09D0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pct"/>
                  <w:vAlign w:val="center"/>
                </w:tcPr>
                <w:p w14:paraId="4FEF9FE9">
                  <w:pPr>
                    <w:adjustRightInd w:val="0"/>
                    <w:snapToGrid w:val="0"/>
                    <w:jc w:val="center"/>
                    <w:rPr>
                      <w:b/>
                      <w:bCs/>
                      <w:color w:val="auto"/>
                      <w:szCs w:val="21"/>
                    </w:rPr>
                  </w:pPr>
                  <w:r>
                    <w:rPr>
                      <w:b/>
                      <w:bCs/>
                      <w:color w:val="auto"/>
                      <w:szCs w:val="21"/>
                    </w:rPr>
                    <w:t>废气收集类型</w:t>
                  </w:r>
                </w:p>
              </w:tc>
              <w:tc>
                <w:tcPr>
                  <w:tcW w:w="1364" w:type="pct"/>
                  <w:vAlign w:val="center"/>
                </w:tcPr>
                <w:p w14:paraId="36D69366">
                  <w:pPr>
                    <w:adjustRightInd w:val="0"/>
                    <w:snapToGrid w:val="0"/>
                    <w:jc w:val="center"/>
                    <w:rPr>
                      <w:b/>
                      <w:bCs/>
                      <w:color w:val="auto"/>
                      <w:szCs w:val="21"/>
                    </w:rPr>
                  </w:pPr>
                  <w:r>
                    <w:rPr>
                      <w:b/>
                      <w:bCs/>
                      <w:color w:val="auto"/>
                      <w:szCs w:val="21"/>
                    </w:rPr>
                    <w:t>废气收集方式</w:t>
                  </w:r>
                </w:p>
              </w:tc>
              <w:tc>
                <w:tcPr>
                  <w:tcW w:w="2560" w:type="pct"/>
                  <w:vAlign w:val="center"/>
                </w:tcPr>
                <w:p w14:paraId="60E17D27">
                  <w:pPr>
                    <w:adjustRightInd w:val="0"/>
                    <w:snapToGrid w:val="0"/>
                    <w:jc w:val="center"/>
                    <w:rPr>
                      <w:b/>
                      <w:bCs/>
                      <w:color w:val="auto"/>
                      <w:szCs w:val="21"/>
                    </w:rPr>
                  </w:pPr>
                  <w:r>
                    <w:rPr>
                      <w:b/>
                      <w:bCs/>
                      <w:color w:val="auto"/>
                      <w:szCs w:val="21"/>
                    </w:rPr>
                    <w:t>情况说明</w:t>
                  </w:r>
                </w:p>
              </w:tc>
              <w:tc>
                <w:tcPr>
                  <w:tcW w:w="616" w:type="pct"/>
                  <w:vAlign w:val="center"/>
                </w:tcPr>
                <w:p w14:paraId="458B3DD9">
                  <w:pPr>
                    <w:adjustRightInd w:val="0"/>
                    <w:snapToGrid w:val="0"/>
                    <w:jc w:val="center"/>
                    <w:rPr>
                      <w:b/>
                      <w:bCs/>
                      <w:color w:val="auto"/>
                      <w:szCs w:val="21"/>
                    </w:rPr>
                  </w:pPr>
                  <w:r>
                    <w:rPr>
                      <w:b/>
                      <w:bCs/>
                      <w:color w:val="auto"/>
                      <w:szCs w:val="21"/>
                    </w:rPr>
                    <w:t>集气效率（%）</w:t>
                  </w:r>
                </w:p>
              </w:tc>
            </w:tr>
            <w:tr w14:paraId="2D15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58" w:type="pct"/>
                  <w:vMerge w:val="restart"/>
                  <w:vAlign w:val="center"/>
                </w:tcPr>
                <w:p w14:paraId="2161929B">
                  <w:pPr>
                    <w:adjustRightInd w:val="0"/>
                    <w:snapToGrid w:val="0"/>
                    <w:jc w:val="center"/>
                    <w:rPr>
                      <w:color w:val="auto"/>
                      <w:szCs w:val="21"/>
                    </w:rPr>
                  </w:pPr>
                  <w:r>
                    <w:rPr>
                      <w:color w:val="auto"/>
                      <w:szCs w:val="21"/>
                    </w:rPr>
                    <w:t>全密封设备/空间</w:t>
                  </w:r>
                </w:p>
              </w:tc>
              <w:tc>
                <w:tcPr>
                  <w:tcW w:w="1364" w:type="pct"/>
                  <w:vAlign w:val="center"/>
                </w:tcPr>
                <w:p w14:paraId="374200ED">
                  <w:pPr>
                    <w:adjustRightInd w:val="0"/>
                    <w:snapToGrid w:val="0"/>
                    <w:jc w:val="center"/>
                    <w:rPr>
                      <w:color w:val="auto"/>
                      <w:szCs w:val="21"/>
                    </w:rPr>
                  </w:pPr>
                  <w:r>
                    <w:rPr>
                      <w:color w:val="auto"/>
                      <w:szCs w:val="21"/>
                    </w:rPr>
                    <w:t>单层密闭负压</w:t>
                  </w:r>
                </w:p>
              </w:tc>
              <w:tc>
                <w:tcPr>
                  <w:tcW w:w="2560" w:type="pct"/>
                  <w:vAlign w:val="center"/>
                </w:tcPr>
                <w:p w14:paraId="7A2A5BE9">
                  <w:pPr>
                    <w:adjustRightInd w:val="0"/>
                    <w:snapToGrid w:val="0"/>
                    <w:jc w:val="center"/>
                    <w:rPr>
                      <w:color w:val="auto"/>
                      <w:szCs w:val="21"/>
                    </w:rPr>
                  </w:pPr>
                  <w:r>
                    <w:rPr>
                      <w:color w:val="auto"/>
                      <w:szCs w:val="21"/>
                      <w:lang w:val="zh-CN"/>
                    </w:rPr>
                    <w:t>VOCs产生源设置在密闭车间、密闭设备（含反应釜)、密闭管道内，所有开口处，包括人员或物料进出口处呈负压</w:t>
                  </w:r>
                </w:p>
              </w:tc>
              <w:tc>
                <w:tcPr>
                  <w:tcW w:w="616" w:type="pct"/>
                  <w:vAlign w:val="center"/>
                </w:tcPr>
                <w:p w14:paraId="4614F55A">
                  <w:pPr>
                    <w:adjustRightInd w:val="0"/>
                    <w:snapToGrid w:val="0"/>
                    <w:jc w:val="center"/>
                    <w:rPr>
                      <w:color w:val="auto"/>
                      <w:szCs w:val="21"/>
                    </w:rPr>
                  </w:pPr>
                  <w:r>
                    <w:rPr>
                      <w:color w:val="auto"/>
                      <w:szCs w:val="21"/>
                    </w:rPr>
                    <w:t>90</w:t>
                  </w:r>
                </w:p>
              </w:tc>
            </w:tr>
            <w:tr w14:paraId="3825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pct"/>
                  <w:vMerge w:val="continue"/>
                  <w:vAlign w:val="center"/>
                </w:tcPr>
                <w:p w14:paraId="262AFBAF">
                  <w:pPr>
                    <w:adjustRightInd w:val="0"/>
                    <w:snapToGrid w:val="0"/>
                    <w:jc w:val="center"/>
                    <w:rPr>
                      <w:color w:val="auto"/>
                      <w:szCs w:val="21"/>
                    </w:rPr>
                  </w:pPr>
                </w:p>
              </w:tc>
              <w:tc>
                <w:tcPr>
                  <w:tcW w:w="1364" w:type="pct"/>
                  <w:vAlign w:val="center"/>
                </w:tcPr>
                <w:p w14:paraId="5A064290">
                  <w:pPr>
                    <w:adjustRightInd w:val="0"/>
                    <w:snapToGrid w:val="0"/>
                    <w:jc w:val="center"/>
                    <w:rPr>
                      <w:color w:val="auto"/>
                      <w:szCs w:val="21"/>
                    </w:rPr>
                  </w:pPr>
                  <w:r>
                    <w:rPr>
                      <w:color w:val="auto"/>
                      <w:szCs w:val="21"/>
                    </w:rPr>
                    <w:t>单层密闭正压</w:t>
                  </w:r>
                </w:p>
              </w:tc>
              <w:tc>
                <w:tcPr>
                  <w:tcW w:w="2560" w:type="pct"/>
                  <w:vAlign w:val="center"/>
                </w:tcPr>
                <w:p w14:paraId="3D346DEC">
                  <w:pPr>
                    <w:adjustRightInd w:val="0"/>
                    <w:snapToGrid w:val="0"/>
                    <w:jc w:val="center"/>
                    <w:rPr>
                      <w:color w:val="auto"/>
                      <w:szCs w:val="21"/>
                    </w:rPr>
                  </w:pPr>
                  <w:r>
                    <w:rPr>
                      <w:color w:val="auto"/>
                      <w:szCs w:val="21"/>
                      <w:lang w:val="zh-CN"/>
                    </w:rPr>
                    <w:t>VOCs产生源设置在密闭车间内，所有开口处，包括人员或物料进出口处呈正压，且无明显泄漏点</w:t>
                  </w:r>
                </w:p>
              </w:tc>
              <w:tc>
                <w:tcPr>
                  <w:tcW w:w="616" w:type="pct"/>
                  <w:vAlign w:val="center"/>
                </w:tcPr>
                <w:p w14:paraId="1F69C7E2">
                  <w:pPr>
                    <w:adjustRightInd w:val="0"/>
                    <w:snapToGrid w:val="0"/>
                    <w:jc w:val="center"/>
                    <w:rPr>
                      <w:color w:val="auto"/>
                      <w:szCs w:val="21"/>
                    </w:rPr>
                  </w:pPr>
                  <w:r>
                    <w:rPr>
                      <w:color w:val="auto"/>
                      <w:szCs w:val="21"/>
                    </w:rPr>
                    <w:t>80</w:t>
                  </w:r>
                </w:p>
              </w:tc>
            </w:tr>
            <w:tr w14:paraId="719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pct"/>
                  <w:vMerge w:val="continue"/>
                  <w:vAlign w:val="center"/>
                </w:tcPr>
                <w:p w14:paraId="23AADBFA">
                  <w:pPr>
                    <w:adjustRightInd w:val="0"/>
                    <w:snapToGrid w:val="0"/>
                    <w:jc w:val="center"/>
                    <w:rPr>
                      <w:color w:val="auto"/>
                      <w:szCs w:val="21"/>
                    </w:rPr>
                  </w:pPr>
                </w:p>
              </w:tc>
              <w:tc>
                <w:tcPr>
                  <w:tcW w:w="1364" w:type="pct"/>
                  <w:vAlign w:val="center"/>
                </w:tcPr>
                <w:p w14:paraId="6CC5CEF3">
                  <w:pPr>
                    <w:adjustRightInd w:val="0"/>
                    <w:snapToGrid w:val="0"/>
                    <w:jc w:val="center"/>
                    <w:rPr>
                      <w:color w:val="auto"/>
                      <w:szCs w:val="21"/>
                    </w:rPr>
                  </w:pPr>
                  <w:r>
                    <w:rPr>
                      <w:color w:val="auto"/>
                      <w:szCs w:val="21"/>
                    </w:rPr>
                    <w:t>双层密闭空间</w:t>
                  </w:r>
                </w:p>
              </w:tc>
              <w:tc>
                <w:tcPr>
                  <w:tcW w:w="2560" w:type="pct"/>
                  <w:vAlign w:val="center"/>
                </w:tcPr>
                <w:p w14:paraId="7BA124E7">
                  <w:pPr>
                    <w:adjustRightInd w:val="0"/>
                    <w:snapToGrid w:val="0"/>
                    <w:jc w:val="center"/>
                    <w:rPr>
                      <w:color w:val="auto"/>
                      <w:szCs w:val="21"/>
                    </w:rPr>
                  </w:pPr>
                  <w:r>
                    <w:rPr>
                      <w:color w:val="auto"/>
                      <w:szCs w:val="21"/>
                    </w:rPr>
                    <w:t>内层空间密闭正压，外层空间密闭负压</w:t>
                  </w:r>
                </w:p>
              </w:tc>
              <w:tc>
                <w:tcPr>
                  <w:tcW w:w="616" w:type="pct"/>
                  <w:vAlign w:val="center"/>
                </w:tcPr>
                <w:p w14:paraId="7011B005">
                  <w:pPr>
                    <w:adjustRightInd w:val="0"/>
                    <w:snapToGrid w:val="0"/>
                    <w:jc w:val="center"/>
                    <w:rPr>
                      <w:color w:val="auto"/>
                      <w:szCs w:val="21"/>
                    </w:rPr>
                  </w:pPr>
                  <w:r>
                    <w:rPr>
                      <w:color w:val="auto"/>
                      <w:szCs w:val="21"/>
                    </w:rPr>
                    <w:t>98</w:t>
                  </w:r>
                </w:p>
              </w:tc>
            </w:tr>
            <w:tr w14:paraId="1870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pct"/>
                  <w:vMerge w:val="continue"/>
                  <w:vAlign w:val="center"/>
                </w:tcPr>
                <w:p w14:paraId="54AA9538">
                  <w:pPr>
                    <w:adjustRightInd w:val="0"/>
                    <w:snapToGrid w:val="0"/>
                    <w:jc w:val="center"/>
                    <w:rPr>
                      <w:color w:val="auto"/>
                      <w:szCs w:val="21"/>
                    </w:rPr>
                  </w:pPr>
                </w:p>
              </w:tc>
              <w:tc>
                <w:tcPr>
                  <w:tcW w:w="1364" w:type="pct"/>
                  <w:vAlign w:val="center"/>
                </w:tcPr>
                <w:p w14:paraId="2F2B725E">
                  <w:pPr>
                    <w:adjustRightInd w:val="0"/>
                    <w:snapToGrid w:val="0"/>
                    <w:jc w:val="center"/>
                    <w:rPr>
                      <w:color w:val="auto"/>
                      <w:szCs w:val="21"/>
                    </w:rPr>
                  </w:pPr>
                  <w:r>
                    <w:rPr>
                      <w:color w:val="auto"/>
                      <w:szCs w:val="21"/>
                    </w:rPr>
                    <w:t>设备废气排口直连</w:t>
                  </w:r>
                </w:p>
              </w:tc>
              <w:tc>
                <w:tcPr>
                  <w:tcW w:w="2560" w:type="pct"/>
                  <w:vAlign w:val="center"/>
                </w:tcPr>
                <w:p w14:paraId="30CF3EA4">
                  <w:pPr>
                    <w:adjustRightInd w:val="0"/>
                    <w:snapToGrid w:val="0"/>
                    <w:jc w:val="center"/>
                    <w:rPr>
                      <w:color w:val="auto"/>
                      <w:szCs w:val="21"/>
                    </w:rPr>
                  </w:pPr>
                  <w:r>
                    <w:rPr>
                      <w:color w:val="auto"/>
                      <w:szCs w:val="21"/>
                      <w:lang w:val="zh-CN"/>
                    </w:rPr>
                    <w:t>设备有固定排放管(或口)直接与风管连接，设备整体密闭只留产品进出口，且进出口处有废气收集措施，收集系统运行时周边基本无VOCs散发</w:t>
                  </w:r>
                </w:p>
              </w:tc>
              <w:tc>
                <w:tcPr>
                  <w:tcW w:w="616" w:type="pct"/>
                  <w:vAlign w:val="center"/>
                </w:tcPr>
                <w:p w14:paraId="19A2DFCA">
                  <w:pPr>
                    <w:adjustRightInd w:val="0"/>
                    <w:snapToGrid w:val="0"/>
                    <w:jc w:val="center"/>
                    <w:rPr>
                      <w:color w:val="auto"/>
                      <w:szCs w:val="21"/>
                    </w:rPr>
                  </w:pPr>
                  <w:r>
                    <w:rPr>
                      <w:color w:val="auto"/>
                      <w:szCs w:val="21"/>
                    </w:rPr>
                    <w:t>95</w:t>
                  </w:r>
                </w:p>
              </w:tc>
            </w:tr>
            <w:tr w14:paraId="32BF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458" w:type="pct"/>
                  <w:vMerge w:val="restart"/>
                  <w:vAlign w:val="center"/>
                </w:tcPr>
                <w:p w14:paraId="1C404B89">
                  <w:pPr>
                    <w:adjustRightInd w:val="0"/>
                    <w:snapToGrid w:val="0"/>
                    <w:jc w:val="center"/>
                    <w:rPr>
                      <w:color w:val="auto"/>
                      <w:szCs w:val="21"/>
                    </w:rPr>
                  </w:pPr>
                  <w:r>
                    <w:rPr>
                      <w:color w:val="auto"/>
                      <w:szCs w:val="21"/>
                    </w:rPr>
                    <w:t>半密闭型集气设备（含排气柜）</w:t>
                  </w:r>
                </w:p>
              </w:tc>
              <w:tc>
                <w:tcPr>
                  <w:tcW w:w="1364" w:type="pct"/>
                  <w:vMerge w:val="restart"/>
                  <w:vAlign w:val="center"/>
                </w:tcPr>
                <w:p w14:paraId="699E7F90">
                  <w:pPr>
                    <w:adjustRightInd w:val="0"/>
                    <w:snapToGrid w:val="0"/>
                    <w:jc w:val="center"/>
                    <w:rPr>
                      <w:color w:val="auto"/>
                      <w:szCs w:val="21"/>
                    </w:rPr>
                  </w:pPr>
                  <w:r>
                    <w:rPr>
                      <w:color w:val="auto"/>
                      <w:szCs w:val="21"/>
                    </w:rPr>
                    <w:t>污染物产生点（或生产设施)四周及上下有围挡设施，符合以下两种情况：</w:t>
                  </w:r>
                </w:p>
                <w:p w14:paraId="0090AB61">
                  <w:pPr>
                    <w:adjustRightInd w:val="0"/>
                    <w:snapToGrid w:val="0"/>
                    <w:jc w:val="center"/>
                    <w:rPr>
                      <w:color w:val="auto"/>
                      <w:szCs w:val="21"/>
                    </w:rPr>
                  </w:pPr>
                  <w:r>
                    <w:rPr>
                      <w:color w:val="auto"/>
                      <w:szCs w:val="21"/>
                    </w:rPr>
                    <w:t>1、仅保留1个操作工位面；</w:t>
                  </w:r>
                </w:p>
                <w:p w14:paraId="490B6993">
                  <w:pPr>
                    <w:adjustRightInd w:val="0"/>
                    <w:snapToGrid w:val="0"/>
                    <w:jc w:val="center"/>
                    <w:rPr>
                      <w:color w:val="auto"/>
                      <w:szCs w:val="21"/>
                    </w:rPr>
                  </w:pPr>
                  <w:r>
                    <w:rPr>
                      <w:color w:val="auto"/>
                      <w:szCs w:val="21"/>
                    </w:rPr>
                    <w:t>2、仅保留物料进出通道，通道敞开面小于1个操作工位面。</w:t>
                  </w:r>
                </w:p>
              </w:tc>
              <w:tc>
                <w:tcPr>
                  <w:tcW w:w="2560" w:type="pct"/>
                  <w:vAlign w:val="center"/>
                </w:tcPr>
                <w:p w14:paraId="55DE153A">
                  <w:pPr>
                    <w:adjustRightInd w:val="0"/>
                    <w:snapToGrid w:val="0"/>
                    <w:jc w:val="center"/>
                    <w:rPr>
                      <w:color w:val="auto"/>
                      <w:szCs w:val="21"/>
                    </w:rPr>
                  </w:pPr>
                  <w:r>
                    <w:rPr>
                      <w:color w:val="auto"/>
                      <w:szCs w:val="21"/>
                    </w:rPr>
                    <w:t>敞开面控制风速不小于0.3m/s</w:t>
                  </w:r>
                </w:p>
              </w:tc>
              <w:tc>
                <w:tcPr>
                  <w:tcW w:w="616" w:type="pct"/>
                  <w:vAlign w:val="center"/>
                </w:tcPr>
                <w:p w14:paraId="43E13BCB">
                  <w:pPr>
                    <w:adjustRightInd w:val="0"/>
                    <w:snapToGrid w:val="0"/>
                    <w:jc w:val="center"/>
                    <w:rPr>
                      <w:color w:val="auto"/>
                      <w:szCs w:val="21"/>
                    </w:rPr>
                  </w:pPr>
                  <w:r>
                    <w:rPr>
                      <w:color w:val="auto"/>
                      <w:szCs w:val="21"/>
                    </w:rPr>
                    <w:t>65</w:t>
                  </w:r>
                </w:p>
              </w:tc>
            </w:tr>
            <w:tr w14:paraId="2B77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458" w:type="pct"/>
                  <w:vMerge w:val="continue"/>
                  <w:vAlign w:val="center"/>
                </w:tcPr>
                <w:p w14:paraId="0131BCA4">
                  <w:pPr>
                    <w:adjustRightInd w:val="0"/>
                    <w:snapToGrid w:val="0"/>
                    <w:jc w:val="center"/>
                    <w:rPr>
                      <w:color w:val="auto"/>
                      <w:szCs w:val="21"/>
                    </w:rPr>
                  </w:pPr>
                </w:p>
              </w:tc>
              <w:tc>
                <w:tcPr>
                  <w:tcW w:w="1364" w:type="pct"/>
                  <w:vMerge w:val="continue"/>
                  <w:vAlign w:val="center"/>
                </w:tcPr>
                <w:p w14:paraId="6C1E8A23">
                  <w:pPr>
                    <w:adjustRightInd w:val="0"/>
                    <w:snapToGrid w:val="0"/>
                    <w:jc w:val="center"/>
                    <w:rPr>
                      <w:color w:val="auto"/>
                      <w:szCs w:val="21"/>
                    </w:rPr>
                  </w:pPr>
                </w:p>
              </w:tc>
              <w:tc>
                <w:tcPr>
                  <w:tcW w:w="2560" w:type="pct"/>
                  <w:vAlign w:val="center"/>
                </w:tcPr>
                <w:p w14:paraId="6AA64125">
                  <w:pPr>
                    <w:adjustRightInd w:val="0"/>
                    <w:snapToGrid w:val="0"/>
                    <w:jc w:val="center"/>
                    <w:rPr>
                      <w:color w:val="auto"/>
                      <w:szCs w:val="21"/>
                    </w:rPr>
                  </w:pPr>
                  <w:r>
                    <w:rPr>
                      <w:color w:val="auto"/>
                      <w:szCs w:val="21"/>
                    </w:rPr>
                    <w:t>敞开面控制风速不小于0.3m/s</w:t>
                  </w:r>
                </w:p>
              </w:tc>
              <w:tc>
                <w:tcPr>
                  <w:tcW w:w="616" w:type="pct"/>
                  <w:vAlign w:val="center"/>
                </w:tcPr>
                <w:p w14:paraId="071E2B7F">
                  <w:pPr>
                    <w:adjustRightInd w:val="0"/>
                    <w:snapToGrid w:val="0"/>
                    <w:jc w:val="center"/>
                    <w:rPr>
                      <w:color w:val="auto"/>
                      <w:szCs w:val="21"/>
                    </w:rPr>
                  </w:pPr>
                  <w:r>
                    <w:rPr>
                      <w:color w:val="auto"/>
                      <w:szCs w:val="21"/>
                    </w:rPr>
                    <w:t>0</w:t>
                  </w:r>
                </w:p>
              </w:tc>
            </w:tr>
            <w:tr w14:paraId="3D98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458" w:type="pct"/>
                  <w:vMerge w:val="restart"/>
                  <w:vAlign w:val="center"/>
                </w:tcPr>
                <w:p w14:paraId="1B12FF46">
                  <w:pPr>
                    <w:adjustRightInd w:val="0"/>
                    <w:snapToGrid w:val="0"/>
                    <w:jc w:val="center"/>
                    <w:rPr>
                      <w:color w:val="auto"/>
                      <w:szCs w:val="21"/>
                    </w:rPr>
                  </w:pPr>
                  <w:r>
                    <w:rPr>
                      <w:color w:val="auto"/>
                      <w:szCs w:val="21"/>
                    </w:rPr>
                    <w:t>包围型集气设备</w:t>
                  </w:r>
                </w:p>
              </w:tc>
              <w:tc>
                <w:tcPr>
                  <w:tcW w:w="1364" w:type="pct"/>
                  <w:vMerge w:val="restart"/>
                  <w:vAlign w:val="center"/>
                </w:tcPr>
                <w:p w14:paraId="42D7D687">
                  <w:pPr>
                    <w:adjustRightInd w:val="0"/>
                    <w:snapToGrid w:val="0"/>
                    <w:jc w:val="center"/>
                    <w:rPr>
                      <w:color w:val="auto"/>
                      <w:szCs w:val="21"/>
                    </w:rPr>
                  </w:pPr>
                  <w:r>
                    <w:rPr>
                      <w:color w:val="auto"/>
                      <w:szCs w:val="21"/>
                    </w:rPr>
                    <w:t>通过软质垂帘四周围挡（偶有部分敞开）</w:t>
                  </w:r>
                </w:p>
              </w:tc>
              <w:tc>
                <w:tcPr>
                  <w:tcW w:w="2560" w:type="pct"/>
                  <w:vAlign w:val="center"/>
                </w:tcPr>
                <w:p w14:paraId="6D4DD86D">
                  <w:pPr>
                    <w:adjustRightInd w:val="0"/>
                    <w:snapToGrid w:val="0"/>
                    <w:jc w:val="center"/>
                    <w:rPr>
                      <w:color w:val="auto"/>
                      <w:szCs w:val="21"/>
                    </w:rPr>
                  </w:pPr>
                  <w:r>
                    <w:rPr>
                      <w:color w:val="auto"/>
                      <w:szCs w:val="21"/>
                    </w:rPr>
                    <w:t>敞开面控制风速不小于0.3m/s</w:t>
                  </w:r>
                </w:p>
              </w:tc>
              <w:tc>
                <w:tcPr>
                  <w:tcW w:w="616" w:type="pct"/>
                  <w:vAlign w:val="center"/>
                </w:tcPr>
                <w:p w14:paraId="5E74B034">
                  <w:pPr>
                    <w:adjustRightInd w:val="0"/>
                    <w:snapToGrid w:val="0"/>
                    <w:jc w:val="center"/>
                    <w:rPr>
                      <w:color w:val="auto"/>
                      <w:szCs w:val="21"/>
                    </w:rPr>
                  </w:pPr>
                  <w:r>
                    <w:rPr>
                      <w:color w:val="auto"/>
                      <w:szCs w:val="21"/>
                    </w:rPr>
                    <w:t>50</w:t>
                  </w:r>
                </w:p>
              </w:tc>
            </w:tr>
            <w:tr w14:paraId="2AEE3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458" w:type="pct"/>
                  <w:vMerge w:val="continue"/>
                  <w:vAlign w:val="center"/>
                </w:tcPr>
                <w:p w14:paraId="21C81905">
                  <w:pPr>
                    <w:adjustRightInd w:val="0"/>
                    <w:snapToGrid w:val="0"/>
                    <w:jc w:val="center"/>
                    <w:rPr>
                      <w:color w:val="auto"/>
                      <w:szCs w:val="21"/>
                    </w:rPr>
                  </w:pPr>
                </w:p>
              </w:tc>
              <w:tc>
                <w:tcPr>
                  <w:tcW w:w="1364" w:type="pct"/>
                  <w:vMerge w:val="continue"/>
                  <w:vAlign w:val="center"/>
                </w:tcPr>
                <w:p w14:paraId="1474A884">
                  <w:pPr>
                    <w:adjustRightInd w:val="0"/>
                    <w:snapToGrid w:val="0"/>
                    <w:jc w:val="center"/>
                    <w:rPr>
                      <w:color w:val="auto"/>
                      <w:szCs w:val="21"/>
                    </w:rPr>
                  </w:pPr>
                </w:p>
              </w:tc>
              <w:tc>
                <w:tcPr>
                  <w:tcW w:w="2560" w:type="pct"/>
                  <w:vAlign w:val="center"/>
                </w:tcPr>
                <w:p w14:paraId="5A717F4E">
                  <w:pPr>
                    <w:adjustRightInd w:val="0"/>
                    <w:snapToGrid w:val="0"/>
                    <w:jc w:val="center"/>
                    <w:rPr>
                      <w:color w:val="auto"/>
                      <w:szCs w:val="21"/>
                    </w:rPr>
                  </w:pPr>
                  <w:r>
                    <w:rPr>
                      <w:color w:val="auto"/>
                      <w:szCs w:val="21"/>
                    </w:rPr>
                    <w:t>敞开面控制风速小于0.3m/s</w:t>
                  </w:r>
                </w:p>
              </w:tc>
              <w:tc>
                <w:tcPr>
                  <w:tcW w:w="616" w:type="pct"/>
                  <w:vAlign w:val="center"/>
                </w:tcPr>
                <w:p w14:paraId="4F2DCBBF">
                  <w:pPr>
                    <w:adjustRightInd w:val="0"/>
                    <w:snapToGrid w:val="0"/>
                    <w:jc w:val="center"/>
                    <w:rPr>
                      <w:color w:val="auto"/>
                      <w:szCs w:val="21"/>
                    </w:rPr>
                  </w:pPr>
                  <w:r>
                    <w:rPr>
                      <w:color w:val="auto"/>
                      <w:szCs w:val="21"/>
                    </w:rPr>
                    <w:t>0</w:t>
                  </w:r>
                </w:p>
              </w:tc>
            </w:tr>
            <w:tr w14:paraId="0170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458" w:type="pct"/>
                  <w:vMerge w:val="restart"/>
                  <w:vAlign w:val="center"/>
                </w:tcPr>
                <w:p w14:paraId="0F57819A">
                  <w:pPr>
                    <w:adjustRightInd w:val="0"/>
                    <w:snapToGrid w:val="0"/>
                    <w:jc w:val="center"/>
                    <w:rPr>
                      <w:color w:val="auto"/>
                      <w:szCs w:val="21"/>
                    </w:rPr>
                  </w:pPr>
                  <w:r>
                    <w:rPr>
                      <w:color w:val="auto"/>
                      <w:szCs w:val="21"/>
                    </w:rPr>
                    <w:t>外部型集气设备</w:t>
                  </w:r>
                </w:p>
              </w:tc>
              <w:tc>
                <w:tcPr>
                  <w:tcW w:w="1364" w:type="pct"/>
                  <w:vMerge w:val="restart"/>
                  <w:vAlign w:val="center"/>
                </w:tcPr>
                <w:p w14:paraId="2B139836">
                  <w:pPr>
                    <w:adjustRightInd w:val="0"/>
                    <w:snapToGrid w:val="0"/>
                    <w:jc w:val="center"/>
                    <w:rPr>
                      <w:color w:val="auto"/>
                      <w:szCs w:val="21"/>
                    </w:rPr>
                  </w:pPr>
                  <w:r>
                    <w:rPr>
                      <w:color w:val="auto"/>
                      <w:szCs w:val="21"/>
                    </w:rPr>
                    <w:t>——</w:t>
                  </w:r>
                </w:p>
              </w:tc>
              <w:tc>
                <w:tcPr>
                  <w:tcW w:w="2560" w:type="pct"/>
                  <w:vAlign w:val="center"/>
                </w:tcPr>
                <w:p w14:paraId="29C309FD">
                  <w:pPr>
                    <w:adjustRightInd w:val="0"/>
                    <w:snapToGrid w:val="0"/>
                    <w:jc w:val="center"/>
                    <w:rPr>
                      <w:color w:val="auto"/>
                      <w:szCs w:val="21"/>
                    </w:rPr>
                  </w:pPr>
                  <w:r>
                    <w:rPr>
                      <w:color w:val="auto"/>
                      <w:szCs w:val="21"/>
                    </w:rPr>
                    <w:t>相应工位所有VOCs逸散点控制风速不小于0.3m/s</w:t>
                  </w:r>
                </w:p>
              </w:tc>
              <w:tc>
                <w:tcPr>
                  <w:tcW w:w="616" w:type="pct"/>
                  <w:vAlign w:val="center"/>
                </w:tcPr>
                <w:p w14:paraId="3A62F57E">
                  <w:pPr>
                    <w:adjustRightInd w:val="0"/>
                    <w:snapToGrid w:val="0"/>
                    <w:jc w:val="center"/>
                    <w:rPr>
                      <w:color w:val="auto"/>
                      <w:szCs w:val="21"/>
                    </w:rPr>
                  </w:pPr>
                  <w:r>
                    <w:rPr>
                      <w:color w:val="auto"/>
                      <w:szCs w:val="21"/>
                    </w:rPr>
                    <w:t>30</w:t>
                  </w:r>
                </w:p>
              </w:tc>
            </w:tr>
            <w:tr w14:paraId="3A9B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458" w:type="pct"/>
                  <w:vMerge w:val="continue"/>
                  <w:vAlign w:val="center"/>
                </w:tcPr>
                <w:p w14:paraId="5D9BDDB9">
                  <w:pPr>
                    <w:adjustRightInd w:val="0"/>
                    <w:snapToGrid w:val="0"/>
                    <w:jc w:val="center"/>
                    <w:rPr>
                      <w:color w:val="auto"/>
                      <w:szCs w:val="21"/>
                    </w:rPr>
                  </w:pPr>
                </w:p>
              </w:tc>
              <w:tc>
                <w:tcPr>
                  <w:tcW w:w="1364" w:type="pct"/>
                  <w:vMerge w:val="continue"/>
                  <w:vAlign w:val="center"/>
                </w:tcPr>
                <w:p w14:paraId="3F95E33E">
                  <w:pPr>
                    <w:adjustRightInd w:val="0"/>
                    <w:snapToGrid w:val="0"/>
                    <w:jc w:val="center"/>
                    <w:rPr>
                      <w:color w:val="auto"/>
                      <w:szCs w:val="21"/>
                    </w:rPr>
                  </w:pPr>
                </w:p>
              </w:tc>
              <w:tc>
                <w:tcPr>
                  <w:tcW w:w="2560" w:type="pct"/>
                  <w:vAlign w:val="center"/>
                </w:tcPr>
                <w:p w14:paraId="743B8914">
                  <w:pPr>
                    <w:adjustRightInd w:val="0"/>
                    <w:snapToGrid w:val="0"/>
                    <w:jc w:val="center"/>
                    <w:rPr>
                      <w:color w:val="auto"/>
                      <w:szCs w:val="21"/>
                    </w:rPr>
                  </w:pPr>
                  <w:r>
                    <w:rPr>
                      <w:color w:val="auto"/>
                      <w:szCs w:val="21"/>
                    </w:rPr>
                    <w:t>相应工位存在VOCs逸散点控制风速小于0.3m/s，或存在强对流干扰</w:t>
                  </w:r>
                </w:p>
              </w:tc>
              <w:tc>
                <w:tcPr>
                  <w:tcW w:w="616" w:type="pct"/>
                  <w:vAlign w:val="center"/>
                </w:tcPr>
                <w:p w14:paraId="2B06B004">
                  <w:pPr>
                    <w:adjustRightInd w:val="0"/>
                    <w:snapToGrid w:val="0"/>
                    <w:jc w:val="center"/>
                    <w:rPr>
                      <w:color w:val="auto"/>
                      <w:szCs w:val="21"/>
                    </w:rPr>
                  </w:pPr>
                  <w:r>
                    <w:rPr>
                      <w:color w:val="auto"/>
                      <w:szCs w:val="21"/>
                    </w:rPr>
                    <w:t>0</w:t>
                  </w:r>
                </w:p>
              </w:tc>
            </w:tr>
            <w:tr w14:paraId="4F67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pct"/>
                  <w:vAlign w:val="center"/>
                </w:tcPr>
                <w:p w14:paraId="71A83AAE">
                  <w:pPr>
                    <w:adjustRightInd w:val="0"/>
                    <w:snapToGrid w:val="0"/>
                    <w:jc w:val="center"/>
                    <w:rPr>
                      <w:color w:val="auto"/>
                      <w:szCs w:val="21"/>
                    </w:rPr>
                  </w:pPr>
                  <w:r>
                    <w:rPr>
                      <w:color w:val="auto"/>
                      <w:szCs w:val="21"/>
                    </w:rPr>
                    <w:t>无集气设施</w:t>
                  </w:r>
                </w:p>
              </w:tc>
              <w:tc>
                <w:tcPr>
                  <w:tcW w:w="1364" w:type="pct"/>
                  <w:vAlign w:val="center"/>
                </w:tcPr>
                <w:p w14:paraId="5DE01E5E">
                  <w:pPr>
                    <w:adjustRightInd w:val="0"/>
                    <w:snapToGrid w:val="0"/>
                    <w:jc w:val="center"/>
                    <w:rPr>
                      <w:color w:val="auto"/>
                      <w:szCs w:val="21"/>
                    </w:rPr>
                  </w:pPr>
                  <w:r>
                    <w:rPr>
                      <w:color w:val="auto"/>
                      <w:szCs w:val="21"/>
                    </w:rPr>
                    <w:t>——</w:t>
                  </w:r>
                </w:p>
              </w:tc>
              <w:tc>
                <w:tcPr>
                  <w:tcW w:w="2560" w:type="pct"/>
                  <w:vAlign w:val="center"/>
                </w:tcPr>
                <w:p w14:paraId="79F9F168">
                  <w:pPr>
                    <w:adjustRightInd w:val="0"/>
                    <w:snapToGrid w:val="0"/>
                    <w:jc w:val="center"/>
                    <w:rPr>
                      <w:color w:val="auto"/>
                      <w:szCs w:val="21"/>
                    </w:rPr>
                  </w:pPr>
                  <w:r>
                    <w:rPr>
                      <w:color w:val="auto"/>
                      <w:szCs w:val="21"/>
                    </w:rPr>
                    <w:t>1、无集气设施；2、集气设施运行不正常</w:t>
                  </w:r>
                </w:p>
              </w:tc>
              <w:tc>
                <w:tcPr>
                  <w:tcW w:w="616" w:type="pct"/>
                  <w:vAlign w:val="center"/>
                </w:tcPr>
                <w:p w14:paraId="04AF2D41">
                  <w:pPr>
                    <w:adjustRightInd w:val="0"/>
                    <w:snapToGrid w:val="0"/>
                    <w:jc w:val="center"/>
                    <w:rPr>
                      <w:color w:val="auto"/>
                      <w:szCs w:val="21"/>
                    </w:rPr>
                  </w:pPr>
                  <w:r>
                    <w:rPr>
                      <w:color w:val="auto"/>
                      <w:szCs w:val="21"/>
                    </w:rPr>
                    <w:t>0</w:t>
                  </w:r>
                </w:p>
              </w:tc>
            </w:tr>
            <w:tr w14:paraId="2A78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vAlign w:val="center"/>
                </w:tcPr>
                <w:p w14:paraId="59DDBBC1">
                  <w:pPr>
                    <w:adjustRightInd w:val="0"/>
                    <w:snapToGrid w:val="0"/>
                    <w:jc w:val="center"/>
                    <w:rPr>
                      <w:color w:val="auto"/>
                      <w:szCs w:val="21"/>
                    </w:rPr>
                  </w:pPr>
                  <w:r>
                    <w:rPr>
                      <w:color w:val="auto"/>
                      <w:szCs w:val="21"/>
                    </w:rPr>
                    <w:t>备注：同一工序具有多种废气收集类型的，该工序按照废气收集效率最高的类型取值</w:t>
                  </w:r>
                </w:p>
              </w:tc>
            </w:tr>
          </w:tbl>
          <w:p w14:paraId="73F683FB">
            <w:pPr>
              <w:widowControl/>
              <w:adjustRightInd w:val="0"/>
              <w:snapToGrid w:val="0"/>
              <w:spacing w:line="360" w:lineRule="auto"/>
              <w:ind w:firstLine="482" w:firstLineChars="200"/>
              <w:jc w:val="left"/>
              <w:rPr>
                <w:b/>
                <w:bCs/>
                <w:color w:val="auto"/>
                <w:sz w:val="24"/>
                <w:szCs w:val="24"/>
              </w:rPr>
            </w:pPr>
            <w:r>
              <w:rPr>
                <w:b/>
                <w:bCs/>
                <w:color w:val="auto"/>
                <w:sz w:val="24"/>
                <w:szCs w:val="24"/>
              </w:rPr>
              <w:t>（3）风量核算</w:t>
            </w:r>
          </w:p>
          <w:p w14:paraId="5332367C">
            <w:pPr>
              <w:widowControl/>
              <w:adjustRightInd w:val="0"/>
              <w:snapToGrid w:val="0"/>
              <w:spacing w:line="360" w:lineRule="auto"/>
              <w:ind w:firstLine="480" w:firstLineChars="200"/>
              <w:jc w:val="left"/>
              <w:rPr>
                <w:color w:val="auto"/>
                <w:sz w:val="24"/>
                <w:szCs w:val="24"/>
              </w:rPr>
            </w:pPr>
            <w:r>
              <w:rPr>
                <w:color w:val="auto"/>
                <w:sz w:val="24"/>
                <w:szCs w:val="24"/>
              </w:rPr>
              <w:t>本项目生产车间废气通过密闭集气罩等收集方式进行收集。</w:t>
            </w:r>
          </w:p>
          <w:p w14:paraId="48610817">
            <w:pPr>
              <w:pStyle w:val="22"/>
              <w:autoSpaceDE w:val="0"/>
              <w:spacing w:line="360" w:lineRule="auto"/>
              <w:ind w:firstLine="480" w:firstLineChars="200"/>
              <w:jc w:val="left"/>
              <w:textAlignment w:val="auto"/>
              <w:rPr>
                <w:rFonts w:hAnsi="Times New Roman"/>
                <w:color w:val="auto"/>
                <w:sz w:val="24"/>
                <w:szCs w:val="24"/>
              </w:rPr>
            </w:pPr>
            <w:r>
              <w:rPr>
                <w:rFonts w:hAnsi="Times New Roman"/>
                <w:color w:val="auto"/>
                <w:sz w:val="24"/>
                <w:szCs w:val="24"/>
              </w:rPr>
              <w:t>密闭集气罩收集风量：</w:t>
            </w:r>
          </w:p>
          <w:p w14:paraId="4D803A6A">
            <w:pPr>
              <w:pStyle w:val="22"/>
              <w:autoSpaceDE w:val="0"/>
              <w:spacing w:line="360" w:lineRule="auto"/>
              <w:ind w:firstLine="480" w:firstLineChars="200"/>
              <w:jc w:val="left"/>
              <w:textAlignment w:val="auto"/>
              <w:rPr>
                <w:rFonts w:hAnsi="Times New Roman"/>
                <w:color w:val="auto"/>
                <w:sz w:val="24"/>
                <w:szCs w:val="24"/>
              </w:rPr>
            </w:pPr>
            <w:r>
              <w:rPr>
                <w:rFonts w:hAnsi="Times New Roman"/>
                <w:color w:val="auto"/>
                <w:sz w:val="24"/>
                <w:szCs w:val="24"/>
              </w:rPr>
              <w:t>按照《简明通风设计手册》 上吸式排风罩公式进行计算：</w:t>
            </w:r>
          </w:p>
          <w:p w14:paraId="4B4DC91A">
            <w:pPr>
              <w:pStyle w:val="22"/>
              <w:autoSpaceDE w:val="0"/>
              <w:spacing w:line="360" w:lineRule="auto"/>
              <w:ind w:firstLine="480" w:firstLineChars="200"/>
              <w:jc w:val="left"/>
              <w:textAlignment w:val="auto"/>
              <w:rPr>
                <w:rFonts w:hAnsi="Times New Roman"/>
                <w:color w:val="auto"/>
                <w:sz w:val="24"/>
                <w:szCs w:val="24"/>
              </w:rPr>
            </w:pPr>
            <w:r>
              <w:rPr>
                <w:rFonts w:hAnsi="Times New Roman"/>
                <w:color w:val="auto"/>
                <w:sz w:val="24"/>
                <w:szCs w:val="24"/>
              </w:rPr>
              <w:t>L=1.4×P×H×V×3600</w:t>
            </w:r>
          </w:p>
          <w:p w14:paraId="0228C710">
            <w:pPr>
              <w:pStyle w:val="22"/>
              <w:autoSpaceDE w:val="0"/>
              <w:spacing w:line="360" w:lineRule="auto"/>
              <w:ind w:firstLine="480" w:firstLineChars="200"/>
              <w:jc w:val="left"/>
              <w:textAlignment w:val="auto"/>
              <w:rPr>
                <w:rFonts w:hAnsi="Times New Roman"/>
                <w:color w:val="auto"/>
                <w:sz w:val="24"/>
                <w:szCs w:val="24"/>
              </w:rPr>
            </w:pPr>
            <w:r>
              <w:rPr>
                <w:rFonts w:hAnsi="Times New Roman"/>
                <w:color w:val="auto"/>
                <w:sz w:val="24"/>
                <w:szCs w:val="24"/>
              </w:rPr>
              <w:t>式中： L--排风量，m</w:t>
            </w:r>
            <w:r>
              <w:rPr>
                <w:rFonts w:hAnsi="Times New Roman"/>
                <w:color w:val="auto"/>
                <w:sz w:val="24"/>
                <w:szCs w:val="24"/>
                <w:vertAlign w:val="superscript"/>
              </w:rPr>
              <w:t>3</w:t>
            </w:r>
            <w:r>
              <w:rPr>
                <w:rFonts w:hAnsi="Times New Roman"/>
                <w:color w:val="auto"/>
                <w:sz w:val="24"/>
                <w:szCs w:val="24"/>
              </w:rPr>
              <w:t>/h。</w:t>
            </w:r>
          </w:p>
          <w:p w14:paraId="71695167">
            <w:pPr>
              <w:pStyle w:val="22"/>
              <w:autoSpaceDE w:val="0"/>
              <w:spacing w:line="360" w:lineRule="auto"/>
              <w:ind w:firstLine="480" w:firstLineChars="200"/>
              <w:jc w:val="left"/>
              <w:textAlignment w:val="auto"/>
              <w:rPr>
                <w:rFonts w:hAnsi="Times New Roman"/>
                <w:color w:val="auto"/>
                <w:sz w:val="24"/>
                <w:szCs w:val="24"/>
              </w:rPr>
            </w:pPr>
            <w:r>
              <w:rPr>
                <w:rFonts w:hAnsi="Times New Roman"/>
                <w:color w:val="auto"/>
                <w:sz w:val="24"/>
                <w:szCs w:val="24"/>
              </w:rPr>
              <w:t>P——排风罩敞开面周长，m。</w:t>
            </w:r>
          </w:p>
          <w:p w14:paraId="7064DD25">
            <w:pPr>
              <w:pStyle w:val="22"/>
              <w:autoSpaceDE w:val="0"/>
              <w:spacing w:line="360" w:lineRule="auto"/>
              <w:ind w:firstLine="480" w:firstLineChars="200"/>
              <w:jc w:val="left"/>
              <w:textAlignment w:val="auto"/>
              <w:rPr>
                <w:rFonts w:hAnsi="Times New Roman"/>
                <w:color w:val="auto"/>
                <w:sz w:val="24"/>
                <w:szCs w:val="24"/>
              </w:rPr>
            </w:pPr>
            <w:r>
              <w:rPr>
                <w:rFonts w:hAnsi="Times New Roman"/>
                <w:color w:val="auto"/>
                <w:sz w:val="24"/>
                <w:szCs w:val="24"/>
              </w:rPr>
              <w:t>H——罩口至有害物质边缘，m，由于集气罩与</w:t>
            </w:r>
            <w:r>
              <w:rPr>
                <w:rStyle w:val="44"/>
                <w:rFonts w:hAnsi="Times New Roman"/>
                <w:color w:val="auto"/>
                <w:sz w:val="24"/>
                <w:szCs w:val="24"/>
              </w:rPr>
              <w:t>生产设施</w:t>
            </w:r>
            <w:r>
              <w:rPr>
                <w:rFonts w:hAnsi="Times New Roman"/>
                <w:color w:val="auto"/>
                <w:sz w:val="24"/>
                <w:szCs w:val="24"/>
              </w:rPr>
              <w:t>紧密接触，有害物质与罩口距离取物料与罩口的距离。</w:t>
            </w:r>
          </w:p>
          <w:p w14:paraId="6884C79B">
            <w:pPr>
              <w:pStyle w:val="22"/>
              <w:autoSpaceDE w:val="0"/>
              <w:spacing w:line="360" w:lineRule="auto"/>
              <w:ind w:firstLine="480" w:firstLineChars="200"/>
              <w:jc w:val="left"/>
              <w:textAlignment w:val="auto"/>
              <w:rPr>
                <w:rFonts w:hAnsi="Times New Roman"/>
                <w:color w:val="auto"/>
                <w:sz w:val="24"/>
                <w:szCs w:val="24"/>
              </w:rPr>
            </w:pPr>
            <w:r>
              <w:rPr>
                <w:rFonts w:hAnsi="Times New Roman"/>
                <w:color w:val="auto"/>
                <w:sz w:val="24"/>
                <w:szCs w:val="24"/>
              </w:rPr>
              <w:t>V——边缘控制点风速，m/s，取0.3m/s。</w:t>
            </w:r>
          </w:p>
          <w:p w14:paraId="48EA6631">
            <w:pPr>
              <w:spacing w:line="360" w:lineRule="auto"/>
              <w:ind w:firstLine="480" w:firstLineChars="200"/>
              <w:rPr>
                <w:color w:val="auto"/>
                <w:kern w:val="0"/>
                <w:sz w:val="24"/>
                <w:szCs w:val="24"/>
              </w:rPr>
            </w:pPr>
            <w:r>
              <w:rPr>
                <w:color w:val="auto"/>
                <w:kern w:val="0"/>
                <w:sz w:val="24"/>
                <w:szCs w:val="24"/>
              </w:rPr>
              <w:t>根据以上方法计算得出各风量，设计风量如下表：</w:t>
            </w:r>
          </w:p>
          <w:p w14:paraId="635F3A51">
            <w:pPr>
              <w:pStyle w:val="142"/>
              <w:spacing w:line="360" w:lineRule="auto"/>
              <w:rPr>
                <w:rFonts w:ascii="Times New Roman" w:hAnsi="Times New Roman" w:eastAsia="宋体" w:cs="Times New Roman"/>
                <w:b/>
                <w:color w:val="auto"/>
                <w:sz w:val="24"/>
                <w:szCs w:val="24"/>
              </w:rPr>
            </w:pPr>
            <w:r>
              <w:rPr>
                <w:rFonts w:ascii="Times New Roman" w:hAnsi="Times New Roman" w:eastAsia="宋体" w:cs="Times New Roman"/>
                <w:b/>
                <w:bCs/>
                <w:color w:val="auto"/>
                <w:kern w:val="0"/>
                <w:sz w:val="24"/>
                <w:szCs w:val="24"/>
              </w:rPr>
              <w:t>表</w:t>
            </w:r>
            <w:r>
              <w:rPr>
                <w:rFonts w:ascii="Times New Roman" w:hAnsi="Times New Roman" w:eastAsia="宋体" w:cs="Times New Roman"/>
                <w:b/>
                <w:bCs/>
                <w:color w:val="auto"/>
                <w:kern w:val="0"/>
                <w:sz w:val="24"/>
                <w:szCs w:val="24"/>
              </w:rPr>
              <w:fldChar w:fldCharType="begin"/>
            </w:r>
            <w:r>
              <w:rPr>
                <w:rFonts w:ascii="Times New Roman" w:hAnsi="Times New Roman" w:eastAsia="宋体" w:cs="Times New Roman"/>
                <w:b/>
                <w:bCs/>
                <w:color w:val="auto"/>
                <w:kern w:val="0"/>
                <w:sz w:val="24"/>
                <w:szCs w:val="24"/>
              </w:rPr>
              <w:instrText xml:space="preserve"> SEQ 表 \* ARABIC </w:instrText>
            </w:r>
            <w:r>
              <w:rPr>
                <w:rFonts w:ascii="Times New Roman" w:hAnsi="Times New Roman" w:eastAsia="宋体" w:cs="Times New Roman"/>
                <w:b/>
                <w:bCs/>
                <w:color w:val="auto"/>
                <w:kern w:val="0"/>
                <w:sz w:val="24"/>
                <w:szCs w:val="24"/>
              </w:rPr>
              <w:fldChar w:fldCharType="separate"/>
            </w:r>
            <w:r>
              <w:rPr>
                <w:rFonts w:ascii="Times New Roman" w:hAnsi="Times New Roman" w:eastAsia="宋体" w:cs="Times New Roman"/>
                <w:b/>
                <w:bCs/>
                <w:color w:val="auto"/>
                <w:kern w:val="0"/>
                <w:sz w:val="24"/>
                <w:szCs w:val="24"/>
              </w:rPr>
              <w:t>28</w:t>
            </w:r>
            <w:r>
              <w:rPr>
                <w:rFonts w:ascii="Times New Roman" w:hAnsi="Times New Roman" w:eastAsia="宋体" w:cs="Times New Roman"/>
                <w:b/>
                <w:bCs/>
                <w:color w:val="auto"/>
                <w:kern w:val="0"/>
                <w:sz w:val="24"/>
                <w:szCs w:val="24"/>
              </w:rPr>
              <w:fldChar w:fldCharType="end"/>
            </w:r>
            <w:r>
              <w:rPr>
                <w:rFonts w:ascii="Times New Roman" w:hAnsi="Times New Roman" w:eastAsia="宋体" w:cs="Times New Roman"/>
                <w:b/>
                <w:color w:val="auto"/>
                <w:sz w:val="24"/>
                <w:szCs w:val="24"/>
              </w:rPr>
              <w:t xml:space="preserve"> 风量计算表</w:t>
            </w:r>
          </w:p>
          <w:tbl>
            <w:tblPr>
              <w:tblStyle w:val="37"/>
              <w:tblW w:w="4995"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1304"/>
              <w:gridCol w:w="1492"/>
              <w:gridCol w:w="892"/>
              <w:gridCol w:w="1350"/>
              <w:gridCol w:w="1185"/>
              <w:gridCol w:w="1413"/>
            </w:tblGrid>
            <w:tr w14:paraId="04E4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07" w:type="pct"/>
                  <w:shd w:val="clear" w:color="auto" w:fill="auto"/>
                  <w:vAlign w:val="center"/>
                </w:tcPr>
                <w:p w14:paraId="574D316E">
                  <w:pPr>
                    <w:widowControl/>
                    <w:jc w:val="center"/>
                    <w:rPr>
                      <w:color w:val="auto"/>
                      <w:kern w:val="0"/>
                      <w:szCs w:val="21"/>
                    </w:rPr>
                  </w:pPr>
                  <w:r>
                    <w:rPr>
                      <w:color w:val="auto"/>
                      <w:kern w:val="0"/>
                      <w:szCs w:val="21"/>
                    </w:rPr>
                    <w:t>产品</w:t>
                  </w:r>
                </w:p>
              </w:tc>
              <w:tc>
                <w:tcPr>
                  <w:tcW w:w="767" w:type="pct"/>
                  <w:shd w:val="clear" w:color="auto" w:fill="auto"/>
                  <w:vAlign w:val="center"/>
                </w:tcPr>
                <w:p w14:paraId="476E3A67">
                  <w:pPr>
                    <w:widowControl/>
                    <w:jc w:val="center"/>
                    <w:rPr>
                      <w:color w:val="auto"/>
                      <w:kern w:val="0"/>
                      <w:szCs w:val="21"/>
                    </w:rPr>
                  </w:pPr>
                  <w:r>
                    <w:rPr>
                      <w:color w:val="auto"/>
                      <w:kern w:val="0"/>
                      <w:szCs w:val="21"/>
                    </w:rPr>
                    <w:t>产污区域</w:t>
                  </w:r>
                </w:p>
              </w:tc>
              <w:tc>
                <w:tcPr>
                  <w:tcW w:w="878" w:type="pct"/>
                  <w:shd w:val="clear" w:color="auto" w:fill="auto"/>
                  <w:vAlign w:val="center"/>
                </w:tcPr>
                <w:p w14:paraId="6AC35B68">
                  <w:pPr>
                    <w:widowControl/>
                    <w:jc w:val="center"/>
                    <w:rPr>
                      <w:color w:val="auto"/>
                      <w:kern w:val="0"/>
                      <w:szCs w:val="21"/>
                    </w:rPr>
                  </w:pPr>
                  <w:r>
                    <w:rPr>
                      <w:color w:val="auto"/>
                      <w:kern w:val="0"/>
                      <w:szCs w:val="21"/>
                    </w:rPr>
                    <w:t>集气罩规格</w:t>
                  </w:r>
                </w:p>
              </w:tc>
              <w:tc>
                <w:tcPr>
                  <w:tcW w:w="525" w:type="pct"/>
                  <w:shd w:val="clear" w:color="auto" w:fill="auto"/>
                  <w:vAlign w:val="center"/>
                </w:tcPr>
                <w:p w14:paraId="63968463">
                  <w:pPr>
                    <w:widowControl/>
                    <w:jc w:val="center"/>
                    <w:rPr>
                      <w:color w:val="auto"/>
                      <w:kern w:val="0"/>
                      <w:szCs w:val="21"/>
                    </w:rPr>
                  </w:pPr>
                  <w:r>
                    <w:rPr>
                      <w:color w:val="auto"/>
                      <w:kern w:val="0"/>
                      <w:szCs w:val="21"/>
                    </w:rPr>
                    <w:t>集气罩/设备个数</w:t>
                  </w:r>
                </w:p>
              </w:tc>
              <w:tc>
                <w:tcPr>
                  <w:tcW w:w="794" w:type="pct"/>
                  <w:shd w:val="clear" w:color="auto" w:fill="auto"/>
                  <w:vAlign w:val="center"/>
                </w:tcPr>
                <w:p w14:paraId="2061C17A">
                  <w:pPr>
                    <w:widowControl/>
                    <w:jc w:val="center"/>
                    <w:rPr>
                      <w:color w:val="auto"/>
                      <w:kern w:val="0"/>
                      <w:szCs w:val="21"/>
                    </w:rPr>
                  </w:pPr>
                  <w:r>
                    <w:rPr>
                      <w:color w:val="auto"/>
                      <w:kern w:val="0"/>
                      <w:szCs w:val="21"/>
                    </w:rPr>
                    <w:t>H高度（m）</w:t>
                  </w:r>
                </w:p>
              </w:tc>
              <w:tc>
                <w:tcPr>
                  <w:tcW w:w="695" w:type="pct"/>
                  <w:shd w:val="clear" w:color="auto" w:fill="auto"/>
                  <w:vAlign w:val="center"/>
                </w:tcPr>
                <w:p w14:paraId="6148344B">
                  <w:pPr>
                    <w:widowControl/>
                    <w:jc w:val="center"/>
                    <w:rPr>
                      <w:color w:val="auto"/>
                      <w:kern w:val="0"/>
                      <w:szCs w:val="21"/>
                    </w:rPr>
                  </w:pPr>
                  <w:r>
                    <w:rPr>
                      <w:color w:val="auto"/>
                      <w:kern w:val="0"/>
                      <w:szCs w:val="21"/>
                    </w:rPr>
                    <w:t>V(m/s)</w:t>
                  </w:r>
                </w:p>
              </w:tc>
              <w:tc>
                <w:tcPr>
                  <w:tcW w:w="831" w:type="pct"/>
                  <w:shd w:val="clear" w:color="auto" w:fill="auto"/>
                  <w:vAlign w:val="center"/>
                </w:tcPr>
                <w:p w14:paraId="2A0B0C52">
                  <w:pPr>
                    <w:widowControl/>
                    <w:jc w:val="center"/>
                    <w:rPr>
                      <w:color w:val="auto"/>
                      <w:kern w:val="0"/>
                      <w:szCs w:val="21"/>
                    </w:rPr>
                  </w:pPr>
                  <w:r>
                    <w:rPr>
                      <w:color w:val="auto"/>
                      <w:kern w:val="0"/>
                      <w:szCs w:val="21"/>
                    </w:rPr>
                    <w:t>该类设备风量（m³/h）</w:t>
                  </w:r>
                </w:p>
              </w:tc>
            </w:tr>
            <w:tr w14:paraId="727B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7" w:type="pct"/>
                  <w:shd w:val="clear" w:color="auto" w:fill="auto"/>
                  <w:vAlign w:val="center"/>
                </w:tcPr>
                <w:p w14:paraId="4A801200">
                  <w:pPr>
                    <w:widowControl/>
                    <w:jc w:val="center"/>
                    <w:rPr>
                      <w:color w:val="auto"/>
                      <w:kern w:val="0"/>
                      <w:szCs w:val="21"/>
                    </w:rPr>
                  </w:pPr>
                  <w:r>
                    <w:rPr>
                      <w:color w:val="auto"/>
                      <w:kern w:val="0"/>
                      <w:szCs w:val="21"/>
                    </w:rPr>
                    <w:t>盘式蚊香</w:t>
                  </w:r>
                </w:p>
              </w:tc>
              <w:tc>
                <w:tcPr>
                  <w:tcW w:w="767" w:type="pct"/>
                  <w:shd w:val="clear" w:color="auto" w:fill="auto"/>
                  <w:vAlign w:val="center"/>
                </w:tcPr>
                <w:p w14:paraId="2E3F61AB">
                  <w:pPr>
                    <w:widowControl/>
                    <w:jc w:val="center"/>
                    <w:rPr>
                      <w:color w:val="auto"/>
                      <w:kern w:val="0"/>
                      <w:szCs w:val="21"/>
                    </w:rPr>
                  </w:pPr>
                  <w:r>
                    <w:rPr>
                      <w:color w:val="auto"/>
                      <w:kern w:val="0"/>
                      <w:szCs w:val="21"/>
                    </w:rPr>
                    <w:t>喷药工序</w:t>
                  </w:r>
                </w:p>
              </w:tc>
              <w:tc>
                <w:tcPr>
                  <w:tcW w:w="878" w:type="pct"/>
                  <w:shd w:val="clear" w:color="auto" w:fill="auto"/>
                  <w:vAlign w:val="center"/>
                </w:tcPr>
                <w:p w14:paraId="5092A487">
                  <w:pPr>
                    <w:widowControl/>
                    <w:jc w:val="center"/>
                    <w:textAlignment w:val="center"/>
                    <w:rPr>
                      <w:color w:val="auto"/>
                      <w:kern w:val="0"/>
                      <w:szCs w:val="21"/>
                    </w:rPr>
                  </w:pPr>
                  <w:r>
                    <w:rPr>
                      <w:color w:val="auto"/>
                      <w:kern w:val="0"/>
                      <w:szCs w:val="21"/>
                    </w:rPr>
                    <w:t>1500×600mm</w:t>
                  </w:r>
                </w:p>
              </w:tc>
              <w:tc>
                <w:tcPr>
                  <w:tcW w:w="525" w:type="pct"/>
                  <w:shd w:val="clear" w:color="auto" w:fill="auto"/>
                  <w:vAlign w:val="center"/>
                </w:tcPr>
                <w:p w14:paraId="24BEACDB">
                  <w:pPr>
                    <w:widowControl/>
                    <w:jc w:val="center"/>
                    <w:textAlignment w:val="center"/>
                    <w:rPr>
                      <w:color w:val="auto"/>
                      <w:kern w:val="0"/>
                      <w:szCs w:val="21"/>
                    </w:rPr>
                  </w:pPr>
                  <w:r>
                    <w:rPr>
                      <w:color w:val="auto"/>
                      <w:kern w:val="0"/>
                      <w:szCs w:val="21"/>
                    </w:rPr>
                    <w:t>1</w:t>
                  </w:r>
                </w:p>
              </w:tc>
              <w:tc>
                <w:tcPr>
                  <w:tcW w:w="794" w:type="pct"/>
                  <w:shd w:val="clear" w:color="auto" w:fill="auto"/>
                  <w:vAlign w:val="center"/>
                </w:tcPr>
                <w:p w14:paraId="41FA10EB">
                  <w:pPr>
                    <w:widowControl/>
                    <w:jc w:val="center"/>
                    <w:textAlignment w:val="center"/>
                    <w:rPr>
                      <w:color w:val="auto"/>
                    </w:rPr>
                  </w:pPr>
                  <w:r>
                    <w:rPr>
                      <w:color w:val="auto"/>
                    </w:rPr>
                    <w:t>0.1</w:t>
                  </w:r>
                </w:p>
              </w:tc>
              <w:tc>
                <w:tcPr>
                  <w:tcW w:w="695" w:type="pct"/>
                  <w:shd w:val="clear" w:color="auto" w:fill="auto"/>
                  <w:vAlign w:val="center"/>
                </w:tcPr>
                <w:p w14:paraId="3167EC87">
                  <w:pPr>
                    <w:widowControl/>
                    <w:jc w:val="center"/>
                    <w:textAlignment w:val="center"/>
                    <w:rPr>
                      <w:color w:val="auto"/>
                      <w:kern w:val="0"/>
                      <w:szCs w:val="21"/>
                    </w:rPr>
                  </w:pPr>
                  <w:r>
                    <w:rPr>
                      <w:color w:val="auto"/>
                      <w:kern w:val="0"/>
                      <w:szCs w:val="21"/>
                    </w:rPr>
                    <w:t>0.3</w:t>
                  </w:r>
                </w:p>
              </w:tc>
              <w:tc>
                <w:tcPr>
                  <w:tcW w:w="1413" w:type="dxa"/>
                  <w:shd w:val="clear" w:color="auto" w:fill="auto"/>
                  <w:vAlign w:val="center"/>
                </w:tcPr>
                <w:p w14:paraId="7AE9B2C2">
                  <w:pPr>
                    <w:widowControl/>
                    <w:jc w:val="center"/>
                    <w:textAlignment w:val="center"/>
                    <w:rPr>
                      <w:color w:val="auto"/>
                      <w:szCs w:val="21"/>
                    </w:rPr>
                  </w:pPr>
                  <w:r>
                    <w:rPr>
                      <w:color w:val="auto"/>
                      <w:kern w:val="0"/>
                      <w:szCs w:val="21"/>
                      <w:lang w:bidi="ar"/>
                    </w:rPr>
                    <w:t>635.04</w:t>
                  </w:r>
                </w:p>
              </w:tc>
            </w:tr>
            <w:tr w14:paraId="1141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7" w:type="pct"/>
                  <w:shd w:val="clear" w:color="auto" w:fill="auto"/>
                  <w:vAlign w:val="center"/>
                </w:tcPr>
                <w:p w14:paraId="0EAC2047">
                  <w:pPr>
                    <w:widowControl/>
                    <w:jc w:val="center"/>
                    <w:rPr>
                      <w:color w:val="auto"/>
                      <w:kern w:val="0"/>
                      <w:szCs w:val="21"/>
                    </w:rPr>
                  </w:pPr>
                  <w:r>
                    <w:rPr>
                      <w:color w:val="auto"/>
                      <w:kern w:val="0"/>
                      <w:szCs w:val="21"/>
                    </w:rPr>
                    <w:t>电热蚊香液</w:t>
                  </w:r>
                </w:p>
              </w:tc>
              <w:tc>
                <w:tcPr>
                  <w:tcW w:w="767" w:type="pct"/>
                  <w:shd w:val="clear" w:color="auto" w:fill="auto"/>
                  <w:vAlign w:val="center"/>
                </w:tcPr>
                <w:p w14:paraId="7C5EEE93">
                  <w:pPr>
                    <w:widowControl/>
                    <w:jc w:val="center"/>
                    <w:rPr>
                      <w:color w:val="auto"/>
                      <w:kern w:val="0"/>
                      <w:szCs w:val="21"/>
                    </w:rPr>
                  </w:pPr>
                  <w:r>
                    <w:rPr>
                      <w:color w:val="auto"/>
                      <w:kern w:val="0"/>
                      <w:szCs w:val="21"/>
                    </w:rPr>
                    <w:t>灌装工序</w:t>
                  </w:r>
                </w:p>
              </w:tc>
              <w:tc>
                <w:tcPr>
                  <w:tcW w:w="878" w:type="pct"/>
                  <w:shd w:val="clear" w:color="auto" w:fill="auto"/>
                  <w:vAlign w:val="center"/>
                </w:tcPr>
                <w:p w14:paraId="60F372BD">
                  <w:pPr>
                    <w:widowControl/>
                    <w:jc w:val="center"/>
                    <w:textAlignment w:val="center"/>
                    <w:rPr>
                      <w:color w:val="auto"/>
                      <w:kern w:val="0"/>
                      <w:szCs w:val="21"/>
                    </w:rPr>
                  </w:pPr>
                  <w:r>
                    <w:rPr>
                      <w:color w:val="auto"/>
                      <w:kern w:val="0"/>
                      <w:szCs w:val="21"/>
                    </w:rPr>
                    <w:t>1500×600mm</w:t>
                  </w:r>
                </w:p>
              </w:tc>
              <w:tc>
                <w:tcPr>
                  <w:tcW w:w="525" w:type="pct"/>
                  <w:shd w:val="clear" w:color="auto" w:fill="auto"/>
                  <w:vAlign w:val="center"/>
                </w:tcPr>
                <w:p w14:paraId="7685A7E1">
                  <w:pPr>
                    <w:widowControl/>
                    <w:jc w:val="center"/>
                    <w:textAlignment w:val="center"/>
                    <w:rPr>
                      <w:color w:val="auto"/>
                      <w:kern w:val="0"/>
                      <w:szCs w:val="21"/>
                    </w:rPr>
                  </w:pPr>
                  <w:r>
                    <w:rPr>
                      <w:color w:val="auto"/>
                      <w:kern w:val="0"/>
                      <w:szCs w:val="21"/>
                    </w:rPr>
                    <w:t>1</w:t>
                  </w:r>
                </w:p>
              </w:tc>
              <w:tc>
                <w:tcPr>
                  <w:tcW w:w="794" w:type="pct"/>
                  <w:shd w:val="clear" w:color="auto" w:fill="auto"/>
                  <w:noWrap/>
                  <w:vAlign w:val="center"/>
                </w:tcPr>
                <w:p w14:paraId="0086602C">
                  <w:pPr>
                    <w:widowControl/>
                    <w:jc w:val="center"/>
                    <w:textAlignment w:val="center"/>
                    <w:rPr>
                      <w:color w:val="auto"/>
                      <w:kern w:val="0"/>
                      <w:szCs w:val="21"/>
                    </w:rPr>
                  </w:pPr>
                  <w:r>
                    <w:rPr>
                      <w:color w:val="auto"/>
                    </w:rPr>
                    <w:t>0.1</w:t>
                  </w:r>
                </w:p>
              </w:tc>
              <w:tc>
                <w:tcPr>
                  <w:tcW w:w="695" w:type="pct"/>
                  <w:shd w:val="clear" w:color="auto" w:fill="auto"/>
                  <w:noWrap/>
                  <w:vAlign w:val="center"/>
                </w:tcPr>
                <w:p w14:paraId="3E242E28">
                  <w:pPr>
                    <w:widowControl/>
                    <w:jc w:val="center"/>
                    <w:textAlignment w:val="center"/>
                    <w:rPr>
                      <w:color w:val="auto"/>
                      <w:kern w:val="0"/>
                      <w:szCs w:val="21"/>
                    </w:rPr>
                  </w:pPr>
                  <w:r>
                    <w:rPr>
                      <w:color w:val="auto"/>
                      <w:kern w:val="0"/>
                      <w:szCs w:val="21"/>
                    </w:rPr>
                    <w:t>0.3</w:t>
                  </w:r>
                </w:p>
              </w:tc>
              <w:tc>
                <w:tcPr>
                  <w:tcW w:w="1413" w:type="dxa"/>
                  <w:shd w:val="clear" w:color="auto" w:fill="auto"/>
                  <w:vAlign w:val="center"/>
                </w:tcPr>
                <w:p w14:paraId="0D0B9AE3">
                  <w:pPr>
                    <w:widowControl/>
                    <w:jc w:val="center"/>
                    <w:textAlignment w:val="center"/>
                    <w:rPr>
                      <w:color w:val="auto"/>
                      <w:szCs w:val="21"/>
                    </w:rPr>
                  </w:pPr>
                  <w:r>
                    <w:rPr>
                      <w:color w:val="auto"/>
                      <w:kern w:val="0"/>
                      <w:szCs w:val="21"/>
                      <w:lang w:bidi="ar"/>
                    </w:rPr>
                    <w:t>635.04</w:t>
                  </w:r>
                </w:p>
              </w:tc>
            </w:tr>
            <w:tr w14:paraId="1BF4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68" w:type="pct"/>
                  <w:gridSpan w:val="6"/>
                  <w:shd w:val="clear" w:color="auto" w:fill="auto"/>
                  <w:vAlign w:val="center"/>
                </w:tcPr>
                <w:p w14:paraId="218B586B">
                  <w:pPr>
                    <w:widowControl/>
                    <w:jc w:val="center"/>
                    <w:textAlignment w:val="center"/>
                    <w:rPr>
                      <w:color w:val="auto"/>
                      <w:kern w:val="0"/>
                      <w:szCs w:val="21"/>
                      <w:lang w:bidi="ar"/>
                    </w:rPr>
                  </w:pPr>
                  <w:r>
                    <w:rPr>
                      <w:color w:val="auto"/>
                      <w:kern w:val="0"/>
                      <w:szCs w:val="21"/>
                      <w:lang w:bidi="ar"/>
                    </w:rPr>
                    <w:t>合计</w:t>
                  </w:r>
                </w:p>
              </w:tc>
              <w:tc>
                <w:tcPr>
                  <w:tcW w:w="1413" w:type="dxa"/>
                  <w:shd w:val="clear" w:color="auto" w:fill="auto"/>
                  <w:vAlign w:val="center"/>
                </w:tcPr>
                <w:p w14:paraId="79CBD696">
                  <w:pPr>
                    <w:widowControl/>
                    <w:jc w:val="center"/>
                    <w:textAlignment w:val="center"/>
                    <w:rPr>
                      <w:color w:val="auto"/>
                      <w:kern w:val="0"/>
                      <w:szCs w:val="21"/>
                      <w:lang w:bidi="ar"/>
                    </w:rPr>
                  </w:pPr>
                  <w:r>
                    <w:rPr>
                      <w:color w:val="auto"/>
                      <w:kern w:val="0"/>
                      <w:szCs w:val="21"/>
                      <w:lang w:bidi="ar"/>
                    </w:rPr>
                    <w:t>1270.08</w:t>
                  </w:r>
                </w:p>
              </w:tc>
            </w:tr>
          </w:tbl>
          <w:p w14:paraId="0204E3DD">
            <w:pPr>
              <w:pStyle w:val="89"/>
              <w:snapToGrid w:val="0"/>
              <w:spacing w:before="0" w:beforeLines="0"/>
              <w:ind w:firstLine="420"/>
              <w:rPr>
                <w:rFonts w:cs="Times New Roman"/>
                <w:color w:val="auto"/>
                <w:sz w:val="24"/>
                <w:szCs w:val="24"/>
              </w:rPr>
            </w:pPr>
            <w:r>
              <w:rPr>
                <w:rFonts w:cs="Times New Roman"/>
                <w:color w:val="auto"/>
                <w:sz w:val="24"/>
                <w:szCs w:val="24"/>
              </w:rPr>
              <w:t>有机废气统一收集，考虑风量附加安全系数及损耗，设置风机风量为1500m</w:t>
            </w:r>
            <w:r>
              <w:rPr>
                <w:rFonts w:cs="Times New Roman"/>
                <w:color w:val="auto"/>
                <w:sz w:val="24"/>
                <w:szCs w:val="24"/>
                <w:vertAlign w:val="superscript"/>
              </w:rPr>
              <w:t>3</w:t>
            </w:r>
            <w:r>
              <w:rPr>
                <w:rFonts w:cs="Times New Roman"/>
                <w:color w:val="auto"/>
                <w:sz w:val="24"/>
                <w:szCs w:val="24"/>
              </w:rPr>
              <w:t>/h。</w:t>
            </w:r>
          </w:p>
          <w:p w14:paraId="10A655E0">
            <w:pPr>
              <w:widowControl/>
              <w:spacing w:line="360" w:lineRule="auto"/>
              <w:ind w:firstLine="482" w:firstLineChars="200"/>
              <w:jc w:val="left"/>
              <w:rPr>
                <w:b/>
                <w:bCs/>
                <w:color w:val="auto"/>
                <w:sz w:val="24"/>
                <w:szCs w:val="24"/>
              </w:rPr>
            </w:pPr>
            <w:r>
              <w:rPr>
                <w:b/>
                <w:bCs/>
                <w:color w:val="auto"/>
                <w:sz w:val="24"/>
                <w:szCs w:val="24"/>
              </w:rPr>
              <w:t>（4）废气治理措施及废气排放情况</w:t>
            </w:r>
          </w:p>
          <w:p w14:paraId="58393BE1">
            <w:pPr>
              <w:adjustRightInd w:val="0"/>
              <w:snapToGrid w:val="0"/>
              <w:spacing w:line="360" w:lineRule="auto"/>
              <w:ind w:firstLine="482" w:firstLineChars="200"/>
              <w:jc w:val="left"/>
              <w:rPr>
                <w:b/>
                <w:bCs/>
                <w:color w:val="auto"/>
                <w:kern w:val="0"/>
                <w:sz w:val="24"/>
                <w:szCs w:val="24"/>
              </w:rPr>
            </w:pPr>
            <w:r>
              <w:rPr>
                <w:b/>
                <w:bCs/>
                <w:color w:val="auto"/>
                <w:kern w:val="0"/>
                <w:sz w:val="24"/>
                <w:szCs w:val="24"/>
              </w:rPr>
              <w:t>治理措施：</w:t>
            </w:r>
          </w:p>
          <w:p w14:paraId="26BB1EDA">
            <w:pPr>
              <w:adjustRightInd w:val="0"/>
              <w:snapToGrid w:val="0"/>
              <w:spacing w:line="360" w:lineRule="auto"/>
              <w:ind w:firstLine="480" w:firstLineChars="200"/>
              <w:jc w:val="left"/>
              <w:rPr>
                <w:color w:val="auto"/>
                <w:kern w:val="0"/>
                <w:sz w:val="24"/>
                <w:szCs w:val="24"/>
              </w:rPr>
            </w:pPr>
            <w:r>
              <w:rPr>
                <w:color w:val="auto"/>
                <w:kern w:val="0"/>
                <w:sz w:val="24"/>
                <w:szCs w:val="24"/>
              </w:rPr>
              <w:t>本项目有机废气统一收集后一起排入活性炭吸附装置（TA001）处理后通过</w:t>
            </w:r>
            <w:r>
              <w:rPr>
                <w:color w:val="auto"/>
                <w:sz w:val="24"/>
                <w:szCs w:val="24"/>
              </w:rPr>
              <w:t>楼顶（22.5m）</w:t>
            </w:r>
            <w:r>
              <w:rPr>
                <w:color w:val="auto"/>
                <w:kern w:val="0"/>
                <w:sz w:val="24"/>
                <w:szCs w:val="24"/>
              </w:rPr>
              <w:t>排气筒（DA001）排放；投料、插芯棒工序</w:t>
            </w:r>
            <w:r>
              <w:rPr>
                <w:color w:val="auto"/>
                <w:sz w:val="24"/>
                <w:szCs w:val="24"/>
              </w:rPr>
              <w:t>产生的有机废气较少，经过车间厂房隔绝后，在车间内无组织排放。</w:t>
            </w:r>
          </w:p>
          <w:p w14:paraId="739B4B30">
            <w:pPr>
              <w:pStyle w:val="127"/>
              <w:spacing w:line="360" w:lineRule="auto"/>
              <w:ind w:firstLine="480" w:firstLineChars="200"/>
              <w:rPr>
                <w:color w:val="auto"/>
                <w:kern w:val="2"/>
                <w:sz w:val="24"/>
                <w:szCs w:val="24"/>
              </w:rPr>
            </w:pPr>
            <w:r>
              <w:rPr>
                <w:color w:val="auto"/>
                <w:sz w:val="24"/>
                <w:szCs w:val="24"/>
              </w:rPr>
              <w:t>有机废气处理效率参考</w:t>
            </w:r>
            <w:r>
              <w:rPr>
                <w:color w:val="auto"/>
                <w:kern w:val="2"/>
                <w:sz w:val="24"/>
                <w:szCs w:val="24"/>
              </w:rPr>
              <w:t>《广东省生态环境厅关于印发工业源挥发性有机物和氮氧化物减排量核算方法的通知》（粤环函〔2023〕538号）表3.3-3，建议直接将“活性炭年更换量×活性炭吸附比例”（活性炭年更换量优先以危废转移量为依据，吸附比例建议取15%）作为废气处理设施VOCs削减量。</w:t>
            </w:r>
          </w:p>
          <w:p w14:paraId="27A060E8">
            <w:pPr>
              <w:pStyle w:val="127"/>
              <w:spacing w:line="360" w:lineRule="auto"/>
              <w:ind w:firstLine="480" w:firstLineChars="200"/>
              <w:rPr>
                <w:color w:val="auto"/>
                <w:kern w:val="2"/>
                <w:sz w:val="24"/>
                <w:szCs w:val="24"/>
              </w:rPr>
            </w:pPr>
            <w:r>
              <w:rPr>
                <w:color w:val="auto"/>
                <w:kern w:val="2"/>
                <w:sz w:val="24"/>
                <w:szCs w:val="24"/>
              </w:rPr>
              <w:t>建设单位拟设置1套活性炭吸附装置处理各车间有机废气，根据下文二级活性炭装置技术参数分析，活性炭理论计算吸附处理可完全处理本项目产生有机废气，本项目废气产生浓度较低，二级活性炭装置对有机废气处理效率按保守50%计算。</w:t>
            </w:r>
          </w:p>
          <w:p w14:paraId="4EB2707C">
            <w:pPr>
              <w:pStyle w:val="127"/>
              <w:spacing w:line="360" w:lineRule="auto"/>
              <w:ind w:firstLine="482" w:firstLineChars="200"/>
              <w:rPr>
                <w:b/>
                <w:bCs/>
                <w:color w:val="auto"/>
                <w:kern w:val="2"/>
                <w:sz w:val="24"/>
                <w:szCs w:val="24"/>
              </w:rPr>
            </w:pPr>
            <w:r>
              <w:rPr>
                <w:b/>
                <w:bCs/>
                <w:color w:val="auto"/>
                <w:kern w:val="2"/>
                <w:sz w:val="24"/>
                <w:szCs w:val="24"/>
              </w:rPr>
              <w:t>废气排放情况：</w:t>
            </w:r>
          </w:p>
          <w:p w14:paraId="2E921479">
            <w:pPr>
              <w:pStyle w:val="89"/>
              <w:spacing w:before="0" w:beforeLines="0"/>
              <w:ind w:firstLine="420"/>
              <w:rPr>
                <w:rFonts w:cs="Times New Roman"/>
                <w:bCs/>
                <w:color w:val="auto"/>
                <w:sz w:val="24"/>
                <w:szCs w:val="24"/>
              </w:rPr>
            </w:pPr>
            <w:r>
              <w:rPr>
                <w:rFonts w:cs="Times New Roman"/>
                <w:bCs/>
                <w:color w:val="auto"/>
                <w:sz w:val="24"/>
                <w:szCs w:val="24"/>
              </w:rPr>
              <w:t>本项目废气污染源强排放情况见下表。</w:t>
            </w:r>
          </w:p>
          <w:p w14:paraId="35282E1D">
            <w:pPr>
              <w:pStyle w:val="16"/>
              <w:spacing w:line="360" w:lineRule="auto"/>
              <w:jc w:val="center"/>
              <w:rPr>
                <w:rFonts w:ascii="Times New Roman" w:hAnsi="Times New Roman" w:eastAsia="宋体"/>
                <w:b/>
                <w:bCs/>
                <w:color w:val="auto"/>
                <w:kern w:val="0"/>
                <w:sz w:val="24"/>
                <w:szCs w:val="24"/>
              </w:rPr>
            </w:pPr>
            <w:r>
              <w:rPr>
                <w:rFonts w:ascii="Times New Roman" w:hAnsi="Times New Roman" w:eastAsia="宋体"/>
                <w:b/>
                <w:bCs/>
                <w:color w:val="auto"/>
                <w:sz w:val="24"/>
                <w:szCs w:val="24"/>
              </w:rPr>
              <w:t>表</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表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29</w:t>
            </w:r>
            <w:r>
              <w:rPr>
                <w:rFonts w:ascii="Times New Roman" w:hAnsi="Times New Roman" w:eastAsia="宋体"/>
                <w:b/>
                <w:bCs/>
                <w:color w:val="auto"/>
                <w:sz w:val="24"/>
                <w:szCs w:val="24"/>
              </w:rPr>
              <w:fldChar w:fldCharType="end"/>
            </w:r>
            <w:r>
              <w:rPr>
                <w:rFonts w:ascii="Times New Roman" w:hAnsi="Times New Roman" w:eastAsia="宋体"/>
                <w:b/>
                <w:bCs/>
                <w:color w:val="auto"/>
                <w:kern w:val="0"/>
                <w:sz w:val="24"/>
                <w:szCs w:val="24"/>
              </w:rPr>
              <w:t xml:space="preserve">  本项目</w:t>
            </w:r>
            <w:r>
              <w:rPr>
                <w:rFonts w:hint="eastAsia" w:ascii="Times New Roman" w:hAnsi="Times New Roman" w:eastAsia="宋体"/>
                <w:b/>
                <w:bCs/>
                <w:color w:val="auto"/>
                <w:kern w:val="0"/>
                <w:sz w:val="24"/>
                <w:szCs w:val="24"/>
                <w:lang w:val="en-US" w:eastAsia="zh-CN"/>
              </w:rPr>
              <w:t>排气筒</w:t>
            </w:r>
            <w:r>
              <w:rPr>
                <w:rFonts w:ascii="Times New Roman" w:hAnsi="Times New Roman" w:eastAsia="宋体"/>
                <w:b/>
                <w:bCs/>
                <w:color w:val="auto"/>
                <w:kern w:val="0"/>
                <w:sz w:val="24"/>
                <w:szCs w:val="24"/>
              </w:rPr>
              <w:t>废气产排情况一览表</w:t>
            </w:r>
          </w:p>
          <w:tbl>
            <w:tblPr>
              <w:tblStyle w:val="3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8"/>
              <w:gridCol w:w="4442"/>
              <w:gridCol w:w="2664"/>
            </w:tblGrid>
            <w:tr w14:paraId="6C97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3433" w:type="pct"/>
                  <w:gridSpan w:val="2"/>
                  <w:vAlign w:val="center"/>
                </w:tcPr>
                <w:p w14:paraId="617DE54D">
                  <w:pPr>
                    <w:widowControl/>
                    <w:jc w:val="center"/>
                    <w:textAlignment w:val="center"/>
                    <w:rPr>
                      <w:b/>
                      <w:color w:val="auto"/>
                      <w:spacing w:val="-10"/>
                      <w:szCs w:val="21"/>
                    </w:rPr>
                  </w:pPr>
                  <w:r>
                    <w:rPr>
                      <w:b/>
                      <w:bCs/>
                      <w:color w:val="auto"/>
                      <w:kern w:val="0"/>
                      <w:szCs w:val="21"/>
                      <w:lang w:bidi="ar"/>
                    </w:rPr>
                    <w:t>车间</w:t>
                  </w:r>
                </w:p>
              </w:tc>
              <w:tc>
                <w:tcPr>
                  <w:tcW w:w="1566" w:type="pct"/>
                  <w:vAlign w:val="center"/>
                </w:tcPr>
                <w:p w14:paraId="35D2A1DA">
                  <w:pPr>
                    <w:widowControl/>
                    <w:jc w:val="center"/>
                    <w:textAlignment w:val="center"/>
                    <w:rPr>
                      <w:b/>
                      <w:bCs/>
                      <w:color w:val="auto"/>
                      <w:kern w:val="0"/>
                      <w:szCs w:val="21"/>
                      <w:lang w:bidi="ar"/>
                    </w:rPr>
                  </w:pPr>
                  <w:r>
                    <w:rPr>
                      <w:b/>
                      <w:color w:val="auto"/>
                      <w:spacing w:val="-10"/>
                      <w:szCs w:val="21"/>
                    </w:rPr>
                    <w:t>生产车间</w:t>
                  </w:r>
                </w:p>
              </w:tc>
            </w:tr>
            <w:tr w14:paraId="4E74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3" w:type="pct"/>
                  <w:gridSpan w:val="2"/>
                  <w:vAlign w:val="center"/>
                </w:tcPr>
                <w:p w14:paraId="1B14ED2A">
                  <w:pPr>
                    <w:widowControl/>
                    <w:jc w:val="center"/>
                    <w:textAlignment w:val="center"/>
                    <w:rPr>
                      <w:bCs/>
                      <w:color w:val="auto"/>
                      <w:spacing w:val="-10"/>
                      <w:szCs w:val="21"/>
                    </w:rPr>
                  </w:pPr>
                  <w:r>
                    <w:rPr>
                      <w:color w:val="auto"/>
                      <w:kern w:val="0"/>
                      <w:szCs w:val="21"/>
                      <w:lang w:bidi="ar"/>
                    </w:rPr>
                    <w:t>排气筒编号</w:t>
                  </w:r>
                </w:p>
              </w:tc>
              <w:tc>
                <w:tcPr>
                  <w:tcW w:w="2665" w:type="dxa"/>
                  <w:vAlign w:val="center"/>
                </w:tcPr>
                <w:p w14:paraId="0CDB2706">
                  <w:pPr>
                    <w:widowControl/>
                    <w:jc w:val="center"/>
                    <w:textAlignment w:val="center"/>
                    <w:rPr>
                      <w:color w:val="auto"/>
                      <w:kern w:val="0"/>
                      <w:szCs w:val="21"/>
                      <w:lang w:bidi="ar"/>
                    </w:rPr>
                  </w:pPr>
                  <w:r>
                    <w:rPr>
                      <w:color w:val="auto"/>
                      <w:kern w:val="0"/>
                      <w:szCs w:val="21"/>
                      <w:lang w:bidi="ar"/>
                    </w:rPr>
                    <w:t>DA001</w:t>
                  </w:r>
                </w:p>
              </w:tc>
            </w:tr>
            <w:tr w14:paraId="036A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3" w:type="pct"/>
                  <w:gridSpan w:val="2"/>
                  <w:vAlign w:val="center"/>
                </w:tcPr>
                <w:p w14:paraId="6FC05D2D">
                  <w:pPr>
                    <w:widowControl/>
                    <w:jc w:val="center"/>
                    <w:textAlignment w:val="center"/>
                    <w:rPr>
                      <w:bCs/>
                      <w:color w:val="auto"/>
                      <w:spacing w:val="-10"/>
                      <w:szCs w:val="21"/>
                    </w:rPr>
                  </w:pPr>
                  <w:r>
                    <w:rPr>
                      <w:color w:val="auto"/>
                      <w:kern w:val="0"/>
                      <w:szCs w:val="21"/>
                      <w:lang w:bidi="ar"/>
                    </w:rPr>
                    <w:t>污染物</w:t>
                  </w:r>
                </w:p>
              </w:tc>
              <w:tc>
                <w:tcPr>
                  <w:tcW w:w="2665" w:type="dxa"/>
                  <w:vAlign w:val="center"/>
                </w:tcPr>
                <w:p w14:paraId="41C37BA3">
                  <w:pPr>
                    <w:widowControl/>
                    <w:jc w:val="center"/>
                    <w:textAlignment w:val="center"/>
                    <w:rPr>
                      <w:bCs/>
                      <w:color w:val="auto"/>
                      <w:spacing w:val="-10"/>
                      <w:szCs w:val="21"/>
                    </w:rPr>
                  </w:pPr>
                  <w:r>
                    <w:rPr>
                      <w:color w:val="auto"/>
                      <w:kern w:val="0"/>
                      <w:szCs w:val="21"/>
                      <w:lang w:bidi="ar"/>
                    </w:rPr>
                    <w:t>NMHC</w:t>
                  </w:r>
                </w:p>
              </w:tc>
            </w:tr>
            <w:tr w14:paraId="4EB9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3" w:type="pct"/>
                  <w:gridSpan w:val="2"/>
                  <w:vAlign w:val="center"/>
                </w:tcPr>
                <w:p w14:paraId="38E44EF7">
                  <w:pPr>
                    <w:widowControl/>
                    <w:jc w:val="center"/>
                    <w:textAlignment w:val="center"/>
                    <w:rPr>
                      <w:bCs/>
                      <w:color w:val="auto"/>
                      <w:spacing w:val="-10"/>
                      <w:szCs w:val="21"/>
                    </w:rPr>
                  </w:pPr>
                  <w:r>
                    <w:rPr>
                      <w:color w:val="auto"/>
                      <w:kern w:val="0"/>
                      <w:szCs w:val="21"/>
                      <w:lang w:bidi="ar"/>
                    </w:rPr>
                    <w:t>产生量（t/a）</w:t>
                  </w:r>
                </w:p>
              </w:tc>
              <w:tc>
                <w:tcPr>
                  <w:tcW w:w="2665" w:type="dxa"/>
                  <w:vAlign w:val="center"/>
                </w:tcPr>
                <w:p w14:paraId="29B6391E">
                  <w:pPr>
                    <w:keepNext w:val="0"/>
                    <w:keepLines w:val="0"/>
                    <w:widowControl/>
                    <w:suppressLineNumbers w:val="0"/>
                    <w:jc w:val="center"/>
                    <w:textAlignment w:val="center"/>
                    <w:rPr>
                      <w:bCs/>
                      <w:color w:val="auto"/>
                      <w:spacing w:val="-10"/>
                      <w:szCs w:val="21"/>
                    </w:rPr>
                  </w:pPr>
                  <w:r>
                    <w:rPr>
                      <w:rFonts w:hint="default" w:ascii="Times New Roman" w:hAnsi="Times New Roman" w:eastAsia="宋体" w:cs="Times New Roman"/>
                      <w:i w:val="0"/>
                      <w:iCs w:val="0"/>
                      <w:color w:val="auto"/>
                      <w:kern w:val="0"/>
                      <w:sz w:val="21"/>
                      <w:szCs w:val="21"/>
                      <w:u w:val="none"/>
                      <w:lang w:val="en-US" w:eastAsia="zh-CN" w:bidi="ar"/>
                    </w:rPr>
                    <w:t>0.06072</w:t>
                  </w:r>
                </w:p>
              </w:tc>
            </w:tr>
            <w:tr w14:paraId="5292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33" w:type="pct"/>
                  <w:gridSpan w:val="2"/>
                  <w:vAlign w:val="center"/>
                </w:tcPr>
                <w:p w14:paraId="4E3E706A">
                  <w:pPr>
                    <w:widowControl/>
                    <w:jc w:val="center"/>
                    <w:textAlignment w:val="center"/>
                    <w:rPr>
                      <w:bCs/>
                      <w:color w:val="auto"/>
                      <w:spacing w:val="-10"/>
                      <w:szCs w:val="21"/>
                    </w:rPr>
                  </w:pPr>
                  <w:r>
                    <w:rPr>
                      <w:color w:val="auto"/>
                      <w:kern w:val="0"/>
                      <w:szCs w:val="21"/>
                      <w:lang w:bidi="ar"/>
                    </w:rPr>
                    <w:t>收集效率</w:t>
                  </w:r>
                </w:p>
              </w:tc>
              <w:tc>
                <w:tcPr>
                  <w:tcW w:w="2665" w:type="dxa"/>
                  <w:vAlign w:val="center"/>
                </w:tcPr>
                <w:p w14:paraId="4C6B7C75">
                  <w:pPr>
                    <w:keepNext w:val="0"/>
                    <w:keepLines w:val="0"/>
                    <w:widowControl/>
                    <w:suppressLineNumbers w:val="0"/>
                    <w:jc w:val="center"/>
                    <w:textAlignment w:val="center"/>
                    <w:rPr>
                      <w:rFonts w:eastAsiaTheme="minorEastAsia"/>
                      <w:bCs/>
                      <w:color w:val="auto"/>
                      <w:spacing w:val="-10"/>
                      <w:szCs w:val="21"/>
                    </w:rPr>
                  </w:pPr>
                  <w:r>
                    <w:rPr>
                      <w:rFonts w:hint="default" w:ascii="Times New Roman" w:hAnsi="Times New Roman" w:eastAsia="宋体" w:cs="Times New Roman"/>
                      <w:i w:val="0"/>
                      <w:iCs w:val="0"/>
                      <w:color w:val="auto"/>
                      <w:kern w:val="0"/>
                      <w:sz w:val="21"/>
                      <w:szCs w:val="21"/>
                      <w:u w:val="none"/>
                      <w:lang w:val="en-US" w:eastAsia="zh-CN" w:bidi="ar"/>
                    </w:rPr>
                    <w:t>65%</w:t>
                  </w:r>
                </w:p>
              </w:tc>
            </w:tr>
            <w:tr w14:paraId="0BC0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2" w:type="pct"/>
                  <w:vMerge w:val="restart"/>
                  <w:vAlign w:val="center"/>
                </w:tcPr>
                <w:p w14:paraId="55B4423F">
                  <w:pPr>
                    <w:widowControl/>
                    <w:jc w:val="center"/>
                    <w:textAlignment w:val="center"/>
                    <w:rPr>
                      <w:bCs/>
                      <w:color w:val="auto"/>
                      <w:spacing w:val="-10"/>
                      <w:szCs w:val="21"/>
                    </w:rPr>
                  </w:pPr>
                  <w:r>
                    <w:rPr>
                      <w:color w:val="auto"/>
                      <w:kern w:val="0"/>
                      <w:szCs w:val="21"/>
                      <w:lang w:bidi="ar"/>
                    </w:rPr>
                    <w:t>有组织</w:t>
                  </w:r>
                </w:p>
              </w:tc>
              <w:tc>
                <w:tcPr>
                  <w:tcW w:w="2611" w:type="pct"/>
                  <w:vAlign w:val="center"/>
                </w:tcPr>
                <w:p w14:paraId="7F5E3CEE">
                  <w:pPr>
                    <w:widowControl/>
                    <w:jc w:val="center"/>
                    <w:textAlignment w:val="center"/>
                    <w:rPr>
                      <w:bCs/>
                      <w:color w:val="auto"/>
                      <w:spacing w:val="-10"/>
                      <w:szCs w:val="21"/>
                    </w:rPr>
                  </w:pPr>
                  <w:r>
                    <w:rPr>
                      <w:color w:val="auto"/>
                      <w:kern w:val="0"/>
                      <w:szCs w:val="21"/>
                      <w:lang w:bidi="ar"/>
                    </w:rPr>
                    <w:t>收集量（t/a）</w:t>
                  </w:r>
                </w:p>
              </w:tc>
              <w:tc>
                <w:tcPr>
                  <w:tcW w:w="2665" w:type="dxa"/>
                  <w:vAlign w:val="center"/>
                </w:tcPr>
                <w:p w14:paraId="5D5472B1">
                  <w:pPr>
                    <w:keepNext w:val="0"/>
                    <w:keepLines w:val="0"/>
                    <w:widowControl/>
                    <w:suppressLineNumbers w:val="0"/>
                    <w:jc w:val="center"/>
                    <w:textAlignment w:val="center"/>
                    <w:rPr>
                      <w:bCs/>
                      <w:color w:val="auto"/>
                      <w:spacing w:val="-10"/>
                      <w:szCs w:val="21"/>
                    </w:rPr>
                  </w:pPr>
                  <w:r>
                    <w:rPr>
                      <w:rFonts w:hint="default" w:ascii="Times New Roman" w:hAnsi="Times New Roman" w:eastAsia="宋体" w:cs="Times New Roman"/>
                      <w:i w:val="0"/>
                      <w:iCs w:val="0"/>
                      <w:color w:val="auto"/>
                      <w:kern w:val="0"/>
                      <w:sz w:val="21"/>
                      <w:szCs w:val="21"/>
                      <w:u w:val="none"/>
                      <w:lang w:val="en-US" w:eastAsia="zh-CN" w:bidi="ar"/>
                    </w:rPr>
                    <w:t>0.039468</w:t>
                  </w:r>
                </w:p>
              </w:tc>
            </w:tr>
            <w:tr w14:paraId="2D57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 w:type="pct"/>
                  <w:vMerge w:val="continue"/>
                  <w:vAlign w:val="center"/>
                </w:tcPr>
                <w:p w14:paraId="7F090DE2">
                  <w:pPr>
                    <w:jc w:val="center"/>
                    <w:rPr>
                      <w:bCs/>
                      <w:color w:val="auto"/>
                      <w:spacing w:val="-10"/>
                      <w:szCs w:val="21"/>
                    </w:rPr>
                  </w:pPr>
                </w:p>
              </w:tc>
              <w:tc>
                <w:tcPr>
                  <w:tcW w:w="2611" w:type="pct"/>
                  <w:vAlign w:val="center"/>
                </w:tcPr>
                <w:p w14:paraId="196695F5">
                  <w:pPr>
                    <w:widowControl/>
                    <w:jc w:val="center"/>
                    <w:textAlignment w:val="center"/>
                    <w:rPr>
                      <w:bCs/>
                      <w:color w:val="auto"/>
                      <w:spacing w:val="-10"/>
                      <w:szCs w:val="21"/>
                    </w:rPr>
                  </w:pPr>
                  <w:r>
                    <w:rPr>
                      <w:color w:val="auto"/>
                      <w:kern w:val="0"/>
                      <w:szCs w:val="21"/>
                      <w:lang w:bidi="ar"/>
                    </w:rPr>
                    <w:t>产生速率（kg/h）</w:t>
                  </w:r>
                </w:p>
              </w:tc>
              <w:tc>
                <w:tcPr>
                  <w:tcW w:w="2665" w:type="dxa"/>
                  <w:vAlign w:val="center"/>
                </w:tcPr>
                <w:p w14:paraId="0F939F6A">
                  <w:pPr>
                    <w:keepNext w:val="0"/>
                    <w:keepLines w:val="0"/>
                    <w:widowControl/>
                    <w:suppressLineNumbers w:val="0"/>
                    <w:jc w:val="center"/>
                    <w:textAlignment w:val="center"/>
                    <w:rPr>
                      <w:bCs/>
                      <w:color w:val="auto"/>
                      <w:spacing w:val="-10"/>
                      <w:szCs w:val="21"/>
                    </w:rPr>
                  </w:pPr>
                  <w:r>
                    <w:rPr>
                      <w:rFonts w:hint="default" w:ascii="Times New Roman" w:hAnsi="Times New Roman" w:eastAsia="宋体" w:cs="Times New Roman"/>
                      <w:i w:val="0"/>
                      <w:iCs w:val="0"/>
                      <w:color w:val="auto"/>
                      <w:kern w:val="0"/>
                      <w:sz w:val="21"/>
                      <w:szCs w:val="21"/>
                      <w:u w:val="none"/>
                      <w:lang w:val="en-US" w:eastAsia="zh-CN" w:bidi="ar"/>
                    </w:rPr>
                    <w:t>0.019</w:t>
                  </w:r>
                </w:p>
              </w:tc>
            </w:tr>
            <w:tr w14:paraId="663D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2" w:type="pct"/>
                  <w:vMerge w:val="continue"/>
                  <w:vAlign w:val="center"/>
                </w:tcPr>
                <w:p w14:paraId="0B95E65E">
                  <w:pPr>
                    <w:jc w:val="center"/>
                    <w:rPr>
                      <w:bCs/>
                      <w:color w:val="auto"/>
                      <w:spacing w:val="-10"/>
                      <w:szCs w:val="21"/>
                    </w:rPr>
                  </w:pPr>
                </w:p>
              </w:tc>
              <w:tc>
                <w:tcPr>
                  <w:tcW w:w="2611" w:type="pct"/>
                  <w:vAlign w:val="center"/>
                </w:tcPr>
                <w:p w14:paraId="10B362F1">
                  <w:pPr>
                    <w:widowControl/>
                    <w:jc w:val="center"/>
                    <w:textAlignment w:val="center"/>
                    <w:rPr>
                      <w:bCs/>
                      <w:color w:val="auto"/>
                      <w:spacing w:val="-10"/>
                      <w:szCs w:val="21"/>
                    </w:rPr>
                  </w:pPr>
                  <w:r>
                    <w:rPr>
                      <w:color w:val="auto"/>
                      <w:kern w:val="0"/>
                      <w:szCs w:val="21"/>
                      <w:lang w:bidi="ar"/>
                    </w:rPr>
                    <w:t>产生浓度（mg/m</w:t>
                  </w:r>
                  <w:r>
                    <w:rPr>
                      <w:rStyle w:val="160"/>
                      <w:color w:val="auto"/>
                      <w:vertAlign w:val="superscript"/>
                      <w:lang w:bidi="ar"/>
                    </w:rPr>
                    <w:t>3</w:t>
                  </w:r>
                  <w:r>
                    <w:rPr>
                      <w:color w:val="auto"/>
                      <w:kern w:val="0"/>
                      <w:szCs w:val="21"/>
                      <w:lang w:bidi="ar"/>
                    </w:rPr>
                    <w:t>）</w:t>
                  </w:r>
                </w:p>
              </w:tc>
              <w:tc>
                <w:tcPr>
                  <w:tcW w:w="2665" w:type="dxa"/>
                  <w:vAlign w:val="center"/>
                </w:tcPr>
                <w:p w14:paraId="4CE77345">
                  <w:pPr>
                    <w:keepNext w:val="0"/>
                    <w:keepLines w:val="0"/>
                    <w:widowControl/>
                    <w:suppressLineNumbers w:val="0"/>
                    <w:jc w:val="center"/>
                    <w:textAlignment w:val="center"/>
                    <w:rPr>
                      <w:bCs/>
                      <w:color w:val="auto"/>
                      <w:spacing w:val="-10"/>
                      <w:szCs w:val="21"/>
                    </w:rPr>
                  </w:pPr>
                  <w:r>
                    <w:rPr>
                      <w:rFonts w:hint="default" w:ascii="Times New Roman" w:hAnsi="Times New Roman" w:eastAsia="宋体" w:cs="Times New Roman"/>
                      <w:i w:val="0"/>
                      <w:iCs w:val="0"/>
                      <w:color w:val="auto"/>
                      <w:kern w:val="0"/>
                      <w:sz w:val="21"/>
                      <w:szCs w:val="21"/>
                      <w:u w:val="none"/>
                      <w:lang w:val="en-US" w:eastAsia="zh-CN" w:bidi="ar"/>
                    </w:rPr>
                    <w:t>12.65</w:t>
                  </w:r>
                </w:p>
              </w:tc>
            </w:tr>
            <w:tr w14:paraId="23EB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 w:type="pct"/>
                  <w:vMerge w:val="continue"/>
                  <w:vAlign w:val="center"/>
                </w:tcPr>
                <w:p w14:paraId="71064057">
                  <w:pPr>
                    <w:jc w:val="center"/>
                    <w:rPr>
                      <w:bCs/>
                      <w:color w:val="auto"/>
                      <w:spacing w:val="-10"/>
                      <w:szCs w:val="21"/>
                    </w:rPr>
                  </w:pPr>
                </w:p>
              </w:tc>
              <w:tc>
                <w:tcPr>
                  <w:tcW w:w="2611" w:type="pct"/>
                  <w:vAlign w:val="center"/>
                </w:tcPr>
                <w:p w14:paraId="17DF410B">
                  <w:pPr>
                    <w:widowControl/>
                    <w:jc w:val="center"/>
                    <w:textAlignment w:val="center"/>
                    <w:rPr>
                      <w:bCs/>
                      <w:color w:val="auto"/>
                      <w:spacing w:val="-10"/>
                      <w:szCs w:val="21"/>
                    </w:rPr>
                  </w:pPr>
                  <w:r>
                    <w:rPr>
                      <w:color w:val="auto"/>
                      <w:kern w:val="0"/>
                      <w:szCs w:val="21"/>
                      <w:lang w:bidi="ar"/>
                    </w:rPr>
                    <w:t>处理设施</w:t>
                  </w:r>
                </w:p>
              </w:tc>
              <w:tc>
                <w:tcPr>
                  <w:tcW w:w="2665" w:type="dxa"/>
                  <w:vAlign w:val="center"/>
                </w:tcPr>
                <w:p w14:paraId="6ACF0B26">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1"/>
                      <w:szCs w:val="21"/>
                      <w:u w:val="none"/>
                      <w:lang w:val="en-US" w:eastAsia="zh-CN" w:bidi="ar"/>
                    </w:rPr>
                    <w:t>活性炭吸附</w:t>
                  </w:r>
                </w:p>
              </w:tc>
            </w:tr>
            <w:tr w14:paraId="100D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822" w:type="pct"/>
                  <w:vMerge w:val="continue"/>
                  <w:vAlign w:val="center"/>
                </w:tcPr>
                <w:p w14:paraId="237C90DA">
                  <w:pPr>
                    <w:jc w:val="center"/>
                    <w:rPr>
                      <w:bCs/>
                      <w:color w:val="auto"/>
                      <w:spacing w:val="-10"/>
                      <w:szCs w:val="21"/>
                    </w:rPr>
                  </w:pPr>
                </w:p>
              </w:tc>
              <w:tc>
                <w:tcPr>
                  <w:tcW w:w="2611" w:type="pct"/>
                  <w:vAlign w:val="center"/>
                </w:tcPr>
                <w:p w14:paraId="7CCDCBAA">
                  <w:pPr>
                    <w:widowControl/>
                    <w:jc w:val="center"/>
                    <w:textAlignment w:val="center"/>
                    <w:rPr>
                      <w:bCs/>
                      <w:color w:val="auto"/>
                      <w:spacing w:val="-10"/>
                      <w:szCs w:val="21"/>
                    </w:rPr>
                  </w:pPr>
                  <w:r>
                    <w:rPr>
                      <w:color w:val="auto"/>
                      <w:kern w:val="0"/>
                      <w:szCs w:val="21"/>
                      <w:lang w:bidi="ar"/>
                    </w:rPr>
                    <w:t>去除率（%）</w:t>
                  </w:r>
                </w:p>
              </w:tc>
              <w:tc>
                <w:tcPr>
                  <w:tcW w:w="2665" w:type="dxa"/>
                  <w:vAlign w:val="center"/>
                </w:tcPr>
                <w:p w14:paraId="7E0B3C1B">
                  <w:pPr>
                    <w:keepNext w:val="0"/>
                    <w:keepLines w:val="0"/>
                    <w:widowControl/>
                    <w:suppressLineNumbers w:val="0"/>
                    <w:jc w:val="center"/>
                    <w:textAlignment w:val="center"/>
                    <w:rPr>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50%</w:t>
                  </w:r>
                </w:p>
              </w:tc>
            </w:tr>
            <w:tr w14:paraId="637C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2" w:type="pct"/>
                  <w:vMerge w:val="continue"/>
                  <w:vAlign w:val="center"/>
                </w:tcPr>
                <w:p w14:paraId="7ACC235F">
                  <w:pPr>
                    <w:jc w:val="center"/>
                    <w:rPr>
                      <w:bCs/>
                      <w:color w:val="auto"/>
                      <w:spacing w:val="-10"/>
                      <w:szCs w:val="21"/>
                    </w:rPr>
                  </w:pPr>
                </w:p>
              </w:tc>
              <w:tc>
                <w:tcPr>
                  <w:tcW w:w="2611" w:type="pct"/>
                  <w:vAlign w:val="center"/>
                </w:tcPr>
                <w:p w14:paraId="0475FAB0">
                  <w:pPr>
                    <w:widowControl/>
                    <w:jc w:val="center"/>
                    <w:textAlignment w:val="center"/>
                    <w:rPr>
                      <w:bCs/>
                      <w:color w:val="auto"/>
                      <w:spacing w:val="-10"/>
                      <w:szCs w:val="21"/>
                    </w:rPr>
                  </w:pPr>
                  <w:r>
                    <w:rPr>
                      <w:color w:val="auto"/>
                      <w:kern w:val="0"/>
                      <w:szCs w:val="21"/>
                      <w:lang w:bidi="ar"/>
                    </w:rPr>
                    <w:t>排放量（t/a）</w:t>
                  </w:r>
                </w:p>
              </w:tc>
              <w:tc>
                <w:tcPr>
                  <w:tcW w:w="2665" w:type="dxa"/>
                  <w:vAlign w:val="center"/>
                </w:tcPr>
                <w:p w14:paraId="3D1ED920">
                  <w:pPr>
                    <w:keepNext w:val="0"/>
                    <w:keepLines w:val="0"/>
                    <w:widowControl/>
                    <w:suppressLineNumbers w:val="0"/>
                    <w:jc w:val="center"/>
                    <w:textAlignment w:val="center"/>
                    <w:rPr>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0.019734</w:t>
                  </w:r>
                </w:p>
              </w:tc>
            </w:tr>
            <w:tr w14:paraId="19F9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 w:type="pct"/>
                  <w:vMerge w:val="continue"/>
                  <w:vAlign w:val="center"/>
                </w:tcPr>
                <w:p w14:paraId="39701908">
                  <w:pPr>
                    <w:jc w:val="center"/>
                    <w:rPr>
                      <w:bCs/>
                      <w:color w:val="auto"/>
                      <w:spacing w:val="-10"/>
                      <w:szCs w:val="21"/>
                    </w:rPr>
                  </w:pPr>
                </w:p>
              </w:tc>
              <w:tc>
                <w:tcPr>
                  <w:tcW w:w="2611" w:type="pct"/>
                  <w:vAlign w:val="center"/>
                </w:tcPr>
                <w:p w14:paraId="1C7D256B">
                  <w:pPr>
                    <w:widowControl/>
                    <w:jc w:val="center"/>
                    <w:textAlignment w:val="center"/>
                    <w:rPr>
                      <w:bCs/>
                      <w:color w:val="auto"/>
                      <w:spacing w:val="-10"/>
                      <w:szCs w:val="21"/>
                    </w:rPr>
                  </w:pPr>
                  <w:r>
                    <w:rPr>
                      <w:color w:val="auto"/>
                      <w:kern w:val="0"/>
                      <w:szCs w:val="21"/>
                      <w:lang w:bidi="ar"/>
                    </w:rPr>
                    <w:t>排放速率（kg/h）</w:t>
                  </w:r>
                </w:p>
              </w:tc>
              <w:tc>
                <w:tcPr>
                  <w:tcW w:w="2665" w:type="dxa"/>
                  <w:vAlign w:val="center"/>
                </w:tcPr>
                <w:p w14:paraId="081147BA">
                  <w:pPr>
                    <w:keepNext w:val="0"/>
                    <w:keepLines w:val="0"/>
                    <w:widowControl/>
                    <w:suppressLineNumbers w:val="0"/>
                    <w:jc w:val="center"/>
                    <w:textAlignment w:val="center"/>
                    <w:rPr>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0.0095</w:t>
                  </w:r>
                </w:p>
              </w:tc>
            </w:tr>
            <w:tr w14:paraId="6AAA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822" w:type="pct"/>
                  <w:vMerge w:val="continue"/>
                  <w:vAlign w:val="center"/>
                </w:tcPr>
                <w:p w14:paraId="0D047645">
                  <w:pPr>
                    <w:jc w:val="center"/>
                    <w:rPr>
                      <w:bCs/>
                      <w:color w:val="auto"/>
                      <w:spacing w:val="-10"/>
                      <w:szCs w:val="21"/>
                    </w:rPr>
                  </w:pPr>
                </w:p>
              </w:tc>
              <w:tc>
                <w:tcPr>
                  <w:tcW w:w="2611" w:type="pct"/>
                  <w:vAlign w:val="center"/>
                </w:tcPr>
                <w:p w14:paraId="7F39EDB5">
                  <w:pPr>
                    <w:widowControl/>
                    <w:jc w:val="center"/>
                    <w:textAlignment w:val="center"/>
                    <w:rPr>
                      <w:bCs/>
                      <w:color w:val="auto"/>
                      <w:spacing w:val="-10"/>
                      <w:szCs w:val="21"/>
                    </w:rPr>
                  </w:pPr>
                  <w:r>
                    <w:rPr>
                      <w:color w:val="auto"/>
                      <w:kern w:val="0"/>
                      <w:szCs w:val="21"/>
                      <w:lang w:bidi="ar"/>
                    </w:rPr>
                    <w:t>排放浓度（mg/m</w:t>
                  </w:r>
                  <w:r>
                    <w:rPr>
                      <w:rStyle w:val="160"/>
                      <w:color w:val="auto"/>
                      <w:vertAlign w:val="superscript"/>
                      <w:lang w:bidi="ar"/>
                    </w:rPr>
                    <w:t>3</w:t>
                  </w:r>
                  <w:r>
                    <w:rPr>
                      <w:color w:val="auto"/>
                      <w:kern w:val="0"/>
                      <w:szCs w:val="21"/>
                      <w:lang w:bidi="ar"/>
                    </w:rPr>
                    <w:t>）</w:t>
                  </w:r>
                </w:p>
              </w:tc>
              <w:tc>
                <w:tcPr>
                  <w:tcW w:w="2665" w:type="dxa"/>
                  <w:vAlign w:val="center"/>
                </w:tcPr>
                <w:p w14:paraId="6C61453E">
                  <w:pPr>
                    <w:keepNext w:val="0"/>
                    <w:keepLines w:val="0"/>
                    <w:widowControl/>
                    <w:suppressLineNumbers w:val="0"/>
                    <w:jc w:val="center"/>
                    <w:textAlignment w:val="center"/>
                    <w:rPr>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6.325</w:t>
                  </w:r>
                </w:p>
              </w:tc>
            </w:tr>
            <w:tr w14:paraId="7027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822" w:type="pct"/>
                  <w:vMerge w:val="restart"/>
                  <w:vAlign w:val="center"/>
                </w:tcPr>
                <w:p w14:paraId="2220DC41">
                  <w:pPr>
                    <w:widowControl/>
                    <w:jc w:val="center"/>
                    <w:textAlignment w:val="center"/>
                    <w:rPr>
                      <w:bCs/>
                      <w:color w:val="auto"/>
                      <w:spacing w:val="-10"/>
                      <w:szCs w:val="21"/>
                    </w:rPr>
                  </w:pPr>
                  <w:r>
                    <w:rPr>
                      <w:color w:val="auto"/>
                      <w:kern w:val="0"/>
                      <w:szCs w:val="21"/>
                      <w:lang w:bidi="ar"/>
                    </w:rPr>
                    <w:t>无组织</w:t>
                  </w:r>
                </w:p>
              </w:tc>
              <w:tc>
                <w:tcPr>
                  <w:tcW w:w="2611" w:type="pct"/>
                  <w:vAlign w:val="center"/>
                </w:tcPr>
                <w:p w14:paraId="61AE6B66">
                  <w:pPr>
                    <w:widowControl/>
                    <w:jc w:val="center"/>
                    <w:textAlignment w:val="center"/>
                    <w:rPr>
                      <w:bCs/>
                      <w:color w:val="auto"/>
                      <w:spacing w:val="-10"/>
                      <w:szCs w:val="21"/>
                    </w:rPr>
                  </w:pPr>
                  <w:r>
                    <w:rPr>
                      <w:color w:val="auto"/>
                      <w:kern w:val="0"/>
                      <w:szCs w:val="21"/>
                      <w:lang w:bidi="ar"/>
                    </w:rPr>
                    <w:t>排放量（t/a）</w:t>
                  </w:r>
                </w:p>
              </w:tc>
              <w:tc>
                <w:tcPr>
                  <w:tcW w:w="2665" w:type="dxa"/>
                  <w:vAlign w:val="center"/>
                </w:tcPr>
                <w:p w14:paraId="7B5B1453">
                  <w:pPr>
                    <w:keepNext w:val="0"/>
                    <w:keepLines w:val="0"/>
                    <w:widowControl/>
                    <w:suppressLineNumbers w:val="0"/>
                    <w:jc w:val="center"/>
                    <w:textAlignment w:val="center"/>
                    <w:rPr>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0.021252</w:t>
                  </w:r>
                </w:p>
              </w:tc>
            </w:tr>
            <w:tr w14:paraId="5531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 w:type="pct"/>
                  <w:vMerge w:val="continue"/>
                  <w:vAlign w:val="center"/>
                </w:tcPr>
                <w:p w14:paraId="3B33DBC7">
                  <w:pPr>
                    <w:jc w:val="center"/>
                    <w:rPr>
                      <w:bCs/>
                      <w:color w:val="auto"/>
                      <w:spacing w:val="-10"/>
                      <w:szCs w:val="21"/>
                    </w:rPr>
                  </w:pPr>
                </w:p>
              </w:tc>
              <w:tc>
                <w:tcPr>
                  <w:tcW w:w="2611" w:type="pct"/>
                  <w:vAlign w:val="center"/>
                </w:tcPr>
                <w:p w14:paraId="4F833F07">
                  <w:pPr>
                    <w:widowControl/>
                    <w:jc w:val="center"/>
                    <w:textAlignment w:val="center"/>
                    <w:rPr>
                      <w:bCs/>
                      <w:color w:val="auto"/>
                      <w:spacing w:val="-10"/>
                      <w:szCs w:val="21"/>
                    </w:rPr>
                  </w:pPr>
                  <w:r>
                    <w:rPr>
                      <w:color w:val="auto"/>
                      <w:kern w:val="0"/>
                      <w:szCs w:val="21"/>
                      <w:lang w:bidi="ar"/>
                    </w:rPr>
                    <w:t>排放速率（kg/h）</w:t>
                  </w:r>
                </w:p>
              </w:tc>
              <w:tc>
                <w:tcPr>
                  <w:tcW w:w="2665" w:type="dxa"/>
                  <w:vAlign w:val="center"/>
                </w:tcPr>
                <w:p w14:paraId="7915D24C">
                  <w:pPr>
                    <w:keepNext w:val="0"/>
                    <w:keepLines w:val="0"/>
                    <w:widowControl/>
                    <w:suppressLineNumbers w:val="0"/>
                    <w:jc w:val="center"/>
                    <w:textAlignment w:val="center"/>
                    <w:rPr>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0.0102</w:t>
                  </w:r>
                </w:p>
              </w:tc>
            </w:tr>
            <w:tr w14:paraId="4F6E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3" w:type="pct"/>
                  <w:gridSpan w:val="2"/>
                  <w:vAlign w:val="center"/>
                </w:tcPr>
                <w:p w14:paraId="6A763DE1">
                  <w:pPr>
                    <w:widowControl/>
                    <w:jc w:val="center"/>
                    <w:textAlignment w:val="center"/>
                    <w:rPr>
                      <w:bCs/>
                      <w:color w:val="auto"/>
                      <w:spacing w:val="-10"/>
                      <w:szCs w:val="21"/>
                    </w:rPr>
                  </w:pPr>
                  <w:r>
                    <w:rPr>
                      <w:color w:val="auto"/>
                      <w:kern w:val="0"/>
                      <w:szCs w:val="21"/>
                      <w:lang w:bidi="ar"/>
                    </w:rPr>
                    <w:t>总排风量（m</w:t>
                  </w:r>
                  <w:r>
                    <w:rPr>
                      <w:rStyle w:val="160"/>
                      <w:color w:val="auto"/>
                      <w:vertAlign w:val="superscript"/>
                      <w:lang w:bidi="ar"/>
                    </w:rPr>
                    <w:t>3</w:t>
                  </w:r>
                  <w:r>
                    <w:rPr>
                      <w:color w:val="auto"/>
                      <w:kern w:val="0"/>
                      <w:szCs w:val="21"/>
                      <w:lang w:bidi="ar"/>
                    </w:rPr>
                    <w:t>/h）</w:t>
                  </w:r>
                </w:p>
              </w:tc>
              <w:tc>
                <w:tcPr>
                  <w:tcW w:w="2665" w:type="dxa"/>
                  <w:vAlign w:val="center"/>
                </w:tcPr>
                <w:p w14:paraId="5530E283">
                  <w:pPr>
                    <w:widowControl/>
                    <w:jc w:val="center"/>
                    <w:textAlignment w:val="center"/>
                    <w:rPr>
                      <w:color w:val="auto"/>
                      <w:kern w:val="0"/>
                      <w:szCs w:val="21"/>
                      <w:lang w:bidi="ar"/>
                    </w:rPr>
                  </w:pPr>
                  <w:r>
                    <w:rPr>
                      <w:color w:val="auto"/>
                      <w:kern w:val="0"/>
                      <w:szCs w:val="21"/>
                      <w:lang w:bidi="ar"/>
                    </w:rPr>
                    <w:t>1500</w:t>
                  </w:r>
                </w:p>
              </w:tc>
            </w:tr>
            <w:tr w14:paraId="118E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3" w:type="pct"/>
                  <w:gridSpan w:val="2"/>
                  <w:vAlign w:val="center"/>
                </w:tcPr>
                <w:p w14:paraId="63DCC6CC">
                  <w:pPr>
                    <w:widowControl/>
                    <w:jc w:val="center"/>
                    <w:textAlignment w:val="center"/>
                    <w:rPr>
                      <w:bCs/>
                      <w:color w:val="auto"/>
                      <w:spacing w:val="-10"/>
                      <w:szCs w:val="21"/>
                    </w:rPr>
                  </w:pPr>
                  <w:r>
                    <w:rPr>
                      <w:color w:val="auto"/>
                      <w:kern w:val="0"/>
                      <w:szCs w:val="21"/>
                      <w:lang w:bidi="ar"/>
                    </w:rPr>
                    <w:t>有组织排放高度（m）</w:t>
                  </w:r>
                </w:p>
              </w:tc>
              <w:tc>
                <w:tcPr>
                  <w:tcW w:w="2665" w:type="dxa"/>
                  <w:vAlign w:val="center"/>
                </w:tcPr>
                <w:p w14:paraId="27C37C91">
                  <w:pPr>
                    <w:widowControl/>
                    <w:jc w:val="center"/>
                    <w:textAlignment w:val="center"/>
                    <w:rPr>
                      <w:rFonts w:hint="default"/>
                      <w:color w:val="auto"/>
                      <w:kern w:val="0"/>
                      <w:szCs w:val="21"/>
                      <w:lang w:val="en-US" w:bidi="ar"/>
                    </w:rPr>
                  </w:pPr>
                  <w:r>
                    <w:rPr>
                      <w:rFonts w:hint="eastAsia"/>
                      <w:color w:val="auto"/>
                      <w:kern w:val="0"/>
                      <w:szCs w:val="21"/>
                      <w:lang w:val="en-US" w:eastAsia="zh-CN" w:bidi="ar"/>
                    </w:rPr>
                    <w:t>22.5</w:t>
                  </w:r>
                </w:p>
              </w:tc>
            </w:tr>
            <w:tr w14:paraId="2626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3" w:type="pct"/>
                  <w:gridSpan w:val="2"/>
                  <w:vAlign w:val="center"/>
                </w:tcPr>
                <w:p w14:paraId="25FEAD28">
                  <w:pPr>
                    <w:widowControl/>
                    <w:jc w:val="center"/>
                    <w:textAlignment w:val="center"/>
                    <w:rPr>
                      <w:bCs/>
                      <w:color w:val="auto"/>
                      <w:spacing w:val="-10"/>
                      <w:szCs w:val="21"/>
                    </w:rPr>
                  </w:pPr>
                  <w:r>
                    <w:rPr>
                      <w:color w:val="auto"/>
                      <w:kern w:val="0"/>
                      <w:szCs w:val="21"/>
                      <w:lang w:bidi="ar"/>
                    </w:rPr>
                    <w:t>工作时间（h）</w:t>
                  </w:r>
                </w:p>
              </w:tc>
              <w:tc>
                <w:tcPr>
                  <w:tcW w:w="2665" w:type="dxa"/>
                  <w:vAlign w:val="center"/>
                </w:tcPr>
                <w:p w14:paraId="36459306">
                  <w:pPr>
                    <w:widowControl/>
                    <w:jc w:val="center"/>
                    <w:textAlignment w:val="center"/>
                    <w:rPr>
                      <w:color w:val="auto"/>
                      <w:kern w:val="0"/>
                      <w:szCs w:val="21"/>
                      <w:lang w:bidi="ar"/>
                    </w:rPr>
                  </w:pPr>
                  <w:r>
                    <w:rPr>
                      <w:color w:val="auto"/>
                      <w:kern w:val="0"/>
                      <w:szCs w:val="21"/>
                      <w:lang w:bidi="ar"/>
                    </w:rPr>
                    <w:t>2080</w:t>
                  </w:r>
                </w:p>
              </w:tc>
            </w:tr>
          </w:tbl>
          <w:p w14:paraId="21FB6DBF">
            <w:pPr>
              <w:autoSpaceDE w:val="0"/>
              <w:autoSpaceDN w:val="0"/>
              <w:adjustRightInd w:val="0"/>
              <w:snapToGrid w:val="0"/>
              <w:spacing w:line="360" w:lineRule="auto"/>
              <w:jc w:val="center"/>
              <w:rPr>
                <w:b/>
                <w:bCs/>
                <w:color w:val="auto"/>
                <w:kern w:val="0"/>
                <w:sz w:val="24"/>
                <w:szCs w:val="24"/>
              </w:rPr>
            </w:pPr>
            <w:r>
              <w:rPr>
                <w:b/>
                <w:bCs/>
                <w:color w:val="auto"/>
                <w:sz w:val="24"/>
                <w:szCs w:val="32"/>
              </w:rPr>
              <w:t>表</w:t>
            </w:r>
            <w:r>
              <w:rPr>
                <w:b/>
                <w:bCs/>
                <w:color w:val="auto"/>
                <w:sz w:val="24"/>
                <w:szCs w:val="32"/>
              </w:rPr>
              <w:fldChar w:fldCharType="begin"/>
            </w:r>
            <w:r>
              <w:rPr>
                <w:b/>
                <w:bCs/>
                <w:color w:val="auto"/>
                <w:sz w:val="24"/>
                <w:szCs w:val="32"/>
              </w:rPr>
              <w:instrText xml:space="preserve"> SEQ 表 \* ARABIC </w:instrText>
            </w:r>
            <w:r>
              <w:rPr>
                <w:b/>
                <w:bCs/>
                <w:color w:val="auto"/>
                <w:sz w:val="24"/>
                <w:szCs w:val="32"/>
              </w:rPr>
              <w:fldChar w:fldCharType="separate"/>
            </w:r>
            <w:r>
              <w:rPr>
                <w:b/>
                <w:bCs/>
                <w:color w:val="auto"/>
                <w:sz w:val="24"/>
                <w:szCs w:val="32"/>
              </w:rPr>
              <w:t>30</w:t>
            </w:r>
            <w:r>
              <w:rPr>
                <w:b/>
                <w:bCs/>
                <w:color w:val="auto"/>
                <w:sz w:val="24"/>
                <w:szCs w:val="32"/>
              </w:rPr>
              <w:fldChar w:fldCharType="end"/>
            </w:r>
            <w:r>
              <w:rPr>
                <w:b/>
                <w:bCs/>
                <w:color w:val="auto"/>
                <w:sz w:val="24"/>
                <w:szCs w:val="32"/>
              </w:rPr>
              <w:t xml:space="preserve">  项目</w:t>
            </w:r>
            <w:r>
              <w:rPr>
                <w:b/>
                <w:bCs/>
                <w:color w:val="auto"/>
                <w:kern w:val="0"/>
                <w:sz w:val="24"/>
                <w:szCs w:val="24"/>
              </w:rPr>
              <w:t>大气污染物有组织排放量核算表</w:t>
            </w:r>
          </w:p>
          <w:tbl>
            <w:tblPr>
              <w:tblStyle w:val="3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
              <w:gridCol w:w="873"/>
              <w:gridCol w:w="2012"/>
              <w:gridCol w:w="1432"/>
              <w:gridCol w:w="1466"/>
              <w:gridCol w:w="2190"/>
            </w:tblGrid>
            <w:tr w14:paraId="7BC8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 w:type="pct"/>
                  <w:tcBorders>
                    <w:tl2br w:val="nil"/>
                    <w:tr2bl w:val="nil"/>
                  </w:tcBorders>
                  <w:vAlign w:val="center"/>
                </w:tcPr>
                <w:p w14:paraId="45AE0856">
                  <w:pPr>
                    <w:adjustRightInd w:val="0"/>
                    <w:snapToGrid w:val="0"/>
                    <w:jc w:val="center"/>
                    <w:rPr>
                      <w:b/>
                      <w:bCs/>
                      <w:color w:val="auto"/>
                      <w:kern w:val="0"/>
                      <w:szCs w:val="21"/>
                    </w:rPr>
                  </w:pPr>
                  <w:r>
                    <w:rPr>
                      <w:b/>
                      <w:bCs/>
                      <w:color w:val="auto"/>
                      <w:kern w:val="0"/>
                      <w:szCs w:val="21"/>
                    </w:rPr>
                    <w:t>序号</w:t>
                  </w:r>
                </w:p>
              </w:tc>
              <w:tc>
                <w:tcPr>
                  <w:tcW w:w="514" w:type="pct"/>
                  <w:tcBorders>
                    <w:tl2br w:val="nil"/>
                    <w:tr2bl w:val="nil"/>
                  </w:tcBorders>
                  <w:vAlign w:val="center"/>
                </w:tcPr>
                <w:p w14:paraId="40829DD0">
                  <w:pPr>
                    <w:adjustRightInd w:val="0"/>
                    <w:snapToGrid w:val="0"/>
                    <w:jc w:val="center"/>
                    <w:rPr>
                      <w:b/>
                      <w:bCs/>
                      <w:color w:val="auto"/>
                      <w:kern w:val="0"/>
                      <w:szCs w:val="21"/>
                    </w:rPr>
                  </w:pPr>
                  <w:r>
                    <w:rPr>
                      <w:b/>
                      <w:bCs/>
                      <w:color w:val="auto"/>
                      <w:kern w:val="0"/>
                      <w:szCs w:val="21"/>
                    </w:rPr>
                    <w:t>排放口</w:t>
                  </w:r>
                </w:p>
                <w:p w14:paraId="6DED14D8">
                  <w:pPr>
                    <w:adjustRightInd w:val="0"/>
                    <w:snapToGrid w:val="0"/>
                    <w:jc w:val="center"/>
                    <w:rPr>
                      <w:b/>
                      <w:bCs/>
                      <w:color w:val="auto"/>
                      <w:kern w:val="0"/>
                      <w:szCs w:val="21"/>
                    </w:rPr>
                  </w:pPr>
                  <w:r>
                    <w:rPr>
                      <w:b/>
                      <w:bCs/>
                      <w:color w:val="auto"/>
                      <w:kern w:val="0"/>
                      <w:szCs w:val="21"/>
                    </w:rPr>
                    <w:t>编号</w:t>
                  </w:r>
                </w:p>
              </w:tc>
              <w:tc>
                <w:tcPr>
                  <w:tcW w:w="1184" w:type="pct"/>
                  <w:tcBorders>
                    <w:tl2br w:val="nil"/>
                    <w:tr2bl w:val="nil"/>
                  </w:tcBorders>
                  <w:vAlign w:val="center"/>
                </w:tcPr>
                <w:p w14:paraId="3B458BF8">
                  <w:pPr>
                    <w:adjustRightInd w:val="0"/>
                    <w:snapToGrid w:val="0"/>
                    <w:jc w:val="center"/>
                    <w:rPr>
                      <w:b/>
                      <w:bCs/>
                      <w:color w:val="auto"/>
                      <w:kern w:val="0"/>
                      <w:szCs w:val="21"/>
                    </w:rPr>
                  </w:pPr>
                  <w:r>
                    <w:rPr>
                      <w:b/>
                      <w:bCs/>
                      <w:color w:val="auto"/>
                      <w:kern w:val="0"/>
                      <w:szCs w:val="21"/>
                    </w:rPr>
                    <w:t>污染物</w:t>
                  </w:r>
                </w:p>
              </w:tc>
              <w:tc>
                <w:tcPr>
                  <w:tcW w:w="843" w:type="pct"/>
                  <w:tcBorders>
                    <w:tl2br w:val="nil"/>
                    <w:tr2bl w:val="nil"/>
                  </w:tcBorders>
                  <w:vAlign w:val="center"/>
                </w:tcPr>
                <w:p w14:paraId="76177957">
                  <w:pPr>
                    <w:adjustRightInd w:val="0"/>
                    <w:snapToGrid w:val="0"/>
                    <w:jc w:val="center"/>
                    <w:rPr>
                      <w:b/>
                      <w:bCs/>
                      <w:color w:val="auto"/>
                      <w:kern w:val="0"/>
                      <w:szCs w:val="21"/>
                    </w:rPr>
                  </w:pPr>
                  <w:r>
                    <w:rPr>
                      <w:b/>
                      <w:bCs/>
                      <w:color w:val="auto"/>
                      <w:kern w:val="0"/>
                      <w:szCs w:val="21"/>
                    </w:rPr>
                    <w:t>核算排放浓度/（mg/m</w:t>
                  </w:r>
                  <w:r>
                    <w:rPr>
                      <w:b/>
                      <w:bCs/>
                      <w:color w:val="auto"/>
                      <w:kern w:val="0"/>
                      <w:szCs w:val="21"/>
                      <w:vertAlign w:val="superscript"/>
                    </w:rPr>
                    <w:t>3</w:t>
                  </w:r>
                  <w:r>
                    <w:rPr>
                      <w:b/>
                      <w:bCs/>
                      <w:color w:val="auto"/>
                      <w:kern w:val="0"/>
                      <w:szCs w:val="21"/>
                    </w:rPr>
                    <w:t>）</w:t>
                  </w:r>
                </w:p>
              </w:tc>
              <w:tc>
                <w:tcPr>
                  <w:tcW w:w="863" w:type="pct"/>
                  <w:tcBorders>
                    <w:tl2br w:val="nil"/>
                    <w:tr2bl w:val="nil"/>
                  </w:tcBorders>
                  <w:vAlign w:val="center"/>
                </w:tcPr>
                <w:p w14:paraId="7D96ED0C">
                  <w:pPr>
                    <w:adjustRightInd w:val="0"/>
                    <w:snapToGrid w:val="0"/>
                    <w:jc w:val="center"/>
                    <w:rPr>
                      <w:b/>
                      <w:bCs/>
                      <w:color w:val="auto"/>
                      <w:kern w:val="0"/>
                      <w:szCs w:val="21"/>
                    </w:rPr>
                  </w:pPr>
                  <w:r>
                    <w:rPr>
                      <w:b/>
                      <w:bCs/>
                      <w:color w:val="auto"/>
                      <w:kern w:val="0"/>
                      <w:szCs w:val="21"/>
                    </w:rPr>
                    <w:t>核算排放速率/（kg/h）</w:t>
                  </w:r>
                </w:p>
              </w:tc>
              <w:tc>
                <w:tcPr>
                  <w:tcW w:w="1287" w:type="pct"/>
                  <w:tcBorders>
                    <w:tl2br w:val="nil"/>
                    <w:tr2bl w:val="nil"/>
                  </w:tcBorders>
                  <w:vAlign w:val="center"/>
                </w:tcPr>
                <w:p w14:paraId="2210DBAC">
                  <w:pPr>
                    <w:adjustRightInd w:val="0"/>
                    <w:snapToGrid w:val="0"/>
                    <w:jc w:val="center"/>
                    <w:rPr>
                      <w:b/>
                      <w:bCs/>
                      <w:color w:val="auto"/>
                      <w:kern w:val="0"/>
                      <w:szCs w:val="21"/>
                    </w:rPr>
                  </w:pPr>
                  <w:r>
                    <w:rPr>
                      <w:b/>
                      <w:bCs/>
                      <w:color w:val="auto"/>
                      <w:kern w:val="0"/>
                      <w:szCs w:val="21"/>
                    </w:rPr>
                    <w:t>核算年排放量/（t/a）</w:t>
                  </w:r>
                </w:p>
              </w:tc>
            </w:tr>
            <w:tr w14:paraId="6477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tcBorders>
                    <w:tl2br w:val="nil"/>
                    <w:tr2bl w:val="nil"/>
                  </w:tcBorders>
                  <w:vAlign w:val="center"/>
                </w:tcPr>
                <w:p w14:paraId="48B8613D">
                  <w:pPr>
                    <w:adjustRightInd w:val="0"/>
                    <w:snapToGrid w:val="0"/>
                    <w:jc w:val="center"/>
                    <w:rPr>
                      <w:color w:val="auto"/>
                      <w:kern w:val="0"/>
                      <w:szCs w:val="21"/>
                    </w:rPr>
                  </w:pPr>
                  <w:r>
                    <w:rPr>
                      <w:color w:val="auto"/>
                      <w:kern w:val="0"/>
                      <w:szCs w:val="21"/>
                    </w:rPr>
                    <w:t>一般排放口</w:t>
                  </w:r>
                </w:p>
              </w:tc>
            </w:tr>
            <w:tr w14:paraId="207A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308" w:type="pct"/>
                  <w:tcBorders>
                    <w:tl2br w:val="nil"/>
                    <w:tr2bl w:val="nil"/>
                  </w:tcBorders>
                  <w:vAlign w:val="center"/>
                </w:tcPr>
                <w:p w14:paraId="4EDFAC7F">
                  <w:pPr>
                    <w:jc w:val="center"/>
                    <w:rPr>
                      <w:color w:val="auto"/>
                      <w:szCs w:val="21"/>
                    </w:rPr>
                  </w:pPr>
                  <w:r>
                    <w:rPr>
                      <w:color w:val="auto"/>
                      <w:szCs w:val="21"/>
                    </w:rPr>
                    <w:t>1</w:t>
                  </w:r>
                </w:p>
              </w:tc>
              <w:tc>
                <w:tcPr>
                  <w:tcW w:w="514" w:type="pct"/>
                  <w:tcBorders>
                    <w:tl2br w:val="nil"/>
                    <w:tr2bl w:val="nil"/>
                  </w:tcBorders>
                  <w:vAlign w:val="center"/>
                </w:tcPr>
                <w:p w14:paraId="75E966D0">
                  <w:pPr>
                    <w:jc w:val="center"/>
                    <w:rPr>
                      <w:color w:val="auto"/>
                      <w:szCs w:val="21"/>
                    </w:rPr>
                  </w:pPr>
                  <w:r>
                    <w:rPr>
                      <w:color w:val="auto"/>
                      <w:szCs w:val="21"/>
                    </w:rPr>
                    <w:t>DA001</w:t>
                  </w:r>
                </w:p>
              </w:tc>
              <w:tc>
                <w:tcPr>
                  <w:tcW w:w="1184" w:type="pct"/>
                  <w:tcBorders>
                    <w:tl2br w:val="nil"/>
                    <w:tr2bl w:val="nil"/>
                  </w:tcBorders>
                  <w:vAlign w:val="center"/>
                </w:tcPr>
                <w:p w14:paraId="161A423C">
                  <w:pPr>
                    <w:widowControl/>
                    <w:jc w:val="center"/>
                    <w:textAlignment w:val="center"/>
                    <w:rPr>
                      <w:color w:val="auto"/>
                    </w:rPr>
                  </w:pPr>
                  <w:r>
                    <w:rPr>
                      <w:color w:val="auto"/>
                    </w:rPr>
                    <w:t>NMHC</w:t>
                  </w:r>
                </w:p>
              </w:tc>
              <w:tc>
                <w:tcPr>
                  <w:tcW w:w="843" w:type="pct"/>
                  <w:tcBorders>
                    <w:tl2br w:val="nil"/>
                    <w:tr2bl w:val="nil"/>
                  </w:tcBorders>
                  <w:vAlign w:val="center"/>
                </w:tcPr>
                <w:p w14:paraId="086BB744">
                  <w:pPr>
                    <w:widowControl/>
                    <w:jc w:val="center"/>
                    <w:textAlignment w:val="center"/>
                    <w:rPr>
                      <w:rFonts w:hint="default"/>
                      <w:color w:val="auto"/>
                      <w:kern w:val="0"/>
                      <w:szCs w:val="21"/>
                      <w:lang w:val="en-US" w:bidi="ar"/>
                    </w:rPr>
                  </w:pPr>
                  <w:r>
                    <w:rPr>
                      <w:rFonts w:hint="eastAsia"/>
                      <w:color w:val="auto"/>
                      <w:kern w:val="0"/>
                      <w:szCs w:val="21"/>
                      <w:lang w:val="en-US" w:eastAsia="zh-CN" w:bidi="ar"/>
                    </w:rPr>
                    <w:t>6.325</w:t>
                  </w:r>
                </w:p>
              </w:tc>
              <w:tc>
                <w:tcPr>
                  <w:tcW w:w="863" w:type="pct"/>
                  <w:tcBorders>
                    <w:tl2br w:val="nil"/>
                    <w:tr2bl w:val="nil"/>
                  </w:tcBorders>
                  <w:vAlign w:val="center"/>
                </w:tcPr>
                <w:p w14:paraId="27625969">
                  <w:pPr>
                    <w:widowControl/>
                    <w:jc w:val="center"/>
                    <w:textAlignment w:val="center"/>
                    <w:rPr>
                      <w:rFonts w:hint="default" w:eastAsia="宋体"/>
                      <w:color w:val="auto"/>
                      <w:kern w:val="0"/>
                      <w:szCs w:val="21"/>
                      <w:lang w:val="en-US" w:eastAsia="zh-CN" w:bidi="ar"/>
                    </w:rPr>
                  </w:pPr>
                  <w:r>
                    <w:rPr>
                      <w:rFonts w:hint="eastAsia"/>
                      <w:color w:val="auto"/>
                      <w:kern w:val="0"/>
                      <w:szCs w:val="21"/>
                      <w:lang w:val="en-US" w:eastAsia="zh-CN" w:bidi="ar"/>
                    </w:rPr>
                    <w:t>0.0095</w:t>
                  </w:r>
                </w:p>
              </w:tc>
              <w:tc>
                <w:tcPr>
                  <w:tcW w:w="1287" w:type="pct"/>
                  <w:tcBorders>
                    <w:tl2br w:val="nil"/>
                    <w:tr2bl w:val="nil"/>
                  </w:tcBorders>
                  <w:vAlign w:val="center"/>
                </w:tcPr>
                <w:p w14:paraId="030CE358">
                  <w:pPr>
                    <w:widowControl/>
                    <w:jc w:val="center"/>
                    <w:textAlignment w:val="center"/>
                    <w:rPr>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0.019734</w:t>
                  </w:r>
                </w:p>
              </w:tc>
            </w:tr>
            <w:tr w14:paraId="45DC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2" w:type="pct"/>
                  <w:gridSpan w:val="2"/>
                  <w:tcBorders>
                    <w:tl2br w:val="nil"/>
                    <w:tr2bl w:val="nil"/>
                  </w:tcBorders>
                  <w:vAlign w:val="center"/>
                </w:tcPr>
                <w:p w14:paraId="126AE7E4">
                  <w:pPr>
                    <w:jc w:val="center"/>
                    <w:rPr>
                      <w:color w:val="auto"/>
                      <w:szCs w:val="21"/>
                    </w:rPr>
                  </w:pPr>
                  <w:r>
                    <w:rPr>
                      <w:color w:val="auto"/>
                      <w:szCs w:val="21"/>
                    </w:rPr>
                    <w:t>一般排放口合计</w:t>
                  </w:r>
                </w:p>
              </w:tc>
              <w:tc>
                <w:tcPr>
                  <w:tcW w:w="2890" w:type="pct"/>
                  <w:gridSpan w:val="3"/>
                  <w:tcBorders>
                    <w:tl2br w:val="nil"/>
                    <w:tr2bl w:val="nil"/>
                  </w:tcBorders>
                  <w:vAlign w:val="center"/>
                </w:tcPr>
                <w:p w14:paraId="2A4ED4D8">
                  <w:pPr>
                    <w:widowControl/>
                    <w:jc w:val="center"/>
                    <w:textAlignment w:val="center"/>
                    <w:rPr>
                      <w:color w:val="auto"/>
                    </w:rPr>
                  </w:pPr>
                  <w:r>
                    <w:rPr>
                      <w:color w:val="auto"/>
                    </w:rPr>
                    <w:t>NMHC</w:t>
                  </w:r>
                </w:p>
              </w:tc>
              <w:tc>
                <w:tcPr>
                  <w:tcW w:w="1287" w:type="pct"/>
                  <w:tcBorders>
                    <w:tl2br w:val="nil"/>
                    <w:tr2bl w:val="nil"/>
                  </w:tcBorders>
                  <w:vAlign w:val="center"/>
                </w:tcPr>
                <w:p w14:paraId="2D483318">
                  <w:pPr>
                    <w:widowControl/>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0.019734</w:t>
                  </w:r>
                </w:p>
              </w:tc>
            </w:tr>
            <w:tr w14:paraId="7B26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tcBorders>
                    <w:tl2br w:val="nil"/>
                    <w:tr2bl w:val="nil"/>
                  </w:tcBorders>
                  <w:vAlign w:val="center"/>
                </w:tcPr>
                <w:p w14:paraId="462E5959">
                  <w:pPr>
                    <w:widowControl/>
                    <w:jc w:val="center"/>
                    <w:textAlignment w:val="center"/>
                    <w:rPr>
                      <w:color w:val="auto"/>
                    </w:rPr>
                  </w:pPr>
                  <w:r>
                    <w:rPr>
                      <w:color w:val="auto"/>
                    </w:rPr>
                    <w:t>有组织排放总计</w:t>
                  </w:r>
                </w:p>
              </w:tc>
            </w:tr>
            <w:tr w14:paraId="1971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2" w:type="pct"/>
                  <w:gridSpan w:val="2"/>
                  <w:tcBorders>
                    <w:tl2br w:val="nil"/>
                    <w:tr2bl w:val="nil"/>
                  </w:tcBorders>
                  <w:vAlign w:val="center"/>
                </w:tcPr>
                <w:p w14:paraId="12A9D9CF">
                  <w:pPr>
                    <w:adjustRightInd w:val="0"/>
                    <w:snapToGrid w:val="0"/>
                    <w:jc w:val="center"/>
                    <w:rPr>
                      <w:color w:val="auto"/>
                      <w:kern w:val="0"/>
                      <w:szCs w:val="21"/>
                    </w:rPr>
                  </w:pPr>
                  <w:r>
                    <w:rPr>
                      <w:color w:val="auto"/>
                      <w:kern w:val="0"/>
                      <w:szCs w:val="21"/>
                    </w:rPr>
                    <w:t>有组织排放总计</w:t>
                  </w:r>
                </w:p>
              </w:tc>
              <w:tc>
                <w:tcPr>
                  <w:tcW w:w="2890" w:type="pct"/>
                  <w:gridSpan w:val="3"/>
                  <w:tcBorders>
                    <w:tl2br w:val="nil"/>
                    <w:tr2bl w:val="nil"/>
                  </w:tcBorders>
                  <w:vAlign w:val="center"/>
                </w:tcPr>
                <w:p w14:paraId="1915A8A7">
                  <w:pPr>
                    <w:widowControl/>
                    <w:jc w:val="center"/>
                    <w:textAlignment w:val="center"/>
                    <w:rPr>
                      <w:color w:val="auto"/>
                    </w:rPr>
                  </w:pPr>
                  <w:r>
                    <w:rPr>
                      <w:color w:val="auto"/>
                    </w:rPr>
                    <w:t>NMHC</w:t>
                  </w:r>
                </w:p>
              </w:tc>
              <w:tc>
                <w:tcPr>
                  <w:tcW w:w="1287" w:type="pct"/>
                  <w:tcBorders>
                    <w:tl2br w:val="nil"/>
                    <w:tr2bl w:val="nil"/>
                  </w:tcBorders>
                  <w:vAlign w:val="center"/>
                </w:tcPr>
                <w:p w14:paraId="6EF3C8F6">
                  <w:pPr>
                    <w:widowControl/>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0.019734</w:t>
                  </w:r>
                </w:p>
              </w:tc>
            </w:tr>
          </w:tbl>
          <w:p w14:paraId="2F2FF10D">
            <w:pPr>
              <w:pStyle w:val="16"/>
              <w:autoSpaceDE w:val="0"/>
              <w:autoSpaceDN w:val="0"/>
              <w:adjustRightInd w:val="0"/>
              <w:snapToGrid w:val="0"/>
              <w:spacing w:line="360" w:lineRule="auto"/>
              <w:jc w:val="center"/>
              <w:rPr>
                <w:rFonts w:ascii="Times New Roman" w:hAnsi="Times New Roman" w:eastAsia="宋体"/>
                <w:b/>
                <w:bCs/>
                <w:color w:val="auto"/>
                <w:kern w:val="0"/>
                <w:sz w:val="24"/>
                <w:szCs w:val="24"/>
              </w:rPr>
            </w:pPr>
            <w:r>
              <w:rPr>
                <w:rFonts w:ascii="Times New Roman" w:hAnsi="Times New Roman" w:eastAsia="宋体"/>
                <w:b/>
                <w:bCs/>
                <w:color w:val="auto"/>
                <w:sz w:val="24"/>
                <w:szCs w:val="24"/>
              </w:rPr>
              <w:t>表</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表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31</w:t>
            </w:r>
            <w:r>
              <w:rPr>
                <w:rFonts w:ascii="Times New Roman" w:hAnsi="Times New Roman" w:eastAsia="宋体"/>
                <w:b/>
                <w:bCs/>
                <w:color w:val="auto"/>
                <w:sz w:val="24"/>
                <w:szCs w:val="24"/>
              </w:rPr>
              <w:fldChar w:fldCharType="end"/>
            </w:r>
            <w:r>
              <w:rPr>
                <w:rFonts w:ascii="Times New Roman" w:hAnsi="Times New Roman" w:eastAsia="宋体"/>
                <w:b/>
                <w:bCs/>
                <w:color w:val="auto"/>
                <w:kern w:val="0"/>
                <w:sz w:val="24"/>
                <w:szCs w:val="24"/>
              </w:rPr>
              <w:t xml:space="preserve">  项目大气污染物无组织排放量核算表</w:t>
            </w:r>
          </w:p>
          <w:tbl>
            <w:tblPr>
              <w:tblStyle w:val="3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385"/>
              <w:gridCol w:w="760"/>
              <w:gridCol w:w="936"/>
              <w:gridCol w:w="1149"/>
              <w:gridCol w:w="1086"/>
              <w:gridCol w:w="1985"/>
              <w:gridCol w:w="1123"/>
              <w:gridCol w:w="1072"/>
            </w:tblGrid>
            <w:tr w14:paraId="007C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227" w:type="pct"/>
                  <w:vMerge w:val="restart"/>
                  <w:vAlign w:val="center"/>
                </w:tcPr>
                <w:p w14:paraId="5D3F50A5">
                  <w:pPr>
                    <w:widowControl/>
                    <w:jc w:val="center"/>
                    <w:rPr>
                      <w:b/>
                      <w:bCs/>
                      <w:color w:val="auto"/>
                      <w:szCs w:val="21"/>
                    </w:rPr>
                  </w:pPr>
                  <w:r>
                    <w:rPr>
                      <w:b/>
                      <w:bCs/>
                      <w:color w:val="auto"/>
                      <w:szCs w:val="21"/>
                    </w:rPr>
                    <w:t>序号</w:t>
                  </w:r>
                </w:p>
              </w:tc>
              <w:tc>
                <w:tcPr>
                  <w:tcW w:w="447" w:type="pct"/>
                  <w:vMerge w:val="restart"/>
                  <w:vAlign w:val="center"/>
                </w:tcPr>
                <w:p w14:paraId="6105AA5F">
                  <w:pPr>
                    <w:widowControl/>
                    <w:jc w:val="center"/>
                    <w:rPr>
                      <w:b/>
                      <w:bCs/>
                      <w:color w:val="auto"/>
                      <w:szCs w:val="21"/>
                    </w:rPr>
                  </w:pPr>
                  <w:r>
                    <w:rPr>
                      <w:b/>
                      <w:bCs/>
                      <w:color w:val="auto"/>
                      <w:szCs w:val="21"/>
                    </w:rPr>
                    <w:t>排放口编号</w:t>
                  </w:r>
                </w:p>
              </w:tc>
              <w:tc>
                <w:tcPr>
                  <w:tcW w:w="550" w:type="pct"/>
                  <w:vMerge w:val="restart"/>
                  <w:vAlign w:val="center"/>
                </w:tcPr>
                <w:p w14:paraId="3165F5F3">
                  <w:pPr>
                    <w:widowControl/>
                    <w:jc w:val="center"/>
                    <w:rPr>
                      <w:b/>
                      <w:bCs/>
                      <w:color w:val="auto"/>
                      <w:szCs w:val="21"/>
                    </w:rPr>
                  </w:pPr>
                  <w:r>
                    <w:rPr>
                      <w:b/>
                      <w:bCs/>
                      <w:color w:val="auto"/>
                      <w:szCs w:val="21"/>
                    </w:rPr>
                    <w:t>产污环节</w:t>
                  </w:r>
                </w:p>
              </w:tc>
              <w:tc>
                <w:tcPr>
                  <w:tcW w:w="676" w:type="pct"/>
                  <w:vMerge w:val="restart"/>
                  <w:vAlign w:val="center"/>
                </w:tcPr>
                <w:p w14:paraId="2F993349">
                  <w:pPr>
                    <w:widowControl/>
                    <w:jc w:val="center"/>
                    <w:rPr>
                      <w:b/>
                      <w:bCs/>
                      <w:color w:val="auto"/>
                      <w:szCs w:val="21"/>
                    </w:rPr>
                  </w:pPr>
                  <w:r>
                    <w:rPr>
                      <w:b/>
                      <w:bCs/>
                      <w:color w:val="auto"/>
                      <w:szCs w:val="21"/>
                    </w:rPr>
                    <w:t>污染物</w:t>
                  </w:r>
                </w:p>
              </w:tc>
              <w:tc>
                <w:tcPr>
                  <w:tcW w:w="639" w:type="pct"/>
                  <w:vMerge w:val="restart"/>
                  <w:vAlign w:val="center"/>
                </w:tcPr>
                <w:p w14:paraId="2351405A">
                  <w:pPr>
                    <w:widowControl/>
                    <w:jc w:val="center"/>
                    <w:rPr>
                      <w:b/>
                      <w:bCs/>
                      <w:color w:val="auto"/>
                      <w:szCs w:val="21"/>
                    </w:rPr>
                  </w:pPr>
                  <w:r>
                    <w:rPr>
                      <w:b/>
                      <w:bCs/>
                      <w:color w:val="auto"/>
                      <w:szCs w:val="21"/>
                    </w:rPr>
                    <w:t>主要污染防治措施</w:t>
                  </w:r>
                </w:p>
              </w:tc>
              <w:tc>
                <w:tcPr>
                  <w:tcW w:w="1828" w:type="pct"/>
                  <w:gridSpan w:val="2"/>
                  <w:vAlign w:val="center"/>
                </w:tcPr>
                <w:p w14:paraId="7F1E8572">
                  <w:pPr>
                    <w:widowControl/>
                    <w:jc w:val="center"/>
                    <w:rPr>
                      <w:b/>
                      <w:bCs/>
                      <w:color w:val="auto"/>
                      <w:szCs w:val="21"/>
                    </w:rPr>
                  </w:pPr>
                  <w:r>
                    <w:rPr>
                      <w:b/>
                      <w:bCs/>
                      <w:color w:val="auto"/>
                      <w:szCs w:val="21"/>
                    </w:rPr>
                    <w:t>国家或地方污染物排放标准</w:t>
                  </w:r>
                </w:p>
              </w:tc>
              <w:tc>
                <w:tcPr>
                  <w:tcW w:w="630" w:type="pct"/>
                  <w:vMerge w:val="restart"/>
                  <w:vAlign w:val="center"/>
                </w:tcPr>
                <w:p w14:paraId="50F274ED">
                  <w:pPr>
                    <w:widowControl/>
                    <w:jc w:val="center"/>
                    <w:rPr>
                      <w:b/>
                      <w:bCs/>
                      <w:color w:val="auto"/>
                      <w:szCs w:val="21"/>
                    </w:rPr>
                  </w:pPr>
                  <w:r>
                    <w:rPr>
                      <w:b/>
                      <w:bCs/>
                      <w:color w:val="auto"/>
                      <w:szCs w:val="21"/>
                    </w:rPr>
                    <w:t>年排放量/（t/a）</w:t>
                  </w:r>
                </w:p>
              </w:tc>
            </w:tr>
            <w:tr w14:paraId="1DB5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13" w:hRule="atLeast"/>
                <w:jc w:val="center"/>
              </w:trPr>
              <w:tc>
                <w:tcPr>
                  <w:tcW w:w="227" w:type="pct"/>
                  <w:vMerge w:val="continue"/>
                  <w:vAlign w:val="center"/>
                </w:tcPr>
                <w:p w14:paraId="465A85C9">
                  <w:pPr>
                    <w:widowControl/>
                    <w:jc w:val="center"/>
                    <w:rPr>
                      <w:b/>
                      <w:bCs/>
                      <w:color w:val="auto"/>
                      <w:szCs w:val="21"/>
                    </w:rPr>
                  </w:pPr>
                </w:p>
              </w:tc>
              <w:tc>
                <w:tcPr>
                  <w:tcW w:w="447" w:type="pct"/>
                  <w:vMerge w:val="continue"/>
                  <w:vAlign w:val="center"/>
                </w:tcPr>
                <w:p w14:paraId="19CB5733">
                  <w:pPr>
                    <w:widowControl/>
                    <w:jc w:val="center"/>
                    <w:rPr>
                      <w:b/>
                      <w:bCs/>
                      <w:color w:val="auto"/>
                      <w:szCs w:val="21"/>
                    </w:rPr>
                  </w:pPr>
                </w:p>
              </w:tc>
              <w:tc>
                <w:tcPr>
                  <w:tcW w:w="550" w:type="pct"/>
                  <w:vMerge w:val="continue"/>
                  <w:vAlign w:val="center"/>
                </w:tcPr>
                <w:p w14:paraId="28DD030A">
                  <w:pPr>
                    <w:widowControl/>
                    <w:jc w:val="center"/>
                    <w:rPr>
                      <w:b/>
                      <w:bCs/>
                      <w:color w:val="auto"/>
                      <w:szCs w:val="21"/>
                    </w:rPr>
                  </w:pPr>
                </w:p>
              </w:tc>
              <w:tc>
                <w:tcPr>
                  <w:tcW w:w="676" w:type="pct"/>
                  <w:vMerge w:val="continue"/>
                  <w:vAlign w:val="center"/>
                </w:tcPr>
                <w:p w14:paraId="41CA635C">
                  <w:pPr>
                    <w:widowControl/>
                    <w:jc w:val="center"/>
                    <w:rPr>
                      <w:b/>
                      <w:bCs/>
                      <w:color w:val="auto"/>
                      <w:szCs w:val="21"/>
                    </w:rPr>
                  </w:pPr>
                </w:p>
              </w:tc>
              <w:tc>
                <w:tcPr>
                  <w:tcW w:w="639" w:type="pct"/>
                  <w:vMerge w:val="continue"/>
                  <w:vAlign w:val="center"/>
                </w:tcPr>
                <w:p w14:paraId="0C529A44">
                  <w:pPr>
                    <w:widowControl/>
                    <w:jc w:val="center"/>
                    <w:rPr>
                      <w:b/>
                      <w:bCs/>
                      <w:color w:val="auto"/>
                      <w:szCs w:val="21"/>
                    </w:rPr>
                  </w:pPr>
                </w:p>
              </w:tc>
              <w:tc>
                <w:tcPr>
                  <w:tcW w:w="1168" w:type="pct"/>
                  <w:vAlign w:val="center"/>
                </w:tcPr>
                <w:p w14:paraId="57F4CE03">
                  <w:pPr>
                    <w:widowControl/>
                    <w:jc w:val="center"/>
                    <w:rPr>
                      <w:b/>
                      <w:bCs/>
                      <w:color w:val="auto"/>
                      <w:szCs w:val="21"/>
                    </w:rPr>
                  </w:pPr>
                  <w:r>
                    <w:rPr>
                      <w:b/>
                      <w:bCs/>
                      <w:color w:val="auto"/>
                      <w:szCs w:val="21"/>
                    </w:rPr>
                    <w:t>标准名称</w:t>
                  </w:r>
                </w:p>
              </w:tc>
              <w:tc>
                <w:tcPr>
                  <w:tcW w:w="659" w:type="pct"/>
                  <w:vAlign w:val="center"/>
                </w:tcPr>
                <w:p w14:paraId="6590227A">
                  <w:pPr>
                    <w:widowControl/>
                    <w:jc w:val="center"/>
                    <w:rPr>
                      <w:b/>
                      <w:bCs/>
                      <w:color w:val="auto"/>
                      <w:szCs w:val="21"/>
                    </w:rPr>
                  </w:pPr>
                  <w:r>
                    <w:rPr>
                      <w:b/>
                      <w:bCs/>
                      <w:color w:val="auto"/>
                      <w:szCs w:val="21"/>
                    </w:rPr>
                    <w:t>浓度限值(mg/m</w:t>
                  </w:r>
                  <w:r>
                    <w:rPr>
                      <w:b/>
                      <w:bCs/>
                      <w:color w:val="auto"/>
                      <w:szCs w:val="21"/>
                      <w:vertAlign w:val="superscript"/>
                    </w:rPr>
                    <w:t>3</w:t>
                  </w:r>
                  <w:r>
                    <w:rPr>
                      <w:b/>
                      <w:bCs/>
                      <w:color w:val="auto"/>
                      <w:szCs w:val="21"/>
                    </w:rPr>
                    <w:t>)</w:t>
                  </w:r>
                </w:p>
              </w:tc>
              <w:tc>
                <w:tcPr>
                  <w:tcW w:w="630" w:type="pct"/>
                  <w:vMerge w:val="continue"/>
                  <w:vAlign w:val="center"/>
                </w:tcPr>
                <w:p w14:paraId="658796E8">
                  <w:pPr>
                    <w:widowControl/>
                    <w:jc w:val="center"/>
                    <w:rPr>
                      <w:b/>
                      <w:bCs/>
                      <w:color w:val="auto"/>
                      <w:szCs w:val="21"/>
                    </w:rPr>
                  </w:pPr>
                </w:p>
              </w:tc>
            </w:tr>
            <w:tr w14:paraId="3C49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629" w:hRule="atLeast"/>
                <w:jc w:val="center"/>
              </w:trPr>
              <w:tc>
                <w:tcPr>
                  <w:tcW w:w="227" w:type="pct"/>
                  <w:vMerge w:val="restart"/>
                  <w:vAlign w:val="center"/>
                </w:tcPr>
                <w:p w14:paraId="4BA7F908">
                  <w:pPr>
                    <w:widowControl/>
                    <w:jc w:val="center"/>
                    <w:rPr>
                      <w:color w:val="auto"/>
                      <w:szCs w:val="21"/>
                    </w:rPr>
                  </w:pPr>
                  <w:r>
                    <w:rPr>
                      <w:color w:val="auto"/>
                      <w:szCs w:val="21"/>
                    </w:rPr>
                    <w:t>1</w:t>
                  </w:r>
                </w:p>
              </w:tc>
              <w:tc>
                <w:tcPr>
                  <w:tcW w:w="447" w:type="pct"/>
                  <w:vMerge w:val="restart"/>
                  <w:vAlign w:val="center"/>
                </w:tcPr>
                <w:p w14:paraId="060988CB">
                  <w:pPr>
                    <w:widowControl/>
                    <w:jc w:val="center"/>
                    <w:rPr>
                      <w:color w:val="auto"/>
                      <w:szCs w:val="21"/>
                    </w:rPr>
                  </w:pPr>
                  <w:r>
                    <w:rPr>
                      <w:color w:val="auto"/>
                      <w:szCs w:val="21"/>
                    </w:rPr>
                    <w:t>生产车间</w:t>
                  </w:r>
                </w:p>
              </w:tc>
              <w:tc>
                <w:tcPr>
                  <w:tcW w:w="550" w:type="pct"/>
                  <w:vAlign w:val="center"/>
                </w:tcPr>
                <w:p w14:paraId="36D181E7">
                  <w:pPr>
                    <w:widowControl/>
                    <w:jc w:val="center"/>
                    <w:rPr>
                      <w:color w:val="auto"/>
                      <w:szCs w:val="21"/>
                    </w:rPr>
                  </w:pPr>
                  <w:r>
                    <w:rPr>
                      <w:color w:val="auto"/>
                      <w:szCs w:val="21"/>
                    </w:rPr>
                    <w:t>喷药、灌装</w:t>
                  </w:r>
                </w:p>
              </w:tc>
              <w:tc>
                <w:tcPr>
                  <w:tcW w:w="676" w:type="pct"/>
                  <w:vMerge w:val="restart"/>
                  <w:vAlign w:val="center"/>
                </w:tcPr>
                <w:p w14:paraId="1E715090">
                  <w:pPr>
                    <w:jc w:val="center"/>
                    <w:rPr>
                      <w:color w:val="auto"/>
                      <w:szCs w:val="21"/>
                    </w:rPr>
                  </w:pPr>
                  <w:r>
                    <w:rPr>
                      <w:color w:val="auto"/>
                      <w:szCs w:val="21"/>
                    </w:rPr>
                    <w:t>NMHC</w:t>
                  </w:r>
                </w:p>
              </w:tc>
              <w:tc>
                <w:tcPr>
                  <w:tcW w:w="639" w:type="pct"/>
                  <w:vMerge w:val="restart"/>
                  <w:vAlign w:val="center"/>
                </w:tcPr>
                <w:p w14:paraId="7C2C6F63">
                  <w:pPr>
                    <w:widowControl/>
                    <w:jc w:val="center"/>
                    <w:rPr>
                      <w:color w:val="auto"/>
                      <w:szCs w:val="21"/>
                    </w:rPr>
                  </w:pPr>
                  <w:r>
                    <w:rPr>
                      <w:color w:val="auto"/>
                      <w:szCs w:val="21"/>
                    </w:rPr>
                    <w:t>厂房隔绝、加强收集</w:t>
                  </w:r>
                </w:p>
              </w:tc>
              <w:tc>
                <w:tcPr>
                  <w:tcW w:w="1168" w:type="pct"/>
                  <w:vMerge w:val="restart"/>
                  <w:vAlign w:val="center"/>
                </w:tcPr>
                <w:p w14:paraId="4FBA2951">
                  <w:pPr>
                    <w:widowControl/>
                    <w:jc w:val="center"/>
                    <w:rPr>
                      <w:color w:val="auto"/>
                      <w:szCs w:val="21"/>
                    </w:rPr>
                  </w:pPr>
                  <w:r>
                    <w:rPr>
                      <w:color w:val="auto"/>
                    </w:rPr>
                    <w:t>《农药制造工业大气污染物排放标准》（GB39727-2020）附录C中表C.1厂区内VOCs无组织排放限值</w:t>
                  </w:r>
                </w:p>
              </w:tc>
              <w:tc>
                <w:tcPr>
                  <w:tcW w:w="659" w:type="pct"/>
                  <w:vAlign w:val="center"/>
                </w:tcPr>
                <w:p w14:paraId="33CFE81C">
                  <w:pPr>
                    <w:adjustRightInd w:val="0"/>
                    <w:snapToGrid w:val="0"/>
                    <w:jc w:val="center"/>
                    <w:rPr>
                      <w:color w:val="auto"/>
                      <w:szCs w:val="21"/>
                    </w:rPr>
                  </w:pPr>
                  <w:r>
                    <w:rPr>
                      <w:color w:val="auto"/>
                      <w:szCs w:val="21"/>
                    </w:rPr>
                    <w:t>10（1h平均）</w:t>
                  </w:r>
                </w:p>
              </w:tc>
              <w:tc>
                <w:tcPr>
                  <w:tcW w:w="630" w:type="pct"/>
                  <w:vAlign w:val="center"/>
                </w:tcPr>
                <w:p w14:paraId="4A08524A">
                  <w:pPr>
                    <w:widowControl/>
                    <w:jc w:val="center"/>
                    <w:textAlignment w:val="center"/>
                    <w:rPr>
                      <w:color w:val="auto"/>
                      <w:szCs w:val="21"/>
                    </w:rPr>
                  </w:pPr>
                  <w:r>
                    <w:rPr>
                      <w:rFonts w:hint="eastAsia"/>
                      <w:color w:val="auto"/>
                      <w:kern w:val="0"/>
                      <w:szCs w:val="21"/>
                      <w:lang w:val="en-US" w:eastAsia="zh-CN" w:bidi="ar"/>
                    </w:rPr>
                    <w:t>0.021252</w:t>
                  </w:r>
                  <w:r>
                    <w:rPr>
                      <w:color w:val="auto"/>
                      <w:kern w:val="0"/>
                      <w:szCs w:val="21"/>
                      <w:lang w:bidi="ar"/>
                    </w:rPr>
                    <w:t xml:space="preserve"> </w:t>
                  </w:r>
                </w:p>
              </w:tc>
            </w:tr>
            <w:tr w14:paraId="1E0C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629" w:hRule="atLeast"/>
                <w:jc w:val="center"/>
              </w:trPr>
              <w:tc>
                <w:tcPr>
                  <w:tcW w:w="227" w:type="pct"/>
                  <w:vMerge w:val="continue"/>
                  <w:vAlign w:val="center"/>
                </w:tcPr>
                <w:p w14:paraId="714E36BE">
                  <w:pPr>
                    <w:widowControl/>
                    <w:jc w:val="center"/>
                    <w:rPr>
                      <w:color w:val="auto"/>
                    </w:rPr>
                  </w:pPr>
                </w:p>
              </w:tc>
              <w:tc>
                <w:tcPr>
                  <w:tcW w:w="447" w:type="pct"/>
                  <w:vMerge w:val="continue"/>
                  <w:vAlign w:val="center"/>
                </w:tcPr>
                <w:p w14:paraId="609702FE">
                  <w:pPr>
                    <w:widowControl/>
                    <w:jc w:val="center"/>
                    <w:rPr>
                      <w:color w:val="auto"/>
                    </w:rPr>
                  </w:pPr>
                </w:p>
              </w:tc>
              <w:tc>
                <w:tcPr>
                  <w:tcW w:w="550" w:type="pct"/>
                  <w:vAlign w:val="center"/>
                </w:tcPr>
                <w:p w14:paraId="1C5AC0BD">
                  <w:pPr>
                    <w:widowControl/>
                    <w:jc w:val="center"/>
                    <w:rPr>
                      <w:color w:val="auto"/>
                    </w:rPr>
                  </w:pPr>
                  <w:r>
                    <w:rPr>
                      <w:color w:val="auto"/>
                      <w:szCs w:val="21"/>
                    </w:rPr>
                    <w:t>投料</w:t>
                  </w:r>
                  <w:r>
                    <w:rPr>
                      <w:rFonts w:hint="eastAsia"/>
                      <w:color w:val="auto"/>
                      <w:szCs w:val="21"/>
                      <w:lang w:eastAsia="zh-CN"/>
                    </w:rPr>
                    <w:t>、</w:t>
                  </w:r>
                  <w:r>
                    <w:rPr>
                      <w:color w:val="auto"/>
                      <w:szCs w:val="21"/>
                    </w:rPr>
                    <w:t>插芯棒</w:t>
                  </w:r>
                </w:p>
              </w:tc>
              <w:tc>
                <w:tcPr>
                  <w:tcW w:w="676" w:type="pct"/>
                  <w:vMerge w:val="continue"/>
                  <w:vAlign w:val="center"/>
                </w:tcPr>
                <w:p w14:paraId="60A0CCCE">
                  <w:pPr>
                    <w:widowControl/>
                    <w:jc w:val="center"/>
                    <w:rPr>
                      <w:color w:val="auto"/>
                    </w:rPr>
                  </w:pPr>
                </w:p>
              </w:tc>
              <w:tc>
                <w:tcPr>
                  <w:tcW w:w="639" w:type="pct"/>
                  <w:vMerge w:val="continue"/>
                  <w:vAlign w:val="center"/>
                </w:tcPr>
                <w:p w14:paraId="13DDD2E1">
                  <w:pPr>
                    <w:widowControl/>
                    <w:jc w:val="center"/>
                    <w:rPr>
                      <w:color w:val="auto"/>
                    </w:rPr>
                  </w:pPr>
                </w:p>
              </w:tc>
              <w:tc>
                <w:tcPr>
                  <w:tcW w:w="1168" w:type="pct"/>
                  <w:vMerge w:val="continue"/>
                  <w:vAlign w:val="center"/>
                </w:tcPr>
                <w:p w14:paraId="3FEFC5A0">
                  <w:pPr>
                    <w:widowControl/>
                    <w:jc w:val="center"/>
                    <w:rPr>
                      <w:color w:val="auto"/>
                    </w:rPr>
                  </w:pPr>
                </w:p>
              </w:tc>
              <w:tc>
                <w:tcPr>
                  <w:tcW w:w="659" w:type="pct"/>
                  <w:vAlign w:val="center"/>
                </w:tcPr>
                <w:p w14:paraId="6C7D5454">
                  <w:pPr>
                    <w:adjustRightInd w:val="0"/>
                    <w:snapToGrid w:val="0"/>
                    <w:jc w:val="center"/>
                    <w:rPr>
                      <w:color w:val="auto"/>
                      <w:szCs w:val="21"/>
                    </w:rPr>
                  </w:pPr>
                  <w:r>
                    <w:rPr>
                      <w:color w:val="auto"/>
                      <w:szCs w:val="21"/>
                    </w:rPr>
                    <w:t>30（任意一次）</w:t>
                  </w:r>
                </w:p>
              </w:tc>
              <w:tc>
                <w:tcPr>
                  <w:tcW w:w="630" w:type="pct"/>
                  <w:vAlign w:val="center"/>
                </w:tcPr>
                <w:p w14:paraId="1F19061D">
                  <w:pPr>
                    <w:widowControl/>
                    <w:jc w:val="center"/>
                    <w:rPr>
                      <w:rFonts w:hint="default" w:eastAsia="宋体"/>
                      <w:color w:val="auto"/>
                      <w:szCs w:val="21"/>
                      <w:lang w:val="en-US" w:eastAsia="zh-CN"/>
                    </w:rPr>
                  </w:pPr>
                  <w:r>
                    <w:rPr>
                      <w:rFonts w:hint="eastAsia"/>
                      <w:color w:val="auto"/>
                      <w:szCs w:val="21"/>
                      <w:lang w:val="en-US" w:eastAsia="zh-CN"/>
                    </w:rPr>
                    <w:t>0.00748</w:t>
                  </w:r>
                </w:p>
              </w:tc>
            </w:tr>
            <w:tr w14:paraId="2938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000" w:type="pct"/>
                  <w:gridSpan w:val="8"/>
                  <w:vAlign w:val="center"/>
                </w:tcPr>
                <w:p w14:paraId="5AE89F69">
                  <w:pPr>
                    <w:widowControl/>
                    <w:jc w:val="center"/>
                    <w:rPr>
                      <w:color w:val="auto"/>
                      <w:szCs w:val="21"/>
                    </w:rPr>
                  </w:pPr>
                  <w:r>
                    <w:rPr>
                      <w:color w:val="auto"/>
                      <w:szCs w:val="21"/>
                    </w:rPr>
                    <w:t>无组织排放总计</w:t>
                  </w:r>
                </w:p>
              </w:tc>
            </w:tr>
            <w:tr w14:paraId="586A4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2" w:hRule="atLeast"/>
                <w:jc w:val="center"/>
              </w:trPr>
              <w:tc>
                <w:tcPr>
                  <w:tcW w:w="1225" w:type="pct"/>
                  <w:gridSpan w:val="3"/>
                  <w:vAlign w:val="center"/>
                </w:tcPr>
                <w:p w14:paraId="71CBCC71">
                  <w:pPr>
                    <w:widowControl/>
                    <w:jc w:val="center"/>
                    <w:rPr>
                      <w:color w:val="auto"/>
                      <w:szCs w:val="21"/>
                    </w:rPr>
                  </w:pPr>
                  <w:r>
                    <w:rPr>
                      <w:color w:val="auto"/>
                      <w:szCs w:val="21"/>
                    </w:rPr>
                    <w:t>无组织排放总计</w:t>
                  </w:r>
                </w:p>
              </w:tc>
              <w:tc>
                <w:tcPr>
                  <w:tcW w:w="3144" w:type="pct"/>
                  <w:gridSpan w:val="4"/>
                  <w:vAlign w:val="center"/>
                </w:tcPr>
                <w:p w14:paraId="326EF214">
                  <w:pPr>
                    <w:widowControl/>
                    <w:jc w:val="center"/>
                    <w:rPr>
                      <w:color w:val="auto"/>
                      <w:szCs w:val="21"/>
                    </w:rPr>
                  </w:pPr>
                  <w:r>
                    <w:rPr>
                      <w:color w:val="auto"/>
                      <w:szCs w:val="21"/>
                    </w:rPr>
                    <w:t>NMHC</w:t>
                  </w:r>
                </w:p>
              </w:tc>
              <w:tc>
                <w:tcPr>
                  <w:tcW w:w="630" w:type="pct"/>
                  <w:vAlign w:val="center"/>
                </w:tcPr>
                <w:p w14:paraId="6549B9D0">
                  <w:pPr>
                    <w:widowControl/>
                    <w:jc w:val="center"/>
                    <w:textAlignment w:val="center"/>
                    <w:rPr>
                      <w:color w:val="auto"/>
                      <w:szCs w:val="21"/>
                    </w:rPr>
                  </w:pPr>
                  <w:r>
                    <w:rPr>
                      <w:rFonts w:hint="eastAsia"/>
                      <w:color w:val="auto"/>
                      <w:kern w:val="0"/>
                      <w:szCs w:val="21"/>
                      <w:lang w:val="en-US" w:eastAsia="zh-CN" w:bidi="ar"/>
                    </w:rPr>
                    <w:t>0.028732</w:t>
                  </w:r>
                  <w:r>
                    <w:rPr>
                      <w:color w:val="auto"/>
                      <w:kern w:val="0"/>
                      <w:szCs w:val="21"/>
                      <w:lang w:bidi="ar"/>
                    </w:rPr>
                    <w:t xml:space="preserve"> </w:t>
                  </w:r>
                </w:p>
              </w:tc>
            </w:tr>
          </w:tbl>
          <w:p w14:paraId="7FD361A1">
            <w:pPr>
              <w:pStyle w:val="16"/>
              <w:autoSpaceDE w:val="0"/>
              <w:autoSpaceDN w:val="0"/>
              <w:adjustRightInd w:val="0"/>
              <w:snapToGrid w:val="0"/>
              <w:spacing w:line="360" w:lineRule="auto"/>
              <w:jc w:val="center"/>
              <w:rPr>
                <w:rFonts w:ascii="Times New Roman" w:hAnsi="Times New Roman" w:eastAsia="宋体"/>
                <w:b/>
                <w:bCs/>
                <w:color w:val="auto"/>
                <w:kern w:val="0"/>
                <w:sz w:val="21"/>
                <w:szCs w:val="21"/>
              </w:rPr>
            </w:pPr>
            <w:r>
              <w:rPr>
                <w:rFonts w:ascii="Times New Roman" w:hAnsi="Times New Roman" w:eastAsia="宋体"/>
                <w:b/>
                <w:bCs/>
                <w:color w:val="auto"/>
                <w:sz w:val="24"/>
                <w:szCs w:val="24"/>
              </w:rPr>
              <w:t>表</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表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32</w:t>
            </w:r>
            <w:r>
              <w:rPr>
                <w:rFonts w:ascii="Times New Roman" w:hAnsi="Times New Roman" w:eastAsia="宋体"/>
                <w:b/>
                <w:bCs/>
                <w:color w:val="auto"/>
                <w:sz w:val="24"/>
                <w:szCs w:val="24"/>
              </w:rPr>
              <w:fldChar w:fldCharType="end"/>
            </w:r>
            <w:r>
              <w:rPr>
                <w:rFonts w:ascii="Times New Roman" w:hAnsi="Times New Roman" w:eastAsia="宋体"/>
                <w:b/>
                <w:bCs/>
                <w:color w:val="auto"/>
                <w:sz w:val="24"/>
                <w:szCs w:val="24"/>
              </w:rPr>
              <w:t xml:space="preserve">  项目</w:t>
            </w:r>
            <w:r>
              <w:rPr>
                <w:rFonts w:ascii="Times New Roman" w:hAnsi="Times New Roman" w:eastAsia="宋体"/>
                <w:b/>
                <w:bCs/>
                <w:color w:val="auto"/>
                <w:kern w:val="0"/>
                <w:sz w:val="24"/>
                <w:szCs w:val="24"/>
              </w:rPr>
              <w:t>大气污染物年排放量核算表</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995"/>
              <w:gridCol w:w="2131"/>
              <w:gridCol w:w="2020"/>
              <w:gridCol w:w="1704"/>
            </w:tblGrid>
            <w:tr w14:paraId="2DBD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 w:type="pct"/>
                  <w:vAlign w:val="center"/>
                </w:tcPr>
                <w:p w14:paraId="6B5549FB">
                  <w:pPr>
                    <w:adjustRightInd w:val="0"/>
                    <w:snapToGrid w:val="0"/>
                    <w:jc w:val="center"/>
                    <w:rPr>
                      <w:b/>
                      <w:bCs/>
                      <w:color w:val="auto"/>
                      <w:szCs w:val="21"/>
                    </w:rPr>
                  </w:pPr>
                  <w:r>
                    <w:rPr>
                      <w:b/>
                      <w:bCs/>
                      <w:color w:val="auto"/>
                      <w:szCs w:val="21"/>
                    </w:rPr>
                    <w:t>序号</w:t>
                  </w:r>
                </w:p>
              </w:tc>
              <w:tc>
                <w:tcPr>
                  <w:tcW w:w="1172" w:type="pct"/>
                  <w:vAlign w:val="center"/>
                </w:tcPr>
                <w:p w14:paraId="420422FC">
                  <w:pPr>
                    <w:adjustRightInd w:val="0"/>
                    <w:snapToGrid w:val="0"/>
                    <w:jc w:val="center"/>
                    <w:rPr>
                      <w:b/>
                      <w:bCs/>
                      <w:color w:val="auto"/>
                      <w:szCs w:val="21"/>
                    </w:rPr>
                  </w:pPr>
                  <w:r>
                    <w:rPr>
                      <w:b/>
                      <w:bCs/>
                      <w:color w:val="auto"/>
                      <w:szCs w:val="21"/>
                    </w:rPr>
                    <w:t>污染物</w:t>
                  </w:r>
                </w:p>
              </w:tc>
              <w:tc>
                <w:tcPr>
                  <w:tcW w:w="1252" w:type="pct"/>
                  <w:vAlign w:val="center"/>
                </w:tcPr>
                <w:p w14:paraId="33BF00AE">
                  <w:pPr>
                    <w:adjustRightInd w:val="0"/>
                    <w:snapToGrid w:val="0"/>
                    <w:jc w:val="center"/>
                    <w:rPr>
                      <w:b/>
                      <w:bCs/>
                      <w:color w:val="auto"/>
                      <w:szCs w:val="21"/>
                    </w:rPr>
                  </w:pPr>
                  <w:r>
                    <w:rPr>
                      <w:b/>
                      <w:bCs/>
                      <w:color w:val="auto"/>
                      <w:szCs w:val="21"/>
                    </w:rPr>
                    <w:t>有组织排放量（t/a）</w:t>
                  </w:r>
                </w:p>
              </w:tc>
              <w:tc>
                <w:tcPr>
                  <w:tcW w:w="1187" w:type="pct"/>
                  <w:vAlign w:val="center"/>
                </w:tcPr>
                <w:p w14:paraId="4189D29A">
                  <w:pPr>
                    <w:adjustRightInd w:val="0"/>
                    <w:snapToGrid w:val="0"/>
                    <w:jc w:val="center"/>
                    <w:rPr>
                      <w:b/>
                      <w:bCs/>
                      <w:color w:val="auto"/>
                      <w:szCs w:val="21"/>
                    </w:rPr>
                  </w:pPr>
                  <w:r>
                    <w:rPr>
                      <w:b/>
                      <w:bCs/>
                      <w:color w:val="auto"/>
                      <w:szCs w:val="21"/>
                    </w:rPr>
                    <w:t>无组织排放量（t/a）</w:t>
                  </w:r>
                </w:p>
              </w:tc>
              <w:tc>
                <w:tcPr>
                  <w:tcW w:w="1001" w:type="pct"/>
                  <w:vAlign w:val="center"/>
                </w:tcPr>
                <w:p w14:paraId="5F612B0C">
                  <w:pPr>
                    <w:adjustRightInd w:val="0"/>
                    <w:snapToGrid w:val="0"/>
                    <w:jc w:val="center"/>
                    <w:rPr>
                      <w:b/>
                      <w:bCs/>
                      <w:color w:val="auto"/>
                      <w:szCs w:val="21"/>
                    </w:rPr>
                  </w:pPr>
                  <w:r>
                    <w:rPr>
                      <w:b/>
                      <w:bCs/>
                      <w:color w:val="auto"/>
                      <w:szCs w:val="21"/>
                    </w:rPr>
                    <w:t>年排放量（t/a）</w:t>
                  </w:r>
                </w:p>
              </w:tc>
            </w:tr>
            <w:tr w14:paraId="6A37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 w:type="pct"/>
                  <w:vAlign w:val="center"/>
                </w:tcPr>
                <w:p w14:paraId="508D6D47">
                  <w:pPr>
                    <w:adjustRightInd w:val="0"/>
                    <w:snapToGrid w:val="0"/>
                    <w:jc w:val="center"/>
                    <w:rPr>
                      <w:color w:val="auto"/>
                      <w:szCs w:val="21"/>
                    </w:rPr>
                  </w:pPr>
                  <w:r>
                    <w:rPr>
                      <w:color w:val="auto"/>
                      <w:szCs w:val="21"/>
                    </w:rPr>
                    <w:t>1</w:t>
                  </w:r>
                </w:p>
              </w:tc>
              <w:tc>
                <w:tcPr>
                  <w:tcW w:w="1172" w:type="pct"/>
                  <w:vAlign w:val="center"/>
                </w:tcPr>
                <w:p w14:paraId="5CA6180E">
                  <w:pPr>
                    <w:widowControl/>
                    <w:jc w:val="center"/>
                    <w:rPr>
                      <w:color w:val="auto"/>
                      <w:szCs w:val="21"/>
                    </w:rPr>
                  </w:pPr>
                  <w:r>
                    <w:rPr>
                      <w:color w:val="auto"/>
                      <w:szCs w:val="21"/>
                    </w:rPr>
                    <w:t>NMHC</w:t>
                  </w:r>
                </w:p>
              </w:tc>
              <w:tc>
                <w:tcPr>
                  <w:tcW w:w="2131" w:type="dxa"/>
                  <w:vAlign w:val="center"/>
                </w:tcPr>
                <w:p w14:paraId="6AF5B410">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0.019734</w:t>
                  </w:r>
                </w:p>
              </w:tc>
              <w:tc>
                <w:tcPr>
                  <w:tcW w:w="2021" w:type="dxa"/>
                  <w:vAlign w:val="center"/>
                </w:tcPr>
                <w:p w14:paraId="6F09C7FD">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0.028732</w:t>
                  </w:r>
                </w:p>
              </w:tc>
              <w:tc>
                <w:tcPr>
                  <w:tcW w:w="1705" w:type="dxa"/>
                  <w:vAlign w:val="center"/>
                </w:tcPr>
                <w:p w14:paraId="654A309D">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0.048466</w:t>
                  </w:r>
                </w:p>
              </w:tc>
            </w:tr>
          </w:tbl>
          <w:p w14:paraId="15698AE5">
            <w:pPr>
              <w:adjustRightInd w:val="0"/>
              <w:snapToGrid w:val="0"/>
              <w:spacing w:line="360" w:lineRule="auto"/>
              <w:ind w:firstLine="442" w:firstLineChars="200"/>
              <w:rPr>
                <w:b/>
                <w:color w:val="auto"/>
                <w:spacing w:val="-10"/>
                <w:sz w:val="24"/>
                <w:szCs w:val="24"/>
              </w:rPr>
            </w:pPr>
            <w:r>
              <w:rPr>
                <w:b/>
                <w:color w:val="auto"/>
                <w:spacing w:val="-10"/>
                <w:sz w:val="24"/>
                <w:szCs w:val="24"/>
              </w:rPr>
              <w:t>2、各环保措施的技术经济可行性分析</w:t>
            </w:r>
          </w:p>
          <w:p w14:paraId="0D022C84">
            <w:pPr>
              <w:spacing w:line="360" w:lineRule="auto"/>
              <w:ind w:firstLine="480" w:firstLineChars="200"/>
              <w:rPr>
                <w:color w:val="auto"/>
                <w:sz w:val="24"/>
                <w:szCs w:val="24"/>
              </w:rPr>
            </w:pPr>
            <w:bookmarkStart w:id="34" w:name="_Toc26561"/>
            <w:r>
              <w:rPr>
                <w:color w:val="auto"/>
                <w:sz w:val="24"/>
                <w:szCs w:val="24"/>
              </w:rPr>
              <w:t>活性炭吸附塔工作原理：有机废气进入活性炭吸附层，在活性炭吸附层内装填有活性碳颗粒层，活性炭颗粒表面和内部具有丰富的空间网状微孔结构，其比表面积相当巨大。当有机废气通过活性碳层时有机废气内各种污染物组分被活性炭表面及内部的微孔有效吸附，废气完成了净化可达标排放。活性炭吸附是一个物理过程，因此还可以采用高温蒸汽将使用过的活性炭内之杂质进行脱附，并使其恢复原有的活性，以达到重复使用的目的，具有明显的经济效益。再生后的活性炭其用途仍可连续重复使用及再生。活性炭比表面积一般在700~1500m</w:t>
            </w:r>
            <w:r>
              <w:rPr>
                <w:color w:val="auto"/>
                <w:sz w:val="24"/>
                <w:szCs w:val="24"/>
                <w:vertAlign w:val="superscript"/>
              </w:rPr>
              <w:t>2</w:t>
            </w:r>
            <w:r>
              <w:rPr>
                <w:color w:val="auto"/>
                <w:sz w:val="24"/>
                <w:szCs w:val="24"/>
              </w:rPr>
              <w:t>/g，故活性炭常常被用来吸附回收空气中的有机溶剂和恶臭气体。活性炭吸附的实质是利用活性炭吸附的特性把低浓度大风量废气中的有机溶剂吸附到活性炭中并浓缩，经活性炭吸附净化后的气体直接排空，其实质是一个吸附浓缩的过程，并没有把有机溶剂处理掉，是一个物理过程。活性炭吸附的主要优点：吸附效率高、运行成本低、维护方便、能够同时处理多种混合废气。但是由于活性炭本身对吸附气体有一定的饱和度，当活性炭达到饱和后需进行更换或再生。更换频次视其运行工况而定，废活性炭为危险废物，需交由有资质的单位收集处理。该有机废气治理工艺在市场上应用广泛，技术成熟，技术上可行。活性炭处理装置的主要参数如下：</w:t>
            </w:r>
          </w:p>
          <w:bookmarkEnd w:id="34"/>
          <w:p w14:paraId="277275B5">
            <w:pPr>
              <w:widowControl/>
              <w:spacing w:line="360" w:lineRule="auto"/>
              <w:ind w:firstLine="482" w:firstLineChars="200"/>
              <w:jc w:val="center"/>
              <w:rPr>
                <w:b/>
                <w:bCs/>
                <w:color w:val="auto"/>
                <w:sz w:val="24"/>
                <w:szCs w:val="24"/>
              </w:rPr>
            </w:pPr>
            <w:r>
              <w:rPr>
                <w:b/>
                <w:bCs/>
                <w:color w:val="auto"/>
                <w:sz w:val="24"/>
                <w:szCs w:val="24"/>
              </w:rPr>
              <w:t>表</w:t>
            </w:r>
            <w:r>
              <w:rPr>
                <w:b/>
                <w:bCs/>
                <w:color w:val="auto"/>
                <w:sz w:val="24"/>
                <w:szCs w:val="24"/>
              </w:rPr>
              <w:fldChar w:fldCharType="begin"/>
            </w:r>
            <w:r>
              <w:rPr>
                <w:b/>
                <w:bCs/>
                <w:color w:val="auto"/>
                <w:sz w:val="24"/>
                <w:szCs w:val="24"/>
              </w:rPr>
              <w:instrText xml:space="preserve"> SEQ 表 \* ARABIC </w:instrText>
            </w:r>
            <w:r>
              <w:rPr>
                <w:b/>
                <w:bCs/>
                <w:color w:val="auto"/>
                <w:sz w:val="24"/>
                <w:szCs w:val="24"/>
              </w:rPr>
              <w:fldChar w:fldCharType="separate"/>
            </w:r>
            <w:r>
              <w:rPr>
                <w:b/>
                <w:bCs/>
                <w:color w:val="auto"/>
                <w:sz w:val="24"/>
                <w:szCs w:val="24"/>
              </w:rPr>
              <w:t>33</w:t>
            </w:r>
            <w:r>
              <w:rPr>
                <w:b/>
                <w:bCs/>
                <w:color w:val="auto"/>
                <w:sz w:val="24"/>
                <w:szCs w:val="24"/>
              </w:rPr>
              <w:fldChar w:fldCharType="end"/>
            </w:r>
            <w:r>
              <w:rPr>
                <w:b/>
                <w:bCs/>
                <w:color w:val="auto"/>
                <w:sz w:val="24"/>
                <w:szCs w:val="24"/>
              </w:rPr>
              <w:t xml:space="preserve">   二级活性炭装置主要技术参数</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2125"/>
              <w:gridCol w:w="3792"/>
            </w:tblGrid>
            <w:tr w14:paraId="3F27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pct"/>
                  <w:tcBorders>
                    <w:top w:val="single" w:color="auto" w:sz="4" w:space="0"/>
                    <w:bottom w:val="single" w:color="auto" w:sz="4" w:space="0"/>
                    <w:right w:val="single" w:color="auto" w:sz="4" w:space="0"/>
                  </w:tcBorders>
                  <w:vAlign w:val="center"/>
                </w:tcPr>
                <w:p w14:paraId="6D1A6B9B">
                  <w:pPr>
                    <w:adjustRightInd w:val="0"/>
                    <w:snapToGrid w:val="0"/>
                    <w:jc w:val="center"/>
                    <w:rPr>
                      <w:color w:val="auto"/>
                      <w:szCs w:val="21"/>
                    </w:rPr>
                  </w:pPr>
                  <w:r>
                    <w:rPr>
                      <w:color w:val="auto"/>
                      <w:szCs w:val="21"/>
                    </w:rPr>
                    <w:t>处理装置</w:t>
                  </w:r>
                </w:p>
              </w:tc>
              <w:tc>
                <w:tcPr>
                  <w:tcW w:w="1249" w:type="pct"/>
                  <w:tcBorders>
                    <w:top w:val="single" w:color="auto" w:sz="4" w:space="0"/>
                    <w:left w:val="single" w:color="auto" w:sz="4" w:space="0"/>
                    <w:bottom w:val="single" w:color="auto" w:sz="4" w:space="0"/>
                    <w:right w:val="single" w:color="auto" w:sz="4" w:space="0"/>
                  </w:tcBorders>
                  <w:vAlign w:val="center"/>
                </w:tcPr>
                <w:p w14:paraId="299F04C2">
                  <w:pPr>
                    <w:adjustRightInd w:val="0"/>
                    <w:snapToGrid w:val="0"/>
                    <w:jc w:val="center"/>
                    <w:rPr>
                      <w:color w:val="auto"/>
                      <w:szCs w:val="21"/>
                    </w:rPr>
                  </w:pPr>
                  <w:r>
                    <w:rPr>
                      <w:color w:val="auto"/>
                      <w:szCs w:val="21"/>
                    </w:rPr>
                    <w:t>TA001</w:t>
                  </w:r>
                </w:p>
              </w:tc>
              <w:tc>
                <w:tcPr>
                  <w:tcW w:w="2229" w:type="pct"/>
                  <w:tcBorders>
                    <w:top w:val="single" w:color="auto" w:sz="4" w:space="0"/>
                    <w:left w:val="single" w:color="auto" w:sz="4" w:space="0"/>
                    <w:bottom w:val="single" w:color="auto" w:sz="4" w:space="0"/>
                    <w:right w:val="single" w:color="auto" w:sz="4" w:space="0"/>
                  </w:tcBorders>
                  <w:vAlign w:val="center"/>
                </w:tcPr>
                <w:p w14:paraId="54864C3C">
                  <w:pPr>
                    <w:adjustRightInd w:val="0"/>
                    <w:snapToGrid w:val="0"/>
                    <w:jc w:val="center"/>
                    <w:rPr>
                      <w:color w:val="auto"/>
                      <w:szCs w:val="21"/>
                    </w:rPr>
                  </w:pPr>
                  <w:r>
                    <w:rPr>
                      <w:color w:val="auto"/>
                      <w:szCs w:val="21"/>
                    </w:rPr>
                    <w:t>备注</w:t>
                  </w:r>
                </w:p>
              </w:tc>
            </w:tr>
            <w:tr w14:paraId="097E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521" w:type="pct"/>
                  <w:tcBorders>
                    <w:top w:val="single" w:color="auto" w:sz="4" w:space="0"/>
                    <w:left w:val="single" w:color="auto" w:sz="4" w:space="0"/>
                    <w:bottom w:val="single" w:color="auto" w:sz="4" w:space="0"/>
                    <w:right w:val="single" w:color="auto" w:sz="4" w:space="0"/>
                  </w:tcBorders>
                  <w:vAlign w:val="center"/>
                </w:tcPr>
                <w:p w14:paraId="682A1EC6">
                  <w:pPr>
                    <w:adjustRightInd w:val="0"/>
                    <w:snapToGrid w:val="0"/>
                    <w:jc w:val="center"/>
                    <w:rPr>
                      <w:color w:val="auto"/>
                      <w:szCs w:val="21"/>
                    </w:rPr>
                  </w:pPr>
                  <w:r>
                    <w:rPr>
                      <w:color w:val="auto"/>
                      <w:szCs w:val="21"/>
                    </w:rPr>
                    <w:t>废气量(m</w:t>
                  </w:r>
                  <w:r>
                    <w:rPr>
                      <w:color w:val="auto"/>
                      <w:szCs w:val="21"/>
                      <w:vertAlign w:val="superscript"/>
                    </w:rPr>
                    <w:t>3</w:t>
                  </w:r>
                  <w:r>
                    <w:rPr>
                      <w:color w:val="auto"/>
                      <w:szCs w:val="21"/>
                    </w:rPr>
                    <w:t>/h)</w:t>
                  </w:r>
                </w:p>
              </w:tc>
              <w:tc>
                <w:tcPr>
                  <w:tcW w:w="2125" w:type="dxa"/>
                  <w:tcBorders>
                    <w:top w:val="single" w:color="auto" w:sz="4" w:space="0"/>
                    <w:left w:val="single" w:color="auto" w:sz="4" w:space="0"/>
                    <w:bottom w:val="single" w:color="auto" w:sz="4" w:space="0"/>
                    <w:right w:val="single" w:color="auto" w:sz="4" w:space="0"/>
                  </w:tcBorders>
                  <w:vAlign w:val="center"/>
                </w:tcPr>
                <w:p w14:paraId="32EB6ED8">
                  <w:pPr>
                    <w:widowControl/>
                    <w:jc w:val="center"/>
                    <w:textAlignment w:val="center"/>
                    <w:rPr>
                      <w:color w:val="auto"/>
                      <w:szCs w:val="21"/>
                    </w:rPr>
                  </w:pPr>
                  <w:r>
                    <w:rPr>
                      <w:color w:val="auto"/>
                      <w:kern w:val="0"/>
                      <w:szCs w:val="21"/>
                      <w:lang w:bidi="ar"/>
                    </w:rPr>
                    <w:t>1500</w:t>
                  </w:r>
                </w:p>
              </w:tc>
              <w:tc>
                <w:tcPr>
                  <w:tcW w:w="2229" w:type="pct"/>
                  <w:tcBorders>
                    <w:top w:val="single" w:color="auto" w:sz="4" w:space="0"/>
                    <w:left w:val="single" w:color="auto" w:sz="4" w:space="0"/>
                    <w:bottom w:val="single" w:color="auto" w:sz="4" w:space="0"/>
                    <w:right w:val="single" w:color="auto" w:sz="4" w:space="0"/>
                  </w:tcBorders>
                  <w:vAlign w:val="center"/>
                </w:tcPr>
                <w:p w14:paraId="0D0810F0">
                  <w:pPr>
                    <w:adjustRightInd w:val="0"/>
                    <w:snapToGrid w:val="0"/>
                    <w:jc w:val="center"/>
                    <w:rPr>
                      <w:color w:val="auto"/>
                      <w:szCs w:val="21"/>
                    </w:rPr>
                  </w:pPr>
                  <w:r>
                    <w:rPr>
                      <w:color w:val="auto"/>
                      <w:szCs w:val="21"/>
                    </w:rPr>
                    <w:t>采用变频风机</w:t>
                  </w:r>
                </w:p>
              </w:tc>
            </w:tr>
            <w:tr w14:paraId="1C0C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pct"/>
                  <w:tcBorders>
                    <w:top w:val="single" w:color="auto" w:sz="4" w:space="0"/>
                    <w:left w:val="single" w:color="auto" w:sz="4" w:space="0"/>
                    <w:bottom w:val="single" w:color="auto" w:sz="4" w:space="0"/>
                    <w:right w:val="single" w:color="auto" w:sz="4" w:space="0"/>
                  </w:tcBorders>
                  <w:vAlign w:val="center"/>
                </w:tcPr>
                <w:p w14:paraId="579016C3">
                  <w:pPr>
                    <w:adjustRightInd w:val="0"/>
                    <w:snapToGrid w:val="0"/>
                    <w:jc w:val="center"/>
                    <w:rPr>
                      <w:color w:val="auto"/>
                      <w:szCs w:val="21"/>
                    </w:rPr>
                  </w:pPr>
                  <w:r>
                    <w:rPr>
                      <w:color w:val="auto"/>
                      <w:szCs w:val="21"/>
                    </w:rPr>
                    <w:t>单层活性炭填充尺寸(mm)</w:t>
                  </w:r>
                </w:p>
              </w:tc>
              <w:tc>
                <w:tcPr>
                  <w:tcW w:w="2125" w:type="dxa"/>
                  <w:tcBorders>
                    <w:top w:val="single" w:color="auto" w:sz="4" w:space="0"/>
                    <w:left w:val="single" w:color="auto" w:sz="4" w:space="0"/>
                    <w:bottom w:val="single" w:color="auto" w:sz="4" w:space="0"/>
                    <w:right w:val="single" w:color="auto" w:sz="4" w:space="0"/>
                  </w:tcBorders>
                  <w:vAlign w:val="center"/>
                </w:tcPr>
                <w:p w14:paraId="4DC60BA8">
                  <w:pPr>
                    <w:widowControl/>
                    <w:jc w:val="center"/>
                    <w:textAlignment w:val="center"/>
                    <w:rPr>
                      <w:color w:val="auto"/>
                      <w:szCs w:val="21"/>
                    </w:rPr>
                  </w:pPr>
                  <w:r>
                    <w:rPr>
                      <w:color w:val="auto"/>
                      <w:kern w:val="0"/>
                      <w:szCs w:val="21"/>
                      <w:lang w:bidi="ar"/>
                    </w:rPr>
                    <w:t>600×</w:t>
                  </w:r>
                  <w:r>
                    <w:rPr>
                      <w:rFonts w:hint="eastAsia"/>
                      <w:color w:val="auto"/>
                      <w:kern w:val="0"/>
                      <w:szCs w:val="21"/>
                      <w:lang w:val="en-US" w:eastAsia="zh-CN" w:bidi="ar"/>
                    </w:rPr>
                    <w:t>5</w:t>
                  </w:r>
                  <w:r>
                    <w:rPr>
                      <w:color w:val="auto"/>
                      <w:kern w:val="0"/>
                      <w:szCs w:val="21"/>
                      <w:lang w:bidi="ar"/>
                    </w:rPr>
                    <w:t>00×</w:t>
                  </w:r>
                  <w:r>
                    <w:rPr>
                      <w:rFonts w:hint="eastAsia"/>
                      <w:color w:val="auto"/>
                      <w:kern w:val="0"/>
                      <w:szCs w:val="21"/>
                      <w:lang w:val="en-US" w:eastAsia="zh-CN" w:bidi="ar"/>
                    </w:rPr>
                    <w:t>3</w:t>
                  </w:r>
                  <w:r>
                    <w:rPr>
                      <w:color w:val="auto"/>
                      <w:kern w:val="0"/>
                      <w:szCs w:val="21"/>
                      <w:lang w:bidi="ar"/>
                    </w:rPr>
                    <w:t>00</w:t>
                  </w:r>
                </w:p>
              </w:tc>
              <w:tc>
                <w:tcPr>
                  <w:tcW w:w="2229" w:type="pct"/>
                  <w:tcBorders>
                    <w:top w:val="single" w:color="auto" w:sz="4" w:space="0"/>
                    <w:left w:val="single" w:color="auto" w:sz="4" w:space="0"/>
                    <w:bottom w:val="single" w:color="auto" w:sz="4" w:space="0"/>
                    <w:right w:val="single" w:color="auto" w:sz="4" w:space="0"/>
                  </w:tcBorders>
                  <w:vAlign w:val="center"/>
                </w:tcPr>
                <w:p w14:paraId="41BA1D8C">
                  <w:pPr>
                    <w:adjustRightInd w:val="0"/>
                    <w:snapToGrid w:val="0"/>
                    <w:jc w:val="center"/>
                    <w:rPr>
                      <w:color w:val="auto"/>
                      <w:szCs w:val="21"/>
                    </w:rPr>
                  </w:pPr>
                  <w:r>
                    <w:rPr>
                      <w:color w:val="auto"/>
                      <w:szCs w:val="21"/>
                    </w:rPr>
                    <w:t>/</w:t>
                  </w:r>
                </w:p>
              </w:tc>
            </w:tr>
            <w:tr w14:paraId="4DAFB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521" w:type="pct"/>
                  <w:tcBorders>
                    <w:top w:val="single" w:color="auto" w:sz="4" w:space="0"/>
                    <w:left w:val="single" w:color="auto" w:sz="4" w:space="0"/>
                    <w:bottom w:val="single" w:color="auto" w:sz="4" w:space="0"/>
                    <w:right w:val="single" w:color="auto" w:sz="4" w:space="0"/>
                  </w:tcBorders>
                  <w:vAlign w:val="center"/>
                </w:tcPr>
                <w:p w14:paraId="2284816A">
                  <w:pPr>
                    <w:adjustRightInd w:val="0"/>
                    <w:snapToGrid w:val="0"/>
                    <w:jc w:val="center"/>
                    <w:rPr>
                      <w:color w:val="auto"/>
                      <w:szCs w:val="21"/>
                    </w:rPr>
                  </w:pPr>
                  <w:r>
                    <w:rPr>
                      <w:color w:val="auto"/>
                      <w:szCs w:val="21"/>
                    </w:rPr>
                    <w:t>单级活性炭箱设计炭层层数(层)</w:t>
                  </w:r>
                </w:p>
              </w:tc>
              <w:tc>
                <w:tcPr>
                  <w:tcW w:w="2125" w:type="dxa"/>
                  <w:tcBorders>
                    <w:top w:val="single" w:color="auto" w:sz="4" w:space="0"/>
                    <w:left w:val="single" w:color="auto" w:sz="4" w:space="0"/>
                    <w:bottom w:val="single" w:color="auto" w:sz="4" w:space="0"/>
                    <w:right w:val="single" w:color="auto" w:sz="4" w:space="0"/>
                  </w:tcBorders>
                  <w:vAlign w:val="center"/>
                </w:tcPr>
                <w:p w14:paraId="50659107">
                  <w:pPr>
                    <w:widowControl/>
                    <w:jc w:val="center"/>
                    <w:textAlignment w:val="center"/>
                    <w:rPr>
                      <w:color w:val="auto"/>
                      <w:szCs w:val="21"/>
                    </w:rPr>
                  </w:pPr>
                  <w:r>
                    <w:rPr>
                      <w:color w:val="auto"/>
                      <w:kern w:val="0"/>
                      <w:szCs w:val="21"/>
                      <w:lang w:bidi="ar"/>
                    </w:rPr>
                    <w:t>3</w:t>
                  </w:r>
                </w:p>
              </w:tc>
              <w:tc>
                <w:tcPr>
                  <w:tcW w:w="2229" w:type="pct"/>
                  <w:tcBorders>
                    <w:top w:val="single" w:color="auto" w:sz="4" w:space="0"/>
                    <w:left w:val="single" w:color="auto" w:sz="4" w:space="0"/>
                    <w:bottom w:val="single" w:color="auto" w:sz="4" w:space="0"/>
                    <w:right w:val="single" w:color="auto" w:sz="4" w:space="0"/>
                  </w:tcBorders>
                  <w:vAlign w:val="center"/>
                </w:tcPr>
                <w:p w14:paraId="6379AB5B">
                  <w:pPr>
                    <w:adjustRightInd w:val="0"/>
                    <w:snapToGrid w:val="0"/>
                    <w:jc w:val="center"/>
                    <w:rPr>
                      <w:color w:val="auto"/>
                      <w:szCs w:val="21"/>
                    </w:rPr>
                  </w:pPr>
                  <w:r>
                    <w:rPr>
                      <w:color w:val="auto"/>
                      <w:szCs w:val="21"/>
                    </w:rPr>
                    <w:t>/</w:t>
                  </w:r>
                </w:p>
              </w:tc>
            </w:tr>
            <w:tr w14:paraId="4B95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pct"/>
                  <w:tcBorders>
                    <w:top w:val="single" w:color="auto" w:sz="4" w:space="0"/>
                    <w:left w:val="single" w:color="auto" w:sz="4" w:space="0"/>
                    <w:bottom w:val="single" w:color="auto" w:sz="4" w:space="0"/>
                    <w:right w:val="single" w:color="auto" w:sz="4" w:space="0"/>
                  </w:tcBorders>
                  <w:vAlign w:val="center"/>
                </w:tcPr>
                <w:p w14:paraId="6A3AFBD4">
                  <w:pPr>
                    <w:adjustRightInd w:val="0"/>
                    <w:snapToGrid w:val="0"/>
                    <w:jc w:val="center"/>
                    <w:rPr>
                      <w:color w:val="auto"/>
                      <w:szCs w:val="21"/>
                    </w:rPr>
                  </w:pPr>
                  <w:r>
                    <w:rPr>
                      <w:color w:val="auto"/>
                      <w:szCs w:val="21"/>
                    </w:rPr>
                    <w:t>单炭层过滤风量(m</w:t>
                  </w:r>
                  <w:r>
                    <w:rPr>
                      <w:color w:val="auto"/>
                      <w:szCs w:val="21"/>
                      <w:vertAlign w:val="superscript"/>
                    </w:rPr>
                    <w:t>3</w:t>
                  </w:r>
                  <w:r>
                    <w:rPr>
                      <w:color w:val="auto"/>
                      <w:szCs w:val="21"/>
                    </w:rPr>
                    <w:t>/h)</w:t>
                  </w:r>
                </w:p>
              </w:tc>
              <w:tc>
                <w:tcPr>
                  <w:tcW w:w="2125" w:type="dxa"/>
                  <w:tcBorders>
                    <w:top w:val="single" w:color="auto" w:sz="4" w:space="0"/>
                    <w:left w:val="single" w:color="auto" w:sz="4" w:space="0"/>
                    <w:bottom w:val="single" w:color="auto" w:sz="4" w:space="0"/>
                    <w:right w:val="single" w:color="auto" w:sz="4" w:space="0"/>
                  </w:tcBorders>
                  <w:vAlign w:val="center"/>
                </w:tcPr>
                <w:p w14:paraId="73DBED66">
                  <w:pPr>
                    <w:widowControl/>
                    <w:jc w:val="center"/>
                    <w:textAlignment w:val="center"/>
                    <w:rPr>
                      <w:color w:val="auto"/>
                      <w:szCs w:val="21"/>
                    </w:rPr>
                  </w:pPr>
                  <w:r>
                    <w:rPr>
                      <w:color w:val="auto"/>
                      <w:kern w:val="0"/>
                      <w:szCs w:val="21"/>
                      <w:lang w:bidi="ar"/>
                    </w:rPr>
                    <w:t>500</w:t>
                  </w:r>
                </w:p>
              </w:tc>
              <w:tc>
                <w:tcPr>
                  <w:tcW w:w="2229" w:type="pct"/>
                  <w:tcBorders>
                    <w:top w:val="single" w:color="auto" w:sz="4" w:space="0"/>
                    <w:left w:val="single" w:color="auto" w:sz="4" w:space="0"/>
                    <w:bottom w:val="single" w:color="auto" w:sz="4" w:space="0"/>
                    <w:right w:val="single" w:color="auto" w:sz="4" w:space="0"/>
                  </w:tcBorders>
                  <w:vAlign w:val="center"/>
                </w:tcPr>
                <w:p w14:paraId="572F45C8">
                  <w:pPr>
                    <w:adjustRightInd w:val="0"/>
                    <w:snapToGrid w:val="0"/>
                    <w:jc w:val="center"/>
                    <w:rPr>
                      <w:color w:val="auto"/>
                      <w:szCs w:val="21"/>
                    </w:rPr>
                  </w:pPr>
                  <w:r>
                    <w:rPr>
                      <w:color w:val="auto"/>
                      <w:szCs w:val="21"/>
                    </w:rPr>
                    <w:t>活性炭箱体设计采用横向多层设计，多层设计主要为了平衡风压，减少单层气体流量，单炭层过滤风量=总风量/炭箱炭层数量</w:t>
                  </w:r>
                </w:p>
              </w:tc>
            </w:tr>
            <w:tr w14:paraId="7A13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pct"/>
                  <w:tcBorders>
                    <w:top w:val="single" w:color="auto" w:sz="4" w:space="0"/>
                    <w:left w:val="single" w:color="auto" w:sz="4" w:space="0"/>
                    <w:bottom w:val="single" w:color="auto" w:sz="4" w:space="0"/>
                    <w:right w:val="single" w:color="auto" w:sz="4" w:space="0"/>
                  </w:tcBorders>
                  <w:vAlign w:val="center"/>
                </w:tcPr>
                <w:p w14:paraId="2E4F1E1D">
                  <w:pPr>
                    <w:adjustRightInd w:val="0"/>
                    <w:snapToGrid w:val="0"/>
                    <w:jc w:val="center"/>
                    <w:rPr>
                      <w:color w:val="auto"/>
                    </w:rPr>
                  </w:pPr>
                  <w:r>
                    <w:rPr>
                      <w:color w:val="auto"/>
                      <w:szCs w:val="21"/>
                    </w:rPr>
                    <w:t>设计过滤流速(m/s)</w:t>
                  </w:r>
                </w:p>
              </w:tc>
              <w:tc>
                <w:tcPr>
                  <w:tcW w:w="2125" w:type="dxa"/>
                  <w:tcBorders>
                    <w:top w:val="single" w:color="auto" w:sz="4" w:space="0"/>
                    <w:left w:val="single" w:color="auto" w:sz="4" w:space="0"/>
                    <w:bottom w:val="single" w:color="auto" w:sz="4" w:space="0"/>
                    <w:right w:val="single" w:color="auto" w:sz="4" w:space="0"/>
                  </w:tcBorders>
                  <w:vAlign w:val="center"/>
                </w:tcPr>
                <w:p w14:paraId="2C4313BB">
                  <w:pPr>
                    <w:widowControl/>
                    <w:jc w:val="center"/>
                    <w:textAlignment w:val="center"/>
                    <w:rPr>
                      <w:rFonts w:hint="default" w:eastAsia="宋体"/>
                      <w:color w:val="auto"/>
                      <w:szCs w:val="21"/>
                      <w:lang w:val="en-US" w:eastAsia="zh-CN"/>
                    </w:rPr>
                  </w:pPr>
                  <w:r>
                    <w:rPr>
                      <w:rFonts w:hint="eastAsia"/>
                      <w:color w:val="auto"/>
                      <w:kern w:val="0"/>
                      <w:szCs w:val="21"/>
                      <w:lang w:val="en-US" w:eastAsia="zh-CN" w:bidi="ar"/>
                    </w:rPr>
                    <w:t>0.46</w:t>
                  </w:r>
                </w:p>
              </w:tc>
              <w:tc>
                <w:tcPr>
                  <w:tcW w:w="2229" w:type="pct"/>
                  <w:tcBorders>
                    <w:top w:val="single" w:color="auto" w:sz="4" w:space="0"/>
                    <w:left w:val="single" w:color="auto" w:sz="4" w:space="0"/>
                    <w:bottom w:val="single" w:color="auto" w:sz="4" w:space="0"/>
                    <w:right w:val="single" w:color="auto" w:sz="4" w:space="0"/>
                  </w:tcBorders>
                  <w:vAlign w:val="center"/>
                </w:tcPr>
                <w:p w14:paraId="2458B491">
                  <w:pPr>
                    <w:adjustRightInd w:val="0"/>
                    <w:snapToGrid w:val="0"/>
                    <w:jc w:val="center"/>
                    <w:rPr>
                      <w:color w:val="auto"/>
                      <w:szCs w:val="21"/>
                    </w:rPr>
                  </w:pPr>
                  <w:r>
                    <w:rPr>
                      <w:color w:val="auto"/>
                      <w:szCs w:val="21"/>
                    </w:rPr>
                    <w:t>根据《吸附法工业有机废气治理工程技术规范》（HJ2026-2013)中使用蜂窝状活性炭风速小于1.2m/s</w:t>
                  </w:r>
                </w:p>
              </w:tc>
            </w:tr>
            <w:tr w14:paraId="18C3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pct"/>
                  <w:tcBorders>
                    <w:top w:val="single" w:color="auto" w:sz="4" w:space="0"/>
                    <w:left w:val="single" w:color="auto" w:sz="4" w:space="0"/>
                    <w:bottom w:val="single" w:color="auto" w:sz="4" w:space="0"/>
                    <w:right w:val="single" w:color="auto" w:sz="4" w:space="0"/>
                  </w:tcBorders>
                  <w:vAlign w:val="center"/>
                </w:tcPr>
                <w:p w14:paraId="692C48E7">
                  <w:pPr>
                    <w:adjustRightInd w:val="0"/>
                    <w:snapToGrid w:val="0"/>
                    <w:jc w:val="center"/>
                    <w:rPr>
                      <w:color w:val="auto"/>
                      <w:szCs w:val="21"/>
                    </w:rPr>
                  </w:pPr>
                  <w:r>
                    <w:rPr>
                      <w:color w:val="auto"/>
                      <w:szCs w:val="21"/>
                    </w:rPr>
                    <w:t>吸附停留时间(s)</w:t>
                  </w:r>
                </w:p>
              </w:tc>
              <w:tc>
                <w:tcPr>
                  <w:tcW w:w="2125" w:type="dxa"/>
                  <w:tcBorders>
                    <w:top w:val="single" w:color="auto" w:sz="4" w:space="0"/>
                    <w:left w:val="single" w:color="auto" w:sz="4" w:space="0"/>
                    <w:bottom w:val="single" w:color="auto" w:sz="4" w:space="0"/>
                    <w:right w:val="single" w:color="auto" w:sz="4" w:space="0"/>
                  </w:tcBorders>
                  <w:vAlign w:val="center"/>
                </w:tcPr>
                <w:p w14:paraId="62F5AC58">
                  <w:pPr>
                    <w:widowControl/>
                    <w:jc w:val="center"/>
                    <w:textAlignment w:val="center"/>
                    <w:rPr>
                      <w:rFonts w:hint="default" w:eastAsia="宋体"/>
                      <w:color w:val="auto"/>
                      <w:szCs w:val="21"/>
                      <w:lang w:val="en-US" w:eastAsia="zh-CN"/>
                    </w:rPr>
                  </w:pPr>
                  <w:r>
                    <w:rPr>
                      <w:rFonts w:hint="eastAsia"/>
                      <w:color w:val="auto"/>
                      <w:kern w:val="0"/>
                      <w:szCs w:val="21"/>
                      <w:lang w:val="en-US" w:eastAsia="zh-CN" w:bidi="ar"/>
                    </w:rPr>
                    <w:t>0.65</w:t>
                  </w:r>
                </w:p>
              </w:tc>
              <w:tc>
                <w:tcPr>
                  <w:tcW w:w="2229" w:type="pct"/>
                  <w:tcBorders>
                    <w:top w:val="single" w:color="auto" w:sz="4" w:space="0"/>
                    <w:left w:val="single" w:color="auto" w:sz="4" w:space="0"/>
                    <w:bottom w:val="single" w:color="auto" w:sz="4" w:space="0"/>
                    <w:right w:val="single" w:color="auto" w:sz="4" w:space="0"/>
                  </w:tcBorders>
                  <w:vAlign w:val="center"/>
                </w:tcPr>
                <w:p w14:paraId="05E1916D">
                  <w:pPr>
                    <w:adjustRightInd w:val="0"/>
                    <w:snapToGrid w:val="0"/>
                    <w:jc w:val="center"/>
                    <w:rPr>
                      <w:color w:val="auto"/>
                      <w:szCs w:val="21"/>
                    </w:rPr>
                  </w:pPr>
                  <w:r>
                    <w:rPr>
                      <w:color w:val="auto"/>
                      <w:szCs w:val="21"/>
                    </w:rPr>
                    <w:t>满足污染物在活性炭箱内的接触吸附时间0.5s-2s</w:t>
                  </w:r>
                </w:p>
                <w:p w14:paraId="3994B3D4">
                  <w:pPr>
                    <w:adjustRightInd w:val="0"/>
                    <w:snapToGrid w:val="0"/>
                    <w:jc w:val="center"/>
                    <w:rPr>
                      <w:color w:val="auto"/>
                      <w:szCs w:val="21"/>
                    </w:rPr>
                  </w:pPr>
                  <w:r>
                    <w:rPr>
                      <w:color w:val="auto"/>
                      <w:szCs w:val="21"/>
                    </w:rPr>
                    <w:t>停留时间=单层碳层设计厚度/设计过滤风速</w:t>
                  </w:r>
                </w:p>
              </w:tc>
            </w:tr>
            <w:tr w14:paraId="79AC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pct"/>
                  <w:tcBorders>
                    <w:top w:val="single" w:color="auto" w:sz="4" w:space="0"/>
                    <w:left w:val="single" w:color="auto" w:sz="4" w:space="0"/>
                    <w:bottom w:val="single" w:color="auto" w:sz="4" w:space="0"/>
                    <w:right w:val="single" w:color="auto" w:sz="4" w:space="0"/>
                  </w:tcBorders>
                  <w:shd w:val="clear" w:color="auto" w:fill="auto"/>
                  <w:vAlign w:val="center"/>
                </w:tcPr>
                <w:p w14:paraId="20F02013">
                  <w:pPr>
                    <w:adjustRightInd w:val="0"/>
                    <w:snapToGrid w:val="0"/>
                    <w:jc w:val="center"/>
                    <w:rPr>
                      <w:color w:val="auto"/>
                      <w:szCs w:val="21"/>
                    </w:rPr>
                  </w:pPr>
                  <w:r>
                    <w:rPr>
                      <w:color w:val="auto"/>
                      <w:szCs w:val="21"/>
                    </w:rPr>
                    <w:t>活性炭型状</w:t>
                  </w:r>
                </w:p>
              </w:tc>
              <w:tc>
                <w:tcPr>
                  <w:tcW w:w="1249" w:type="pct"/>
                  <w:tcBorders>
                    <w:top w:val="single" w:color="auto" w:sz="4" w:space="0"/>
                    <w:left w:val="single" w:color="auto" w:sz="4" w:space="0"/>
                    <w:bottom w:val="single" w:color="auto" w:sz="4" w:space="0"/>
                    <w:right w:val="single" w:color="auto" w:sz="4" w:space="0"/>
                  </w:tcBorders>
                  <w:shd w:val="clear" w:color="auto" w:fill="auto"/>
                  <w:vAlign w:val="center"/>
                </w:tcPr>
                <w:p w14:paraId="370B3BE4">
                  <w:pPr>
                    <w:widowControl/>
                    <w:jc w:val="center"/>
                    <w:textAlignment w:val="center"/>
                    <w:rPr>
                      <w:color w:val="auto"/>
                      <w:szCs w:val="21"/>
                    </w:rPr>
                  </w:pPr>
                  <w:r>
                    <w:rPr>
                      <w:color w:val="auto"/>
                      <w:kern w:val="0"/>
                      <w:szCs w:val="21"/>
                      <w:lang w:bidi="ar"/>
                    </w:rPr>
                    <w:t>蜂窝状（</w:t>
                  </w:r>
                  <w:r>
                    <w:rPr>
                      <w:color w:val="auto"/>
                      <w:szCs w:val="21"/>
                    </w:rPr>
                    <w:t>碘值不低于650mg/g</w:t>
                  </w:r>
                  <w:r>
                    <w:rPr>
                      <w:color w:val="auto"/>
                      <w:kern w:val="0"/>
                      <w:szCs w:val="21"/>
                      <w:lang w:bidi="ar"/>
                    </w:rPr>
                    <w:t>）</w:t>
                  </w:r>
                </w:p>
              </w:tc>
              <w:tc>
                <w:tcPr>
                  <w:tcW w:w="2229" w:type="pct"/>
                  <w:tcBorders>
                    <w:top w:val="single" w:color="auto" w:sz="4" w:space="0"/>
                    <w:left w:val="single" w:color="auto" w:sz="4" w:space="0"/>
                    <w:bottom w:val="single" w:color="auto" w:sz="4" w:space="0"/>
                    <w:right w:val="single" w:color="auto" w:sz="4" w:space="0"/>
                  </w:tcBorders>
                  <w:vAlign w:val="center"/>
                </w:tcPr>
                <w:p w14:paraId="45055C24">
                  <w:pPr>
                    <w:adjustRightInd w:val="0"/>
                    <w:snapToGrid w:val="0"/>
                    <w:jc w:val="center"/>
                    <w:rPr>
                      <w:color w:val="auto"/>
                      <w:szCs w:val="21"/>
                    </w:rPr>
                  </w:pPr>
                  <w:r>
                    <w:rPr>
                      <w:color w:val="auto"/>
                      <w:kern w:val="2"/>
                      <w:szCs w:val="24"/>
                    </w:rPr>
                    <w:t>《广东省生态环境厅关于印发工业源挥发性有机物和氮氧化物减排量核算方法的通知》（粤环函〔2023〕538号）表3.3-</w:t>
                  </w:r>
                  <w:r>
                    <w:rPr>
                      <w:rFonts w:hint="eastAsia"/>
                      <w:color w:val="auto"/>
                      <w:kern w:val="2"/>
                      <w:szCs w:val="24"/>
                      <w:lang w:val="en-US" w:eastAsia="zh-CN"/>
                    </w:rPr>
                    <w:t>4</w:t>
                  </w:r>
                  <w:r>
                    <w:rPr>
                      <w:color w:val="auto"/>
                      <w:szCs w:val="21"/>
                    </w:rPr>
                    <w:t>：“蜂窝活性炭碘值不低于650mg/g”。</w:t>
                  </w:r>
                </w:p>
              </w:tc>
            </w:tr>
            <w:tr w14:paraId="6E6E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pct"/>
                  <w:tcBorders>
                    <w:top w:val="single" w:color="auto" w:sz="4" w:space="0"/>
                    <w:left w:val="single" w:color="auto" w:sz="4" w:space="0"/>
                    <w:bottom w:val="single" w:color="auto" w:sz="4" w:space="0"/>
                    <w:right w:val="single" w:color="auto" w:sz="4" w:space="0"/>
                  </w:tcBorders>
                  <w:vAlign w:val="center"/>
                </w:tcPr>
                <w:p w14:paraId="6EB8BB77">
                  <w:pPr>
                    <w:adjustRightInd w:val="0"/>
                    <w:snapToGrid w:val="0"/>
                    <w:jc w:val="center"/>
                    <w:rPr>
                      <w:color w:val="auto"/>
                      <w:szCs w:val="21"/>
                    </w:rPr>
                  </w:pPr>
                  <w:r>
                    <w:rPr>
                      <w:color w:val="auto"/>
                      <w:szCs w:val="21"/>
                    </w:rPr>
                    <w:t>活性炭密度(g/cm</w:t>
                  </w:r>
                  <w:r>
                    <w:rPr>
                      <w:color w:val="auto"/>
                      <w:szCs w:val="21"/>
                      <w:vertAlign w:val="superscript"/>
                    </w:rPr>
                    <w:t>3</w:t>
                  </w:r>
                  <w:r>
                    <w:rPr>
                      <w:color w:val="auto"/>
                      <w:szCs w:val="21"/>
                    </w:rPr>
                    <w:t>)</w:t>
                  </w:r>
                </w:p>
              </w:tc>
              <w:tc>
                <w:tcPr>
                  <w:tcW w:w="2125" w:type="dxa"/>
                  <w:tcBorders>
                    <w:top w:val="single" w:color="auto" w:sz="4" w:space="0"/>
                    <w:left w:val="single" w:color="auto" w:sz="4" w:space="0"/>
                    <w:bottom w:val="single" w:color="auto" w:sz="4" w:space="0"/>
                    <w:right w:val="single" w:color="auto" w:sz="4" w:space="0"/>
                  </w:tcBorders>
                  <w:vAlign w:val="center"/>
                </w:tcPr>
                <w:p w14:paraId="3FFCB659">
                  <w:pPr>
                    <w:widowControl/>
                    <w:jc w:val="center"/>
                    <w:textAlignment w:val="center"/>
                    <w:rPr>
                      <w:color w:val="auto"/>
                      <w:szCs w:val="21"/>
                    </w:rPr>
                  </w:pPr>
                  <w:r>
                    <w:rPr>
                      <w:color w:val="auto"/>
                      <w:kern w:val="0"/>
                      <w:szCs w:val="21"/>
                      <w:lang w:bidi="ar"/>
                    </w:rPr>
                    <w:t>0.5</w:t>
                  </w:r>
                </w:p>
              </w:tc>
              <w:tc>
                <w:tcPr>
                  <w:tcW w:w="2229" w:type="pct"/>
                  <w:tcBorders>
                    <w:top w:val="single" w:color="auto" w:sz="4" w:space="0"/>
                    <w:left w:val="single" w:color="auto" w:sz="4" w:space="0"/>
                    <w:bottom w:val="single" w:color="auto" w:sz="4" w:space="0"/>
                    <w:right w:val="single" w:color="auto" w:sz="4" w:space="0"/>
                  </w:tcBorders>
                  <w:vAlign w:val="center"/>
                </w:tcPr>
                <w:p w14:paraId="5CEC4062">
                  <w:pPr>
                    <w:adjustRightInd w:val="0"/>
                    <w:snapToGrid w:val="0"/>
                    <w:jc w:val="center"/>
                    <w:rPr>
                      <w:color w:val="auto"/>
                      <w:szCs w:val="21"/>
                    </w:rPr>
                  </w:pPr>
                  <w:r>
                    <w:rPr>
                      <w:color w:val="auto"/>
                      <w:szCs w:val="21"/>
                    </w:rPr>
                    <w:t>/</w:t>
                  </w:r>
                </w:p>
              </w:tc>
            </w:tr>
            <w:tr w14:paraId="2036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1" w:type="pct"/>
                  <w:tcBorders>
                    <w:top w:val="single" w:color="auto" w:sz="4" w:space="0"/>
                    <w:left w:val="single" w:color="auto" w:sz="4" w:space="0"/>
                    <w:bottom w:val="single" w:color="auto" w:sz="4" w:space="0"/>
                    <w:right w:val="single" w:color="auto" w:sz="4" w:space="0"/>
                  </w:tcBorders>
                  <w:vAlign w:val="center"/>
                </w:tcPr>
                <w:p w14:paraId="2D4C4D8A">
                  <w:pPr>
                    <w:adjustRightInd w:val="0"/>
                    <w:snapToGrid w:val="0"/>
                    <w:jc w:val="center"/>
                    <w:rPr>
                      <w:color w:val="auto"/>
                      <w:szCs w:val="21"/>
                    </w:rPr>
                  </w:pPr>
                  <w:r>
                    <w:rPr>
                      <w:color w:val="auto"/>
                      <w:szCs w:val="21"/>
                    </w:rPr>
                    <w:t>单级吸附面积(m</w:t>
                  </w:r>
                  <w:r>
                    <w:rPr>
                      <w:color w:val="auto"/>
                      <w:szCs w:val="21"/>
                      <w:vertAlign w:val="superscript"/>
                    </w:rPr>
                    <w:t>2</w:t>
                  </w:r>
                  <w:r>
                    <w:rPr>
                      <w:color w:val="auto"/>
                      <w:szCs w:val="21"/>
                    </w:rPr>
                    <w:t>)</w:t>
                  </w:r>
                </w:p>
              </w:tc>
              <w:tc>
                <w:tcPr>
                  <w:tcW w:w="2125" w:type="dxa"/>
                  <w:tcBorders>
                    <w:top w:val="single" w:color="auto" w:sz="4" w:space="0"/>
                    <w:left w:val="single" w:color="auto" w:sz="4" w:space="0"/>
                    <w:bottom w:val="single" w:color="auto" w:sz="4" w:space="0"/>
                    <w:right w:val="single" w:color="auto" w:sz="4" w:space="0"/>
                  </w:tcBorders>
                  <w:vAlign w:val="center"/>
                </w:tcPr>
                <w:p w14:paraId="63477D39">
                  <w:pPr>
                    <w:widowControl/>
                    <w:jc w:val="center"/>
                    <w:textAlignment w:val="center"/>
                    <w:rPr>
                      <w:rFonts w:hint="default" w:eastAsia="宋体"/>
                      <w:color w:val="auto"/>
                      <w:szCs w:val="21"/>
                      <w:lang w:val="en-US" w:eastAsia="zh-CN"/>
                    </w:rPr>
                  </w:pPr>
                  <w:r>
                    <w:rPr>
                      <w:rFonts w:hint="eastAsia"/>
                      <w:color w:val="auto"/>
                      <w:kern w:val="0"/>
                      <w:szCs w:val="21"/>
                      <w:lang w:val="en-US" w:eastAsia="zh-CN" w:bidi="ar"/>
                    </w:rPr>
                    <w:t>0.9</w:t>
                  </w:r>
                </w:p>
              </w:tc>
              <w:tc>
                <w:tcPr>
                  <w:tcW w:w="2229" w:type="pct"/>
                  <w:tcBorders>
                    <w:top w:val="single" w:color="auto" w:sz="4" w:space="0"/>
                    <w:left w:val="single" w:color="auto" w:sz="4" w:space="0"/>
                    <w:bottom w:val="single" w:color="auto" w:sz="4" w:space="0"/>
                    <w:right w:val="single" w:color="auto" w:sz="4" w:space="0"/>
                  </w:tcBorders>
                  <w:vAlign w:val="center"/>
                </w:tcPr>
                <w:p w14:paraId="489BE898">
                  <w:pPr>
                    <w:adjustRightInd w:val="0"/>
                    <w:snapToGrid w:val="0"/>
                    <w:jc w:val="center"/>
                    <w:rPr>
                      <w:color w:val="auto"/>
                      <w:szCs w:val="21"/>
                    </w:rPr>
                  </w:pPr>
                  <w:r>
                    <w:rPr>
                      <w:color w:val="auto"/>
                      <w:szCs w:val="21"/>
                    </w:rPr>
                    <w:t>/</w:t>
                  </w:r>
                </w:p>
              </w:tc>
            </w:tr>
            <w:tr w14:paraId="59EB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pct"/>
                  <w:tcBorders>
                    <w:top w:val="single" w:color="auto" w:sz="4" w:space="0"/>
                  </w:tcBorders>
                  <w:vAlign w:val="center"/>
                </w:tcPr>
                <w:p w14:paraId="77A89E52">
                  <w:pPr>
                    <w:adjustRightInd w:val="0"/>
                    <w:snapToGrid w:val="0"/>
                    <w:jc w:val="center"/>
                    <w:rPr>
                      <w:color w:val="auto"/>
                      <w:szCs w:val="21"/>
                    </w:rPr>
                  </w:pPr>
                  <w:r>
                    <w:rPr>
                      <w:color w:val="auto"/>
                      <w:szCs w:val="21"/>
                    </w:rPr>
                    <w:t>单级活性炭填充重量(</w:t>
                  </w:r>
                  <w:r>
                    <w:rPr>
                      <w:rFonts w:hint="eastAsia"/>
                      <w:color w:val="auto"/>
                      <w:szCs w:val="21"/>
                      <w:lang w:val="en-US" w:eastAsia="zh-CN"/>
                    </w:rPr>
                    <w:t>t</w:t>
                  </w:r>
                  <w:r>
                    <w:rPr>
                      <w:color w:val="auto"/>
                      <w:szCs w:val="21"/>
                    </w:rPr>
                    <w:t>)</w:t>
                  </w:r>
                </w:p>
              </w:tc>
              <w:tc>
                <w:tcPr>
                  <w:tcW w:w="2125" w:type="dxa"/>
                  <w:tcBorders>
                    <w:top w:val="single" w:color="auto" w:sz="4" w:space="0"/>
                  </w:tcBorders>
                  <w:vAlign w:val="center"/>
                </w:tcPr>
                <w:p w14:paraId="1ACEB889">
                  <w:pPr>
                    <w:widowControl/>
                    <w:jc w:val="center"/>
                    <w:textAlignment w:val="center"/>
                    <w:rPr>
                      <w:rFonts w:hint="default" w:eastAsia="宋体"/>
                      <w:color w:val="auto"/>
                      <w:szCs w:val="21"/>
                      <w:lang w:val="en-US" w:eastAsia="zh-CN"/>
                    </w:rPr>
                  </w:pPr>
                  <w:r>
                    <w:rPr>
                      <w:rFonts w:hint="eastAsia"/>
                      <w:color w:val="auto"/>
                      <w:kern w:val="0"/>
                      <w:szCs w:val="21"/>
                      <w:lang w:val="en-US" w:eastAsia="zh-CN" w:bidi="ar"/>
                    </w:rPr>
                    <w:t>0.135</w:t>
                  </w:r>
                </w:p>
              </w:tc>
              <w:tc>
                <w:tcPr>
                  <w:tcW w:w="2229" w:type="pct"/>
                  <w:tcBorders>
                    <w:top w:val="single" w:color="auto" w:sz="4" w:space="0"/>
                  </w:tcBorders>
                  <w:vAlign w:val="center"/>
                </w:tcPr>
                <w:p w14:paraId="078A2648">
                  <w:pPr>
                    <w:adjustRightInd w:val="0"/>
                    <w:snapToGrid w:val="0"/>
                    <w:jc w:val="center"/>
                    <w:rPr>
                      <w:color w:val="auto"/>
                      <w:szCs w:val="21"/>
                    </w:rPr>
                  </w:pPr>
                </w:p>
              </w:tc>
            </w:tr>
            <w:tr w14:paraId="279A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pct"/>
                  <w:vAlign w:val="center"/>
                </w:tcPr>
                <w:p w14:paraId="32513C91">
                  <w:pPr>
                    <w:adjustRightInd w:val="0"/>
                    <w:snapToGrid w:val="0"/>
                    <w:jc w:val="center"/>
                    <w:rPr>
                      <w:color w:val="auto"/>
                      <w:szCs w:val="21"/>
                    </w:rPr>
                  </w:pPr>
                  <w:r>
                    <w:rPr>
                      <w:color w:val="auto"/>
                      <w:szCs w:val="21"/>
                    </w:rPr>
                    <w:t>二级活性炭填充重量(</w:t>
                  </w:r>
                  <w:r>
                    <w:rPr>
                      <w:rFonts w:hint="eastAsia"/>
                      <w:color w:val="auto"/>
                      <w:szCs w:val="21"/>
                      <w:lang w:val="en-US" w:eastAsia="zh-CN"/>
                    </w:rPr>
                    <w:t>t</w:t>
                  </w:r>
                  <w:r>
                    <w:rPr>
                      <w:color w:val="auto"/>
                      <w:szCs w:val="21"/>
                    </w:rPr>
                    <w:t>)</w:t>
                  </w:r>
                </w:p>
              </w:tc>
              <w:tc>
                <w:tcPr>
                  <w:tcW w:w="2125" w:type="dxa"/>
                  <w:vAlign w:val="center"/>
                </w:tcPr>
                <w:p w14:paraId="718D6755">
                  <w:pPr>
                    <w:widowControl/>
                    <w:jc w:val="center"/>
                    <w:textAlignment w:val="center"/>
                    <w:rPr>
                      <w:rFonts w:hint="eastAsia" w:eastAsia="宋体"/>
                      <w:color w:val="auto"/>
                      <w:szCs w:val="21"/>
                      <w:lang w:eastAsia="zh-CN"/>
                    </w:rPr>
                  </w:pPr>
                  <w:r>
                    <w:rPr>
                      <w:color w:val="auto"/>
                      <w:kern w:val="0"/>
                      <w:szCs w:val="21"/>
                      <w:lang w:bidi="ar"/>
                    </w:rPr>
                    <w:t>0.2</w:t>
                  </w:r>
                  <w:r>
                    <w:rPr>
                      <w:rFonts w:hint="eastAsia"/>
                      <w:color w:val="auto"/>
                      <w:kern w:val="0"/>
                      <w:szCs w:val="21"/>
                      <w:lang w:val="en-US" w:eastAsia="zh-CN" w:bidi="ar"/>
                    </w:rPr>
                    <w:t>7</w:t>
                  </w:r>
                </w:p>
              </w:tc>
              <w:tc>
                <w:tcPr>
                  <w:tcW w:w="2229" w:type="pct"/>
                  <w:vAlign w:val="center"/>
                </w:tcPr>
                <w:p w14:paraId="58C20DDB">
                  <w:pPr>
                    <w:adjustRightInd w:val="0"/>
                    <w:snapToGrid w:val="0"/>
                    <w:jc w:val="center"/>
                    <w:rPr>
                      <w:color w:val="auto"/>
                      <w:szCs w:val="21"/>
                    </w:rPr>
                  </w:pPr>
                  <w:r>
                    <w:rPr>
                      <w:color w:val="auto"/>
                      <w:szCs w:val="21"/>
                    </w:rPr>
                    <w:t>充填重量=充填量×密度</w:t>
                  </w:r>
                </w:p>
              </w:tc>
            </w:tr>
            <w:tr w14:paraId="3CA1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pct"/>
                  <w:vAlign w:val="center"/>
                </w:tcPr>
                <w:p w14:paraId="6A46A080">
                  <w:pPr>
                    <w:adjustRightInd w:val="0"/>
                    <w:snapToGrid w:val="0"/>
                    <w:jc w:val="center"/>
                    <w:rPr>
                      <w:color w:val="auto"/>
                      <w:szCs w:val="21"/>
                      <w:lang w:eastAsia="ar-SA"/>
                    </w:rPr>
                  </w:pPr>
                  <w:r>
                    <w:rPr>
                      <w:color w:val="auto"/>
                      <w:szCs w:val="21"/>
                    </w:rPr>
                    <w:t>每年更换次数(次)</w:t>
                  </w:r>
                </w:p>
              </w:tc>
              <w:tc>
                <w:tcPr>
                  <w:tcW w:w="2125" w:type="dxa"/>
                  <w:vAlign w:val="center"/>
                </w:tcPr>
                <w:p w14:paraId="32882EEF">
                  <w:pPr>
                    <w:widowControl/>
                    <w:jc w:val="center"/>
                    <w:textAlignment w:val="center"/>
                    <w:rPr>
                      <w:color w:val="auto"/>
                      <w:szCs w:val="21"/>
                    </w:rPr>
                  </w:pPr>
                  <w:r>
                    <w:rPr>
                      <w:color w:val="auto"/>
                      <w:kern w:val="0"/>
                      <w:szCs w:val="21"/>
                      <w:lang w:bidi="ar"/>
                    </w:rPr>
                    <w:t>1</w:t>
                  </w:r>
                </w:p>
              </w:tc>
              <w:tc>
                <w:tcPr>
                  <w:tcW w:w="2229" w:type="pct"/>
                  <w:vAlign w:val="center"/>
                </w:tcPr>
                <w:p w14:paraId="2D7D57E6">
                  <w:pPr>
                    <w:adjustRightInd w:val="0"/>
                    <w:snapToGrid w:val="0"/>
                    <w:jc w:val="center"/>
                    <w:rPr>
                      <w:color w:val="auto"/>
                      <w:szCs w:val="21"/>
                    </w:rPr>
                  </w:pPr>
                  <w:r>
                    <w:rPr>
                      <w:color w:val="auto"/>
                      <w:szCs w:val="21"/>
                    </w:rPr>
                    <w:t>/</w:t>
                  </w:r>
                </w:p>
              </w:tc>
            </w:tr>
            <w:tr w14:paraId="543A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pct"/>
                  <w:vAlign w:val="center"/>
                </w:tcPr>
                <w:p w14:paraId="284A8F25">
                  <w:pPr>
                    <w:adjustRightInd w:val="0"/>
                    <w:snapToGrid w:val="0"/>
                    <w:jc w:val="center"/>
                    <w:rPr>
                      <w:color w:val="auto"/>
                      <w:szCs w:val="21"/>
                    </w:rPr>
                  </w:pPr>
                  <w:r>
                    <w:rPr>
                      <w:color w:val="auto"/>
                      <w:szCs w:val="21"/>
                    </w:rPr>
                    <w:t>活性炭更换量(t/a)</w:t>
                  </w:r>
                </w:p>
              </w:tc>
              <w:tc>
                <w:tcPr>
                  <w:tcW w:w="2125" w:type="dxa"/>
                  <w:vAlign w:val="center"/>
                </w:tcPr>
                <w:p w14:paraId="4F624732">
                  <w:pPr>
                    <w:widowControl/>
                    <w:jc w:val="center"/>
                    <w:textAlignment w:val="center"/>
                    <w:rPr>
                      <w:rFonts w:hint="default"/>
                      <w:color w:val="auto"/>
                      <w:szCs w:val="21"/>
                      <w:lang w:val="en-US"/>
                    </w:rPr>
                  </w:pPr>
                  <w:r>
                    <w:rPr>
                      <w:color w:val="auto"/>
                      <w:kern w:val="0"/>
                      <w:szCs w:val="21"/>
                      <w:lang w:bidi="ar"/>
                    </w:rPr>
                    <w:t>0.</w:t>
                  </w:r>
                  <w:r>
                    <w:rPr>
                      <w:rFonts w:hint="eastAsia"/>
                      <w:color w:val="auto"/>
                      <w:kern w:val="0"/>
                      <w:szCs w:val="21"/>
                      <w:lang w:val="en-US" w:eastAsia="zh-CN" w:bidi="ar"/>
                    </w:rPr>
                    <w:t>27</w:t>
                  </w:r>
                </w:p>
              </w:tc>
              <w:tc>
                <w:tcPr>
                  <w:tcW w:w="2229" w:type="pct"/>
                  <w:vAlign w:val="center"/>
                </w:tcPr>
                <w:p w14:paraId="08523151">
                  <w:pPr>
                    <w:adjustRightInd w:val="0"/>
                    <w:snapToGrid w:val="0"/>
                    <w:jc w:val="center"/>
                    <w:rPr>
                      <w:color w:val="auto"/>
                      <w:szCs w:val="21"/>
                      <w:lang w:eastAsia="ar-SA"/>
                    </w:rPr>
                  </w:pPr>
                  <w:r>
                    <w:rPr>
                      <w:color w:val="auto"/>
                      <w:szCs w:val="21"/>
                    </w:rPr>
                    <w:t>更换量=填装量×更换次数</w:t>
                  </w:r>
                </w:p>
              </w:tc>
            </w:tr>
            <w:tr w14:paraId="7317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pct"/>
                  <w:vAlign w:val="center"/>
                </w:tcPr>
                <w:p w14:paraId="6B71C6C6">
                  <w:pPr>
                    <w:adjustRightInd w:val="0"/>
                    <w:snapToGrid w:val="0"/>
                    <w:jc w:val="center"/>
                    <w:rPr>
                      <w:color w:val="auto"/>
                      <w:szCs w:val="21"/>
                      <w:lang w:eastAsia="ar-SA"/>
                    </w:rPr>
                  </w:pPr>
                  <w:r>
                    <w:rPr>
                      <w:color w:val="auto"/>
                      <w:szCs w:val="21"/>
                    </w:rPr>
                    <w:t>吸附比例</w:t>
                  </w:r>
                </w:p>
              </w:tc>
              <w:tc>
                <w:tcPr>
                  <w:tcW w:w="2125" w:type="dxa"/>
                  <w:vAlign w:val="center"/>
                </w:tcPr>
                <w:p w14:paraId="06E3895A">
                  <w:pPr>
                    <w:widowControl/>
                    <w:jc w:val="center"/>
                    <w:textAlignment w:val="center"/>
                    <w:rPr>
                      <w:color w:val="auto"/>
                      <w:szCs w:val="21"/>
                      <w:lang w:eastAsia="ar-SA"/>
                    </w:rPr>
                  </w:pPr>
                  <w:r>
                    <w:rPr>
                      <w:color w:val="auto"/>
                      <w:kern w:val="0"/>
                      <w:szCs w:val="21"/>
                      <w:lang w:bidi="ar"/>
                    </w:rPr>
                    <w:t>15%</w:t>
                  </w:r>
                </w:p>
              </w:tc>
              <w:tc>
                <w:tcPr>
                  <w:tcW w:w="2229" w:type="pct"/>
                  <w:vAlign w:val="center"/>
                </w:tcPr>
                <w:p w14:paraId="6218F911">
                  <w:pPr>
                    <w:adjustRightInd w:val="0"/>
                    <w:snapToGrid w:val="0"/>
                    <w:jc w:val="center"/>
                    <w:rPr>
                      <w:color w:val="auto"/>
                      <w:szCs w:val="21"/>
                      <w:lang w:eastAsia="ar-SA"/>
                    </w:rPr>
                  </w:pPr>
                  <w:r>
                    <w:rPr>
                      <w:color w:val="auto"/>
                      <w:szCs w:val="21"/>
                    </w:rPr>
                    <w:t>根据《广东省生态环境厅关于印发工业源挥发性有机物和氮氧化物减排量核算方法的通知》（粤环函〔2023〕538号）表3.3-3，活性炭吸附比例取值</w:t>
                  </w:r>
                </w:p>
              </w:tc>
            </w:tr>
            <w:tr w14:paraId="757A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pct"/>
                  <w:vAlign w:val="center"/>
                </w:tcPr>
                <w:p w14:paraId="76900ABB">
                  <w:pPr>
                    <w:adjustRightInd w:val="0"/>
                    <w:snapToGrid w:val="0"/>
                    <w:jc w:val="center"/>
                    <w:rPr>
                      <w:color w:val="auto"/>
                      <w:szCs w:val="21"/>
                    </w:rPr>
                  </w:pPr>
                  <w:r>
                    <w:rPr>
                      <w:color w:val="auto"/>
                      <w:szCs w:val="21"/>
                    </w:rPr>
                    <w:t>理论VOCs削减量(t/a)</w:t>
                  </w:r>
                </w:p>
              </w:tc>
              <w:tc>
                <w:tcPr>
                  <w:tcW w:w="2125" w:type="dxa"/>
                  <w:vAlign w:val="center"/>
                </w:tcPr>
                <w:p w14:paraId="0EF8B015">
                  <w:pPr>
                    <w:keepNext w:val="0"/>
                    <w:keepLines w:val="0"/>
                    <w:widowControl/>
                    <w:suppressLineNumbers w:val="0"/>
                    <w:jc w:val="center"/>
                    <w:textAlignment w:val="center"/>
                    <w:rPr>
                      <w:color w:val="auto"/>
                      <w:szCs w:val="21"/>
                    </w:rPr>
                  </w:pPr>
                  <w:r>
                    <w:rPr>
                      <w:rFonts w:hint="eastAsia" w:ascii="Times New Roman" w:hAnsi="Times New Roman" w:eastAsia="宋体" w:cs="Times New Roman"/>
                      <w:i w:val="0"/>
                      <w:iCs w:val="0"/>
                      <w:color w:val="auto"/>
                      <w:kern w:val="0"/>
                      <w:sz w:val="21"/>
                      <w:szCs w:val="21"/>
                      <w:u w:val="none"/>
                      <w:lang w:val="en-US" w:eastAsia="zh-CN" w:bidi="ar"/>
                    </w:rPr>
                    <w:t>0.0417</w:t>
                  </w:r>
                </w:p>
              </w:tc>
              <w:tc>
                <w:tcPr>
                  <w:tcW w:w="2229" w:type="pct"/>
                  <w:vAlign w:val="center"/>
                </w:tcPr>
                <w:p w14:paraId="7587CAC0">
                  <w:pPr>
                    <w:adjustRightInd w:val="0"/>
                    <w:snapToGrid w:val="0"/>
                    <w:jc w:val="center"/>
                    <w:rPr>
                      <w:color w:val="auto"/>
                      <w:szCs w:val="21"/>
                      <w:lang w:eastAsia="ar-SA"/>
                    </w:rPr>
                  </w:pPr>
                  <w:r>
                    <w:rPr>
                      <w:color w:val="auto"/>
                      <w:szCs w:val="21"/>
                    </w:rPr>
                    <w:t>理论削减量=活性炭更换量×吸附比例</w:t>
                  </w:r>
                </w:p>
              </w:tc>
            </w:tr>
            <w:tr w14:paraId="162B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1" w:type="pct"/>
                  <w:vAlign w:val="center"/>
                </w:tcPr>
                <w:p w14:paraId="691C7BAA">
                  <w:pPr>
                    <w:adjustRightInd w:val="0"/>
                    <w:snapToGrid w:val="0"/>
                    <w:jc w:val="center"/>
                    <w:rPr>
                      <w:color w:val="auto"/>
                      <w:szCs w:val="21"/>
                      <w:lang w:eastAsia="ar-SA"/>
                    </w:rPr>
                  </w:pPr>
                  <w:r>
                    <w:rPr>
                      <w:color w:val="auto"/>
                      <w:szCs w:val="21"/>
                    </w:rPr>
                    <w:t>项目VOCs削减量(t/a)</w:t>
                  </w:r>
                </w:p>
              </w:tc>
              <w:tc>
                <w:tcPr>
                  <w:tcW w:w="2125" w:type="dxa"/>
                  <w:vAlign w:val="center"/>
                </w:tcPr>
                <w:p w14:paraId="04C125AB">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0.019734</w:t>
                  </w:r>
                </w:p>
              </w:tc>
              <w:tc>
                <w:tcPr>
                  <w:tcW w:w="2229" w:type="pct"/>
                  <w:vAlign w:val="center"/>
                </w:tcPr>
                <w:p w14:paraId="00CEBCBC">
                  <w:pPr>
                    <w:adjustRightInd w:val="0"/>
                    <w:snapToGrid w:val="0"/>
                    <w:jc w:val="center"/>
                    <w:rPr>
                      <w:color w:val="auto"/>
                      <w:szCs w:val="21"/>
                    </w:rPr>
                  </w:pPr>
                  <w:r>
                    <w:rPr>
                      <w:color w:val="auto"/>
                      <w:szCs w:val="21"/>
                    </w:rPr>
                    <w:t>设计理论VOCs削减量＞项目VOCs削减量，既满足要求</w:t>
                  </w:r>
                </w:p>
              </w:tc>
            </w:tr>
            <w:tr w14:paraId="5B6D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1" w:type="pct"/>
                  <w:vAlign w:val="center"/>
                </w:tcPr>
                <w:p w14:paraId="0F976F7D">
                  <w:pPr>
                    <w:adjustRightInd w:val="0"/>
                    <w:snapToGrid w:val="0"/>
                    <w:jc w:val="center"/>
                    <w:rPr>
                      <w:color w:val="auto"/>
                      <w:szCs w:val="21"/>
                      <w:lang w:eastAsia="ar-SA"/>
                    </w:rPr>
                  </w:pPr>
                  <w:r>
                    <w:rPr>
                      <w:color w:val="auto"/>
                      <w:szCs w:val="21"/>
                    </w:rPr>
                    <w:t>废活性炭产生量(t/a)</w:t>
                  </w:r>
                </w:p>
              </w:tc>
              <w:tc>
                <w:tcPr>
                  <w:tcW w:w="2125" w:type="dxa"/>
                  <w:vAlign w:val="center"/>
                </w:tcPr>
                <w:p w14:paraId="3F9CC0CD">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0.289734</w:t>
                  </w:r>
                </w:p>
              </w:tc>
              <w:tc>
                <w:tcPr>
                  <w:tcW w:w="2229" w:type="pct"/>
                  <w:vAlign w:val="center"/>
                </w:tcPr>
                <w:p w14:paraId="7B9D4502">
                  <w:pPr>
                    <w:adjustRightInd w:val="0"/>
                    <w:snapToGrid w:val="0"/>
                    <w:jc w:val="center"/>
                    <w:rPr>
                      <w:color w:val="auto"/>
                      <w:szCs w:val="21"/>
                    </w:rPr>
                  </w:pPr>
                  <w:r>
                    <w:rPr>
                      <w:color w:val="auto"/>
                      <w:szCs w:val="21"/>
                    </w:rPr>
                    <w:t>活性炭更换量+项目VOCs削减量</w:t>
                  </w:r>
                </w:p>
              </w:tc>
            </w:tr>
          </w:tbl>
          <w:p w14:paraId="0DFB6250">
            <w:pPr>
              <w:spacing w:line="360" w:lineRule="auto"/>
              <w:ind w:firstLine="480" w:firstLineChars="200"/>
              <w:rPr>
                <w:color w:val="auto"/>
                <w:sz w:val="24"/>
                <w:szCs w:val="24"/>
              </w:rPr>
            </w:pPr>
            <w:r>
              <w:rPr>
                <w:color w:val="auto"/>
                <w:sz w:val="24"/>
                <w:szCs w:val="24"/>
              </w:rPr>
              <w:t>根据《排污许可申请与核发技术规范 农药制造工业》(HJ862-2017)中“6污染防治可行技术要求”及对照《农药制造工业污染防治可行技术指南》(HJ1293-2023)，本项目采用二级活性炭吸附装置，属于“6.2.4.3 吸附处理技术”处理含挥发性有机物废气治理技术，属于可行技术</w:t>
            </w:r>
          </w:p>
          <w:p w14:paraId="7FF745F7">
            <w:pPr>
              <w:pStyle w:val="16"/>
              <w:keepNext/>
              <w:adjustRightInd w:val="0"/>
              <w:snapToGrid w:val="0"/>
              <w:jc w:val="center"/>
              <w:rPr>
                <w:rFonts w:ascii="Times New Roman" w:hAnsi="Times New Roman" w:eastAsia="宋体"/>
                <w:b/>
                <w:bCs/>
                <w:color w:val="auto"/>
                <w:sz w:val="24"/>
                <w:szCs w:val="24"/>
              </w:rPr>
            </w:pPr>
            <w:r>
              <w:rPr>
                <w:rFonts w:ascii="Times New Roman" w:hAnsi="Times New Roman" w:eastAsia="宋体"/>
                <w:b/>
                <w:bCs/>
                <w:color w:val="auto"/>
                <w:kern w:val="0"/>
                <w:sz w:val="24"/>
                <w:szCs w:val="24"/>
              </w:rPr>
              <w:t>表</w:t>
            </w:r>
            <w:r>
              <w:rPr>
                <w:rFonts w:ascii="Times New Roman" w:hAnsi="Times New Roman" w:eastAsia="宋体"/>
                <w:b/>
                <w:bCs/>
                <w:color w:val="auto"/>
                <w:kern w:val="0"/>
                <w:sz w:val="24"/>
                <w:szCs w:val="24"/>
              </w:rPr>
              <w:fldChar w:fldCharType="begin"/>
            </w:r>
            <w:r>
              <w:rPr>
                <w:rFonts w:ascii="Times New Roman" w:hAnsi="Times New Roman" w:eastAsia="宋体"/>
                <w:b/>
                <w:bCs/>
                <w:color w:val="auto"/>
                <w:kern w:val="0"/>
                <w:sz w:val="24"/>
                <w:szCs w:val="24"/>
              </w:rPr>
              <w:instrText xml:space="preserve"> SEQ 表 \* ARABIC </w:instrText>
            </w:r>
            <w:r>
              <w:rPr>
                <w:rFonts w:ascii="Times New Roman" w:hAnsi="Times New Roman" w:eastAsia="宋体"/>
                <w:b/>
                <w:bCs/>
                <w:color w:val="auto"/>
                <w:kern w:val="0"/>
                <w:sz w:val="24"/>
                <w:szCs w:val="24"/>
              </w:rPr>
              <w:fldChar w:fldCharType="separate"/>
            </w:r>
            <w:r>
              <w:rPr>
                <w:rFonts w:ascii="Times New Roman" w:hAnsi="Times New Roman" w:eastAsia="宋体"/>
                <w:b/>
                <w:bCs/>
                <w:color w:val="auto"/>
                <w:kern w:val="0"/>
                <w:sz w:val="24"/>
                <w:szCs w:val="24"/>
              </w:rPr>
              <w:t>34</w:t>
            </w:r>
            <w:r>
              <w:rPr>
                <w:rFonts w:ascii="Times New Roman" w:hAnsi="Times New Roman" w:eastAsia="宋体"/>
                <w:b/>
                <w:bCs/>
                <w:color w:val="auto"/>
                <w:kern w:val="0"/>
                <w:sz w:val="24"/>
                <w:szCs w:val="24"/>
              </w:rPr>
              <w:fldChar w:fldCharType="end"/>
            </w:r>
            <w:r>
              <w:rPr>
                <w:rFonts w:ascii="Times New Roman" w:hAnsi="Times New Roman" w:eastAsia="宋体"/>
                <w:b/>
                <w:bCs/>
                <w:color w:val="auto"/>
                <w:sz w:val="24"/>
                <w:szCs w:val="24"/>
                <w:lang w:bidi="ar"/>
              </w:rPr>
              <w:t xml:space="preserve"> </w:t>
            </w:r>
            <w:r>
              <w:rPr>
                <w:rFonts w:ascii="Times New Roman" w:hAnsi="Times New Roman" w:eastAsia="宋体"/>
                <w:b/>
                <w:bCs/>
                <w:color w:val="auto"/>
                <w:sz w:val="24"/>
                <w:szCs w:val="24"/>
              </w:rPr>
              <w:t xml:space="preserve"> 项目废气可行性处理技术分析</w:t>
            </w:r>
          </w:p>
          <w:tbl>
            <w:tblPr>
              <w:tblStyle w:val="3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1213"/>
              <w:gridCol w:w="2211"/>
              <w:gridCol w:w="1725"/>
              <w:gridCol w:w="1354"/>
              <w:gridCol w:w="1082"/>
            </w:tblGrid>
            <w:tr w14:paraId="6DE9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pct"/>
                  <w:vAlign w:val="center"/>
                </w:tcPr>
                <w:p w14:paraId="4C4409B1">
                  <w:pPr>
                    <w:pStyle w:val="35"/>
                    <w:widowControl/>
                    <w:adjustRightInd w:val="0"/>
                    <w:snapToGrid w:val="0"/>
                    <w:ind w:right="113" w:firstLine="0" w:firstLineChars="0"/>
                    <w:jc w:val="center"/>
                    <w:rPr>
                      <w:b/>
                      <w:bCs/>
                      <w:color w:val="auto"/>
                      <w:szCs w:val="21"/>
                    </w:rPr>
                  </w:pPr>
                  <w:r>
                    <w:rPr>
                      <w:b/>
                      <w:bCs/>
                      <w:color w:val="auto"/>
                      <w:szCs w:val="21"/>
                    </w:rPr>
                    <w:t>污染物</w:t>
                  </w:r>
                </w:p>
              </w:tc>
              <w:tc>
                <w:tcPr>
                  <w:tcW w:w="713" w:type="pct"/>
                  <w:vAlign w:val="center"/>
                </w:tcPr>
                <w:p w14:paraId="6934B9F8">
                  <w:pPr>
                    <w:pStyle w:val="35"/>
                    <w:widowControl/>
                    <w:adjustRightInd w:val="0"/>
                    <w:snapToGrid w:val="0"/>
                    <w:ind w:right="113" w:firstLine="0" w:firstLineChars="0"/>
                    <w:jc w:val="center"/>
                    <w:rPr>
                      <w:b/>
                      <w:bCs/>
                      <w:color w:val="auto"/>
                      <w:szCs w:val="21"/>
                    </w:rPr>
                  </w:pPr>
                  <w:r>
                    <w:rPr>
                      <w:b/>
                      <w:bCs/>
                      <w:color w:val="auto"/>
                      <w:szCs w:val="21"/>
                    </w:rPr>
                    <w:t>产生工序</w:t>
                  </w:r>
                </w:p>
              </w:tc>
              <w:tc>
                <w:tcPr>
                  <w:tcW w:w="1300" w:type="pct"/>
                  <w:vAlign w:val="center"/>
                </w:tcPr>
                <w:p w14:paraId="26CF43CD">
                  <w:pPr>
                    <w:pStyle w:val="35"/>
                    <w:widowControl/>
                    <w:adjustRightInd w:val="0"/>
                    <w:snapToGrid w:val="0"/>
                    <w:ind w:right="113" w:firstLine="0" w:firstLineChars="0"/>
                    <w:jc w:val="center"/>
                    <w:rPr>
                      <w:b/>
                      <w:bCs/>
                      <w:color w:val="auto"/>
                      <w:szCs w:val="21"/>
                    </w:rPr>
                  </w:pPr>
                  <w:r>
                    <w:rPr>
                      <w:b/>
                      <w:bCs/>
                      <w:color w:val="auto"/>
                      <w:szCs w:val="21"/>
                    </w:rPr>
                    <w:t>治理依据</w:t>
                  </w:r>
                </w:p>
              </w:tc>
              <w:tc>
                <w:tcPr>
                  <w:tcW w:w="1014" w:type="pct"/>
                  <w:vAlign w:val="center"/>
                </w:tcPr>
                <w:p w14:paraId="7868C7BE">
                  <w:pPr>
                    <w:pStyle w:val="35"/>
                    <w:widowControl/>
                    <w:adjustRightInd w:val="0"/>
                    <w:snapToGrid w:val="0"/>
                    <w:ind w:right="113" w:firstLine="0" w:firstLineChars="0"/>
                    <w:jc w:val="center"/>
                    <w:rPr>
                      <w:b/>
                      <w:bCs/>
                      <w:color w:val="auto"/>
                      <w:szCs w:val="21"/>
                    </w:rPr>
                  </w:pPr>
                  <w:r>
                    <w:rPr>
                      <w:b/>
                      <w:bCs/>
                      <w:color w:val="auto"/>
                      <w:szCs w:val="21"/>
                    </w:rPr>
                    <w:t>可行技术</w:t>
                  </w:r>
                </w:p>
              </w:tc>
              <w:tc>
                <w:tcPr>
                  <w:tcW w:w="796" w:type="pct"/>
                  <w:vAlign w:val="center"/>
                </w:tcPr>
                <w:p w14:paraId="66C3ADAC">
                  <w:pPr>
                    <w:pStyle w:val="35"/>
                    <w:widowControl/>
                    <w:adjustRightInd w:val="0"/>
                    <w:snapToGrid w:val="0"/>
                    <w:ind w:right="113" w:firstLine="0" w:firstLineChars="0"/>
                    <w:jc w:val="center"/>
                    <w:rPr>
                      <w:b/>
                      <w:bCs/>
                      <w:color w:val="auto"/>
                      <w:szCs w:val="21"/>
                    </w:rPr>
                  </w:pPr>
                  <w:r>
                    <w:rPr>
                      <w:b/>
                      <w:bCs/>
                      <w:color w:val="auto"/>
                      <w:szCs w:val="21"/>
                    </w:rPr>
                    <w:t>本项目采用技术</w:t>
                  </w:r>
                </w:p>
              </w:tc>
              <w:tc>
                <w:tcPr>
                  <w:tcW w:w="636" w:type="pct"/>
                  <w:vAlign w:val="center"/>
                </w:tcPr>
                <w:p w14:paraId="7BEA7DD1">
                  <w:pPr>
                    <w:pStyle w:val="35"/>
                    <w:widowControl/>
                    <w:adjustRightInd w:val="0"/>
                    <w:snapToGrid w:val="0"/>
                    <w:ind w:right="113" w:firstLine="0" w:firstLineChars="0"/>
                    <w:jc w:val="center"/>
                    <w:rPr>
                      <w:b/>
                      <w:bCs/>
                      <w:color w:val="auto"/>
                      <w:szCs w:val="21"/>
                    </w:rPr>
                  </w:pPr>
                  <w:r>
                    <w:rPr>
                      <w:b/>
                      <w:bCs/>
                      <w:color w:val="auto"/>
                      <w:szCs w:val="21"/>
                    </w:rPr>
                    <w:t>是否为可行技术</w:t>
                  </w:r>
                </w:p>
              </w:tc>
            </w:tr>
            <w:tr w14:paraId="620F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539" w:type="pct"/>
                  <w:vAlign w:val="center"/>
                </w:tcPr>
                <w:p w14:paraId="38EDE7A2">
                  <w:pPr>
                    <w:pStyle w:val="78"/>
                    <w:keepNext w:val="0"/>
                    <w:keepLines w:val="0"/>
                    <w:pageBreakBefore w:val="0"/>
                    <w:kinsoku/>
                    <w:wordWrap/>
                    <w:overflowPunct/>
                    <w:topLinePunct w:val="0"/>
                    <w:autoSpaceDE/>
                    <w:autoSpaceDN/>
                    <w:bidi w:val="0"/>
                    <w:adjustRightInd w:val="0"/>
                    <w:snapToGrid w:val="0"/>
                    <w:spacing w:beforeLines="0" w:afterLines="0" w:line="240" w:lineRule="auto"/>
                    <w:ind w:right="0"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bCs/>
                      <w:color w:val="auto"/>
                      <w:spacing w:val="-10"/>
                      <w:sz w:val="21"/>
                      <w:szCs w:val="21"/>
                      <w:lang w:val="en-US" w:eastAsia="zh-CN"/>
                    </w:rPr>
                    <w:t>挥发性有机废气</w:t>
                  </w:r>
                </w:p>
              </w:tc>
              <w:tc>
                <w:tcPr>
                  <w:tcW w:w="713" w:type="pct"/>
                  <w:vAlign w:val="center"/>
                </w:tcPr>
                <w:p w14:paraId="19DBFE35">
                  <w:pPr>
                    <w:pStyle w:val="78"/>
                    <w:keepNext w:val="0"/>
                    <w:keepLines w:val="0"/>
                    <w:pageBreakBefore w:val="0"/>
                    <w:kinsoku/>
                    <w:wordWrap/>
                    <w:overflowPunct/>
                    <w:topLinePunct w:val="0"/>
                    <w:autoSpaceDE/>
                    <w:autoSpaceDN/>
                    <w:bidi w:val="0"/>
                    <w:adjustRightInd w:val="0"/>
                    <w:snapToGrid w:val="0"/>
                    <w:spacing w:beforeLines="0" w:afterLines="0" w:line="240" w:lineRule="auto"/>
                    <w:ind w:right="0" w:firstLine="0" w:firstLineChars="0"/>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投料、喷药、灌装、插芯棒</w:t>
                  </w:r>
                </w:p>
              </w:tc>
              <w:tc>
                <w:tcPr>
                  <w:tcW w:w="1300" w:type="pct"/>
                  <w:vAlign w:val="center"/>
                </w:tcPr>
                <w:p w14:paraId="27B3EE41">
                  <w:pPr>
                    <w:pStyle w:val="78"/>
                    <w:keepNext w:val="0"/>
                    <w:keepLines w:val="0"/>
                    <w:pageBreakBefore w:val="0"/>
                    <w:kinsoku/>
                    <w:wordWrap/>
                    <w:overflowPunct/>
                    <w:topLinePunct w:val="0"/>
                    <w:autoSpaceDE/>
                    <w:autoSpaceDN/>
                    <w:bidi w:val="0"/>
                    <w:adjustRightInd w:val="0"/>
                    <w:snapToGrid w:val="0"/>
                    <w:spacing w:beforeLines="0" w:afterLines="0" w:line="240" w:lineRule="auto"/>
                    <w:ind w:right="0" w:firstLine="0" w:firstLineChars="0"/>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《排污许可申请与核发技术规范 农药制造工业》(HJ862-2017)</w:t>
                  </w:r>
                </w:p>
              </w:tc>
              <w:tc>
                <w:tcPr>
                  <w:tcW w:w="1014" w:type="pct"/>
                  <w:vAlign w:val="center"/>
                </w:tcPr>
                <w:p w14:paraId="3CC7F387">
                  <w:pPr>
                    <w:pStyle w:val="78"/>
                    <w:keepNext w:val="0"/>
                    <w:keepLines w:val="0"/>
                    <w:pageBreakBefore w:val="0"/>
                    <w:kinsoku/>
                    <w:wordWrap/>
                    <w:overflowPunct/>
                    <w:topLinePunct w:val="0"/>
                    <w:autoSpaceDE/>
                    <w:autoSpaceDN/>
                    <w:bidi w:val="0"/>
                    <w:adjustRightInd w:val="0"/>
                    <w:snapToGrid w:val="0"/>
                    <w:spacing w:beforeLines="0" w:afterLines="0" w:line="240" w:lineRule="auto"/>
                    <w:ind w:right="0" w:firstLine="0" w:firstLineChars="0"/>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吸附</w:t>
                  </w:r>
                </w:p>
              </w:tc>
              <w:tc>
                <w:tcPr>
                  <w:tcW w:w="796" w:type="pct"/>
                  <w:vAlign w:val="center"/>
                </w:tcPr>
                <w:p w14:paraId="5DD6598F">
                  <w:pPr>
                    <w:pStyle w:val="35"/>
                    <w:keepNext w:val="0"/>
                    <w:keepLines w:val="0"/>
                    <w:pageBreakBefore w:val="0"/>
                    <w:widowControl/>
                    <w:kinsoku/>
                    <w:wordWrap/>
                    <w:overflowPunct/>
                    <w:topLinePunct w:val="0"/>
                    <w:autoSpaceDE/>
                    <w:autoSpaceDN/>
                    <w:bidi w:val="0"/>
                    <w:adjustRightInd w:val="0"/>
                    <w:snapToGrid w:val="0"/>
                    <w:spacing w:line="240" w:lineRule="auto"/>
                    <w:ind w:right="0" w:firstLine="0" w:firstLineChars="0"/>
                    <w:jc w:val="center"/>
                    <w:textAlignment w:val="auto"/>
                    <w:rPr>
                      <w:color w:val="auto"/>
                      <w:sz w:val="21"/>
                      <w:szCs w:val="21"/>
                    </w:rPr>
                  </w:pPr>
                  <w:r>
                    <w:rPr>
                      <w:color w:val="auto"/>
                      <w:sz w:val="21"/>
                      <w:szCs w:val="21"/>
                    </w:rPr>
                    <w:t>二级活性炭吸附</w:t>
                  </w:r>
                </w:p>
              </w:tc>
              <w:tc>
                <w:tcPr>
                  <w:tcW w:w="636" w:type="pct"/>
                  <w:vAlign w:val="center"/>
                </w:tcPr>
                <w:p w14:paraId="0336A2C9">
                  <w:pPr>
                    <w:keepNext w:val="0"/>
                    <w:keepLines w:val="0"/>
                    <w:pageBreakBefore w:val="0"/>
                    <w:widowControl/>
                    <w:kinsoku/>
                    <w:wordWrap/>
                    <w:overflowPunct/>
                    <w:topLinePunct w:val="0"/>
                    <w:autoSpaceDE/>
                    <w:autoSpaceDN/>
                    <w:bidi w:val="0"/>
                    <w:adjustRightInd w:val="0"/>
                    <w:snapToGrid w:val="0"/>
                    <w:spacing w:line="240" w:lineRule="auto"/>
                    <w:ind w:right="0" w:firstLine="0" w:firstLineChars="0"/>
                    <w:jc w:val="center"/>
                    <w:textAlignment w:val="auto"/>
                    <w:rPr>
                      <w:color w:val="auto"/>
                      <w:sz w:val="21"/>
                      <w:szCs w:val="21"/>
                    </w:rPr>
                  </w:pPr>
                  <w:r>
                    <w:rPr>
                      <w:color w:val="auto"/>
                      <w:sz w:val="21"/>
                      <w:szCs w:val="21"/>
                    </w:rPr>
                    <w:t>是</w:t>
                  </w:r>
                </w:p>
              </w:tc>
            </w:tr>
          </w:tbl>
          <w:p w14:paraId="102DE0BC">
            <w:pPr>
              <w:pStyle w:val="16"/>
              <w:adjustRightInd w:val="0"/>
              <w:snapToGrid w:val="0"/>
              <w:spacing w:line="360" w:lineRule="auto"/>
              <w:ind w:firstLine="482" w:firstLineChars="200"/>
              <w:jc w:val="center"/>
              <w:rPr>
                <w:rFonts w:ascii="Times New Roman" w:hAnsi="Times New Roman" w:eastAsia="宋体"/>
                <w:b/>
                <w:bCs/>
                <w:color w:val="auto"/>
                <w:kern w:val="0"/>
                <w:sz w:val="24"/>
                <w:szCs w:val="24"/>
              </w:rPr>
            </w:pPr>
            <w:r>
              <w:rPr>
                <w:rFonts w:ascii="Times New Roman" w:hAnsi="Times New Roman" w:eastAsia="宋体"/>
                <w:b/>
                <w:bCs/>
                <w:color w:val="auto"/>
                <w:sz w:val="24"/>
                <w:szCs w:val="24"/>
              </w:rPr>
              <w:t>表</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表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35</w:t>
            </w:r>
            <w:r>
              <w:rPr>
                <w:rFonts w:ascii="Times New Roman" w:hAnsi="Times New Roman" w:eastAsia="宋体"/>
                <w:b/>
                <w:bCs/>
                <w:color w:val="auto"/>
                <w:sz w:val="24"/>
                <w:szCs w:val="24"/>
              </w:rPr>
              <w:fldChar w:fldCharType="end"/>
            </w:r>
            <w:r>
              <w:rPr>
                <w:rFonts w:ascii="Times New Roman" w:hAnsi="Times New Roman" w:eastAsia="宋体"/>
                <w:b/>
                <w:bCs/>
                <w:color w:val="auto"/>
                <w:kern w:val="0"/>
                <w:sz w:val="24"/>
                <w:szCs w:val="24"/>
              </w:rPr>
              <w:t xml:space="preserve">  本项目废气排放口一览表</w:t>
            </w:r>
          </w:p>
          <w:tbl>
            <w:tblPr>
              <w:tblStyle w:val="37"/>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75"/>
              <w:gridCol w:w="284"/>
              <w:gridCol w:w="687"/>
              <w:gridCol w:w="1505"/>
              <w:gridCol w:w="1364"/>
              <w:gridCol w:w="637"/>
              <w:gridCol w:w="456"/>
              <w:gridCol w:w="871"/>
              <w:gridCol w:w="648"/>
              <w:gridCol w:w="668"/>
              <w:gridCol w:w="696"/>
            </w:tblGrid>
            <w:tr w14:paraId="77F3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98" w:type="pct"/>
                  <w:vMerge w:val="restart"/>
                  <w:tcBorders>
                    <w:tl2br w:val="nil"/>
                    <w:tr2bl w:val="nil"/>
                  </w:tcBorders>
                  <w:vAlign w:val="center"/>
                </w:tcPr>
                <w:p w14:paraId="4B1342C5">
                  <w:pPr>
                    <w:jc w:val="center"/>
                    <w:rPr>
                      <w:bCs/>
                      <w:color w:val="auto"/>
                      <w:szCs w:val="21"/>
                    </w:rPr>
                  </w:pPr>
                  <w:r>
                    <w:rPr>
                      <w:bCs/>
                      <w:color w:val="auto"/>
                      <w:szCs w:val="21"/>
                    </w:rPr>
                    <w:t>排放口编号</w:t>
                  </w:r>
                </w:p>
              </w:tc>
              <w:tc>
                <w:tcPr>
                  <w:tcW w:w="184" w:type="pct"/>
                  <w:vMerge w:val="restart"/>
                  <w:tcBorders>
                    <w:tl2br w:val="nil"/>
                    <w:tr2bl w:val="nil"/>
                  </w:tcBorders>
                  <w:vAlign w:val="center"/>
                </w:tcPr>
                <w:p w14:paraId="3CF55B6E">
                  <w:pPr>
                    <w:snapToGrid w:val="0"/>
                    <w:jc w:val="center"/>
                    <w:rPr>
                      <w:bCs/>
                      <w:color w:val="auto"/>
                      <w:szCs w:val="21"/>
                    </w:rPr>
                  </w:pPr>
                  <w:r>
                    <w:rPr>
                      <w:bCs/>
                      <w:color w:val="auto"/>
                      <w:szCs w:val="21"/>
                    </w:rPr>
                    <w:t>废气类型</w:t>
                  </w:r>
                </w:p>
              </w:tc>
              <w:tc>
                <w:tcPr>
                  <w:tcW w:w="405" w:type="pct"/>
                  <w:vMerge w:val="restart"/>
                  <w:tcBorders>
                    <w:tl2br w:val="nil"/>
                    <w:tr2bl w:val="nil"/>
                  </w:tcBorders>
                  <w:vAlign w:val="center"/>
                </w:tcPr>
                <w:p w14:paraId="2BC158F6">
                  <w:pPr>
                    <w:snapToGrid w:val="0"/>
                    <w:jc w:val="center"/>
                    <w:rPr>
                      <w:bCs/>
                      <w:color w:val="auto"/>
                      <w:szCs w:val="21"/>
                    </w:rPr>
                  </w:pPr>
                  <w:r>
                    <w:rPr>
                      <w:bCs/>
                      <w:color w:val="auto"/>
                      <w:szCs w:val="21"/>
                    </w:rPr>
                    <w:t>污染物种类</w:t>
                  </w:r>
                </w:p>
              </w:tc>
              <w:tc>
                <w:tcPr>
                  <w:tcW w:w="1616" w:type="pct"/>
                  <w:gridSpan w:val="2"/>
                  <w:tcBorders>
                    <w:tl2br w:val="nil"/>
                    <w:tr2bl w:val="nil"/>
                  </w:tcBorders>
                  <w:vAlign w:val="center"/>
                </w:tcPr>
                <w:p w14:paraId="337EB294">
                  <w:pPr>
                    <w:snapToGrid w:val="0"/>
                    <w:jc w:val="center"/>
                    <w:rPr>
                      <w:bCs/>
                      <w:color w:val="auto"/>
                      <w:szCs w:val="21"/>
                    </w:rPr>
                  </w:pPr>
                  <w:r>
                    <w:rPr>
                      <w:bCs/>
                      <w:color w:val="auto"/>
                      <w:szCs w:val="21"/>
                    </w:rPr>
                    <w:t>排放口地理坐标</w:t>
                  </w:r>
                </w:p>
              </w:tc>
              <w:tc>
                <w:tcPr>
                  <w:tcW w:w="384" w:type="pct"/>
                  <w:vMerge w:val="restart"/>
                  <w:tcBorders>
                    <w:tl2br w:val="nil"/>
                    <w:tr2bl w:val="nil"/>
                  </w:tcBorders>
                  <w:vAlign w:val="center"/>
                </w:tcPr>
                <w:p w14:paraId="1E95B01C">
                  <w:pPr>
                    <w:snapToGrid w:val="0"/>
                    <w:jc w:val="center"/>
                    <w:rPr>
                      <w:bCs/>
                      <w:color w:val="auto"/>
                      <w:szCs w:val="21"/>
                    </w:rPr>
                  </w:pPr>
                  <w:r>
                    <w:rPr>
                      <w:bCs/>
                      <w:color w:val="auto"/>
                      <w:szCs w:val="21"/>
                    </w:rPr>
                    <w:t>治理措施</w:t>
                  </w:r>
                </w:p>
              </w:tc>
              <w:tc>
                <w:tcPr>
                  <w:tcW w:w="277" w:type="pct"/>
                  <w:vMerge w:val="restart"/>
                  <w:tcBorders>
                    <w:tl2br w:val="nil"/>
                    <w:tr2bl w:val="nil"/>
                  </w:tcBorders>
                  <w:vAlign w:val="center"/>
                </w:tcPr>
                <w:p w14:paraId="6F91DB90">
                  <w:pPr>
                    <w:snapToGrid w:val="0"/>
                    <w:jc w:val="center"/>
                    <w:rPr>
                      <w:bCs/>
                      <w:color w:val="auto"/>
                      <w:szCs w:val="21"/>
                    </w:rPr>
                  </w:pPr>
                  <w:r>
                    <w:rPr>
                      <w:bCs/>
                      <w:color w:val="auto"/>
                      <w:szCs w:val="21"/>
                    </w:rPr>
                    <w:t>是否为可行技术</w:t>
                  </w:r>
                </w:p>
              </w:tc>
              <w:tc>
                <w:tcPr>
                  <w:tcW w:w="513" w:type="pct"/>
                  <w:vMerge w:val="restart"/>
                  <w:tcBorders>
                    <w:tl2br w:val="nil"/>
                    <w:tr2bl w:val="nil"/>
                  </w:tcBorders>
                  <w:vAlign w:val="center"/>
                </w:tcPr>
                <w:p w14:paraId="49A128C2">
                  <w:pPr>
                    <w:snapToGrid w:val="0"/>
                    <w:jc w:val="center"/>
                    <w:rPr>
                      <w:bCs/>
                      <w:color w:val="auto"/>
                      <w:szCs w:val="21"/>
                    </w:rPr>
                  </w:pPr>
                  <w:r>
                    <w:rPr>
                      <w:bCs/>
                      <w:color w:val="auto"/>
                      <w:szCs w:val="21"/>
                    </w:rPr>
                    <w:t>排气量/（m</w:t>
                  </w:r>
                  <w:r>
                    <w:rPr>
                      <w:bCs/>
                      <w:color w:val="auto"/>
                      <w:szCs w:val="21"/>
                      <w:vertAlign w:val="superscript"/>
                    </w:rPr>
                    <w:t>3</w:t>
                  </w:r>
                  <w:r>
                    <w:rPr>
                      <w:bCs/>
                      <w:color w:val="auto"/>
                      <w:szCs w:val="21"/>
                    </w:rPr>
                    <w:t>/h）</w:t>
                  </w:r>
                </w:p>
              </w:tc>
              <w:tc>
                <w:tcPr>
                  <w:tcW w:w="398" w:type="pct"/>
                  <w:vMerge w:val="restart"/>
                  <w:tcBorders>
                    <w:tl2br w:val="nil"/>
                    <w:tr2bl w:val="nil"/>
                  </w:tcBorders>
                  <w:vAlign w:val="center"/>
                </w:tcPr>
                <w:p w14:paraId="46A587A6">
                  <w:pPr>
                    <w:snapToGrid w:val="0"/>
                    <w:jc w:val="center"/>
                    <w:rPr>
                      <w:bCs/>
                      <w:color w:val="auto"/>
                      <w:szCs w:val="21"/>
                    </w:rPr>
                  </w:pPr>
                  <w:r>
                    <w:rPr>
                      <w:bCs/>
                      <w:color w:val="auto"/>
                      <w:szCs w:val="21"/>
                    </w:rPr>
                    <w:t>排气筒高度/（m）</w:t>
                  </w:r>
                </w:p>
              </w:tc>
              <w:tc>
                <w:tcPr>
                  <w:tcW w:w="402" w:type="pct"/>
                  <w:vMerge w:val="restart"/>
                  <w:tcBorders>
                    <w:tl2br w:val="nil"/>
                    <w:tr2bl w:val="nil"/>
                  </w:tcBorders>
                  <w:vAlign w:val="center"/>
                </w:tcPr>
                <w:p w14:paraId="5751B7BB">
                  <w:pPr>
                    <w:snapToGrid w:val="0"/>
                    <w:jc w:val="center"/>
                    <w:rPr>
                      <w:bCs/>
                      <w:color w:val="auto"/>
                      <w:szCs w:val="21"/>
                    </w:rPr>
                  </w:pPr>
                  <w:r>
                    <w:rPr>
                      <w:bCs/>
                      <w:color w:val="auto"/>
                      <w:szCs w:val="21"/>
                    </w:rPr>
                    <w:t>排气筒出口内径/（m）</w:t>
                  </w:r>
                </w:p>
              </w:tc>
              <w:tc>
                <w:tcPr>
                  <w:tcW w:w="418" w:type="pct"/>
                  <w:vMerge w:val="restart"/>
                  <w:tcBorders>
                    <w:tl2br w:val="nil"/>
                    <w:tr2bl w:val="nil"/>
                  </w:tcBorders>
                  <w:vAlign w:val="center"/>
                </w:tcPr>
                <w:p w14:paraId="75026542">
                  <w:pPr>
                    <w:snapToGrid w:val="0"/>
                    <w:jc w:val="center"/>
                    <w:rPr>
                      <w:bCs/>
                      <w:color w:val="auto"/>
                      <w:szCs w:val="21"/>
                    </w:rPr>
                  </w:pPr>
                  <w:r>
                    <w:rPr>
                      <w:bCs/>
                      <w:color w:val="auto"/>
                      <w:szCs w:val="21"/>
                    </w:rPr>
                    <w:t>烟气温度（</w:t>
                  </w:r>
                  <w:r>
                    <w:rPr>
                      <w:rFonts w:hint="eastAsia" w:ascii="宋体" w:hAnsi="宋体" w:cs="宋体"/>
                      <w:bCs/>
                      <w:color w:val="auto"/>
                      <w:szCs w:val="21"/>
                    </w:rPr>
                    <w:t>℃</w:t>
                  </w:r>
                  <w:r>
                    <w:rPr>
                      <w:bCs/>
                      <w:color w:val="auto"/>
                      <w:szCs w:val="21"/>
                    </w:rPr>
                    <w:t>）</w:t>
                  </w:r>
                </w:p>
              </w:tc>
            </w:tr>
            <w:tr w14:paraId="6EE3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98" w:type="pct"/>
                  <w:vMerge w:val="continue"/>
                  <w:tcBorders>
                    <w:tl2br w:val="nil"/>
                    <w:tr2bl w:val="nil"/>
                  </w:tcBorders>
                  <w:vAlign w:val="center"/>
                </w:tcPr>
                <w:p w14:paraId="57EDE92D">
                  <w:pPr>
                    <w:snapToGrid w:val="0"/>
                    <w:jc w:val="center"/>
                    <w:rPr>
                      <w:bCs/>
                      <w:color w:val="auto"/>
                      <w:szCs w:val="21"/>
                    </w:rPr>
                  </w:pPr>
                </w:p>
              </w:tc>
              <w:tc>
                <w:tcPr>
                  <w:tcW w:w="184" w:type="pct"/>
                  <w:vMerge w:val="continue"/>
                  <w:tcBorders>
                    <w:tl2br w:val="nil"/>
                    <w:tr2bl w:val="nil"/>
                  </w:tcBorders>
                  <w:vAlign w:val="center"/>
                </w:tcPr>
                <w:p w14:paraId="5D174DAB">
                  <w:pPr>
                    <w:snapToGrid w:val="0"/>
                    <w:jc w:val="center"/>
                    <w:rPr>
                      <w:bCs/>
                      <w:color w:val="auto"/>
                      <w:szCs w:val="21"/>
                    </w:rPr>
                  </w:pPr>
                </w:p>
              </w:tc>
              <w:tc>
                <w:tcPr>
                  <w:tcW w:w="405" w:type="pct"/>
                  <w:vMerge w:val="continue"/>
                  <w:tcBorders>
                    <w:tl2br w:val="nil"/>
                    <w:tr2bl w:val="nil"/>
                  </w:tcBorders>
                  <w:vAlign w:val="center"/>
                </w:tcPr>
                <w:p w14:paraId="620B8FA8">
                  <w:pPr>
                    <w:snapToGrid w:val="0"/>
                    <w:jc w:val="center"/>
                    <w:rPr>
                      <w:bCs/>
                      <w:color w:val="auto"/>
                      <w:szCs w:val="21"/>
                    </w:rPr>
                  </w:pPr>
                </w:p>
              </w:tc>
              <w:tc>
                <w:tcPr>
                  <w:tcW w:w="796" w:type="pct"/>
                  <w:tcBorders>
                    <w:tl2br w:val="nil"/>
                    <w:tr2bl w:val="nil"/>
                  </w:tcBorders>
                  <w:vAlign w:val="center"/>
                </w:tcPr>
                <w:p w14:paraId="70930781">
                  <w:pPr>
                    <w:snapToGrid w:val="0"/>
                    <w:jc w:val="center"/>
                    <w:rPr>
                      <w:bCs/>
                      <w:color w:val="auto"/>
                      <w:szCs w:val="21"/>
                    </w:rPr>
                  </w:pPr>
                  <w:r>
                    <w:rPr>
                      <w:bCs/>
                      <w:color w:val="auto"/>
                      <w:szCs w:val="21"/>
                    </w:rPr>
                    <w:t>经度</w:t>
                  </w:r>
                </w:p>
              </w:tc>
              <w:tc>
                <w:tcPr>
                  <w:tcW w:w="820" w:type="pct"/>
                  <w:tcBorders>
                    <w:tl2br w:val="nil"/>
                    <w:tr2bl w:val="nil"/>
                  </w:tcBorders>
                  <w:vAlign w:val="center"/>
                </w:tcPr>
                <w:p w14:paraId="5393DA25">
                  <w:pPr>
                    <w:snapToGrid w:val="0"/>
                    <w:jc w:val="center"/>
                    <w:rPr>
                      <w:bCs/>
                      <w:color w:val="auto"/>
                      <w:szCs w:val="21"/>
                    </w:rPr>
                  </w:pPr>
                  <w:r>
                    <w:rPr>
                      <w:bCs/>
                      <w:color w:val="auto"/>
                      <w:szCs w:val="21"/>
                    </w:rPr>
                    <w:t>纬度</w:t>
                  </w:r>
                </w:p>
              </w:tc>
              <w:tc>
                <w:tcPr>
                  <w:tcW w:w="384" w:type="pct"/>
                  <w:vMerge w:val="continue"/>
                  <w:tcBorders>
                    <w:tl2br w:val="nil"/>
                    <w:tr2bl w:val="nil"/>
                  </w:tcBorders>
                  <w:vAlign w:val="center"/>
                </w:tcPr>
                <w:p w14:paraId="6A24A810">
                  <w:pPr>
                    <w:snapToGrid w:val="0"/>
                    <w:jc w:val="center"/>
                    <w:rPr>
                      <w:bCs/>
                      <w:color w:val="auto"/>
                      <w:szCs w:val="21"/>
                    </w:rPr>
                  </w:pPr>
                </w:p>
              </w:tc>
              <w:tc>
                <w:tcPr>
                  <w:tcW w:w="277" w:type="pct"/>
                  <w:vMerge w:val="continue"/>
                  <w:tcBorders>
                    <w:tl2br w:val="nil"/>
                    <w:tr2bl w:val="nil"/>
                  </w:tcBorders>
                  <w:vAlign w:val="center"/>
                </w:tcPr>
                <w:p w14:paraId="1B5059DD">
                  <w:pPr>
                    <w:snapToGrid w:val="0"/>
                    <w:jc w:val="center"/>
                    <w:rPr>
                      <w:bCs/>
                      <w:color w:val="auto"/>
                      <w:szCs w:val="21"/>
                    </w:rPr>
                  </w:pPr>
                </w:p>
              </w:tc>
              <w:tc>
                <w:tcPr>
                  <w:tcW w:w="513" w:type="pct"/>
                  <w:vMerge w:val="continue"/>
                  <w:tcBorders>
                    <w:tl2br w:val="nil"/>
                    <w:tr2bl w:val="nil"/>
                  </w:tcBorders>
                  <w:vAlign w:val="center"/>
                </w:tcPr>
                <w:p w14:paraId="749423E9">
                  <w:pPr>
                    <w:snapToGrid w:val="0"/>
                    <w:jc w:val="center"/>
                    <w:rPr>
                      <w:bCs/>
                      <w:color w:val="auto"/>
                      <w:szCs w:val="21"/>
                    </w:rPr>
                  </w:pPr>
                </w:p>
              </w:tc>
              <w:tc>
                <w:tcPr>
                  <w:tcW w:w="398" w:type="pct"/>
                  <w:vMerge w:val="continue"/>
                  <w:tcBorders>
                    <w:tl2br w:val="nil"/>
                    <w:tr2bl w:val="nil"/>
                  </w:tcBorders>
                  <w:vAlign w:val="center"/>
                </w:tcPr>
                <w:p w14:paraId="72329D6C">
                  <w:pPr>
                    <w:snapToGrid w:val="0"/>
                    <w:jc w:val="center"/>
                    <w:rPr>
                      <w:bCs/>
                      <w:color w:val="auto"/>
                      <w:szCs w:val="21"/>
                    </w:rPr>
                  </w:pPr>
                </w:p>
              </w:tc>
              <w:tc>
                <w:tcPr>
                  <w:tcW w:w="402" w:type="pct"/>
                  <w:vMerge w:val="continue"/>
                  <w:tcBorders>
                    <w:tl2br w:val="nil"/>
                    <w:tr2bl w:val="nil"/>
                  </w:tcBorders>
                  <w:vAlign w:val="center"/>
                </w:tcPr>
                <w:p w14:paraId="1ACE3B23">
                  <w:pPr>
                    <w:snapToGrid w:val="0"/>
                    <w:jc w:val="center"/>
                    <w:rPr>
                      <w:bCs/>
                      <w:color w:val="auto"/>
                      <w:szCs w:val="21"/>
                    </w:rPr>
                  </w:pPr>
                </w:p>
              </w:tc>
              <w:tc>
                <w:tcPr>
                  <w:tcW w:w="418" w:type="pct"/>
                  <w:vMerge w:val="continue"/>
                  <w:tcBorders>
                    <w:tl2br w:val="nil"/>
                    <w:tr2bl w:val="nil"/>
                  </w:tcBorders>
                  <w:vAlign w:val="center"/>
                </w:tcPr>
                <w:p w14:paraId="74BF6DC7">
                  <w:pPr>
                    <w:snapToGrid w:val="0"/>
                    <w:jc w:val="center"/>
                    <w:rPr>
                      <w:bCs/>
                      <w:color w:val="auto"/>
                      <w:szCs w:val="21"/>
                    </w:rPr>
                  </w:pPr>
                </w:p>
              </w:tc>
            </w:tr>
            <w:tr w14:paraId="47B1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4" w:hRule="atLeast"/>
              </w:trPr>
              <w:tc>
                <w:tcPr>
                  <w:tcW w:w="398" w:type="pct"/>
                  <w:tcBorders>
                    <w:tl2br w:val="nil"/>
                    <w:tr2bl w:val="nil"/>
                  </w:tcBorders>
                  <w:vAlign w:val="center"/>
                </w:tcPr>
                <w:p w14:paraId="219D8721">
                  <w:pPr>
                    <w:jc w:val="center"/>
                    <w:rPr>
                      <w:color w:val="auto"/>
                      <w:szCs w:val="21"/>
                    </w:rPr>
                  </w:pPr>
                  <w:r>
                    <w:rPr>
                      <w:color w:val="auto"/>
                      <w:szCs w:val="21"/>
                    </w:rPr>
                    <w:t>DA001</w:t>
                  </w:r>
                </w:p>
              </w:tc>
              <w:tc>
                <w:tcPr>
                  <w:tcW w:w="184" w:type="pct"/>
                  <w:tcBorders>
                    <w:tl2br w:val="nil"/>
                    <w:tr2bl w:val="nil"/>
                  </w:tcBorders>
                  <w:vAlign w:val="center"/>
                </w:tcPr>
                <w:p w14:paraId="3355CB70">
                  <w:pPr>
                    <w:jc w:val="center"/>
                    <w:rPr>
                      <w:bCs/>
                      <w:color w:val="auto"/>
                      <w:szCs w:val="21"/>
                    </w:rPr>
                  </w:pPr>
                  <w:r>
                    <w:rPr>
                      <w:bCs/>
                      <w:color w:val="auto"/>
                      <w:szCs w:val="21"/>
                    </w:rPr>
                    <w:t>有组织排放</w:t>
                  </w:r>
                </w:p>
              </w:tc>
              <w:tc>
                <w:tcPr>
                  <w:tcW w:w="405" w:type="pct"/>
                  <w:tcBorders>
                    <w:tl2br w:val="nil"/>
                    <w:tr2bl w:val="nil"/>
                  </w:tcBorders>
                  <w:vAlign w:val="center"/>
                </w:tcPr>
                <w:p w14:paraId="7D6A6857">
                  <w:pPr>
                    <w:jc w:val="center"/>
                    <w:rPr>
                      <w:bCs/>
                      <w:color w:val="auto"/>
                      <w:szCs w:val="21"/>
                    </w:rPr>
                  </w:pPr>
                  <w:r>
                    <w:rPr>
                      <w:color w:val="auto"/>
                      <w:szCs w:val="21"/>
                    </w:rPr>
                    <w:t>NMHC</w:t>
                  </w:r>
                </w:p>
              </w:tc>
              <w:tc>
                <w:tcPr>
                  <w:tcW w:w="796" w:type="pct"/>
                  <w:tcBorders>
                    <w:tl2br w:val="nil"/>
                    <w:tr2bl w:val="nil"/>
                  </w:tcBorders>
                  <w:vAlign w:val="center"/>
                </w:tcPr>
                <w:p w14:paraId="7631DDF1">
                  <w:pPr>
                    <w:jc w:val="center"/>
                    <w:rPr>
                      <w:color w:val="auto"/>
                    </w:rPr>
                  </w:pPr>
                  <w:r>
                    <w:rPr>
                      <w:color w:val="auto"/>
                      <w:kern w:val="44"/>
                      <w:szCs w:val="21"/>
                    </w:rPr>
                    <w:t>E113°24′11.207″</w:t>
                  </w:r>
                </w:p>
              </w:tc>
              <w:tc>
                <w:tcPr>
                  <w:tcW w:w="820" w:type="pct"/>
                  <w:tcBorders>
                    <w:tl2br w:val="nil"/>
                    <w:tr2bl w:val="nil"/>
                  </w:tcBorders>
                  <w:vAlign w:val="center"/>
                </w:tcPr>
                <w:p w14:paraId="721C6EFE">
                  <w:pPr>
                    <w:jc w:val="center"/>
                    <w:rPr>
                      <w:color w:val="auto"/>
                      <w:szCs w:val="21"/>
                    </w:rPr>
                  </w:pPr>
                  <w:r>
                    <w:rPr>
                      <w:color w:val="auto"/>
                      <w:kern w:val="44"/>
                      <w:szCs w:val="21"/>
                    </w:rPr>
                    <w:t>N25°8′49.516″</w:t>
                  </w:r>
                </w:p>
              </w:tc>
              <w:tc>
                <w:tcPr>
                  <w:tcW w:w="384" w:type="pct"/>
                  <w:tcBorders>
                    <w:tl2br w:val="nil"/>
                    <w:tr2bl w:val="nil"/>
                  </w:tcBorders>
                  <w:vAlign w:val="center"/>
                </w:tcPr>
                <w:p w14:paraId="47DAFDA2">
                  <w:pPr>
                    <w:jc w:val="center"/>
                    <w:rPr>
                      <w:bCs/>
                      <w:color w:val="auto"/>
                      <w:szCs w:val="21"/>
                    </w:rPr>
                  </w:pPr>
                  <w:r>
                    <w:rPr>
                      <w:color w:val="auto"/>
                      <w:szCs w:val="21"/>
                    </w:rPr>
                    <w:t>二级活性炭吸附</w:t>
                  </w:r>
                </w:p>
              </w:tc>
              <w:tc>
                <w:tcPr>
                  <w:tcW w:w="277" w:type="pct"/>
                  <w:tcBorders>
                    <w:tl2br w:val="nil"/>
                    <w:tr2bl w:val="nil"/>
                  </w:tcBorders>
                  <w:vAlign w:val="center"/>
                </w:tcPr>
                <w:p w14:paraId="37411754">
                  <w:pPr>
                    <w:jc w:val="center"/>
                    <w:rPr>
                      <w:color w:val="auto"/>
                      <w:szCs w:val="21"/>
                    </w:rPr>
                  </w:pPr>
                  <w:r>
                    <w:rPr>
                      <w:bCs/>
                      <w:color w:val="auto"/>
                      <w:szCs w:val="21"/>
                    </w:rPr>
                    <w:t>是</w:t>
                  </w:r>
                </w:p>
              </w:tc>
              <w:tc>
                <w:tcPr>
                  <w:tcW w:w="513" w:type="pct"/>
                  <w:tcBorders>
                    <w:tl2br w:val="nil"/>
                    <w:tr2bl w:val="nil"/>
                  </w:tcBorders>
                  <w:vAlign w:val="center"/>
                </w:tcPr>
                <w:p w14:paraId="5728C56F">
                  <w:pPr>
                    <w:jc w:val="center"/>
                    <w:rPr>
                      <w:bCs/>
                      <w:color w:val="auto"/>
                      <w:szCs w:val="21"/>
                    </w:rPr>
                  </w:pPr>
                  <w:r>
                    <w:rPr>
                      <w:bCs/>
                      <w:color w:val="auto"/>
                      <w:szCs w:val="21"/>
                    </w:rPr>
                    <w:t>1500</w:t>
                  </w:r>
                </w:p>
              </w:tc>
              <w:tc>
                <w:tcPr>
                  <w:tcW w:w="398" w:type="pct"/>
                  <w:tcBorders>
                    <w:tl2br w:val="nil"/>
                    <w:tr2bl w:val="nil"/>
                  </w:tcBorders>
                  <w:vAlign w:val="center"/>
                </w:tcPr>
                <w:p w14:paraId="522B1DF2">
                  <w:pPr>
                    <w:jc w:val="center"/>
                    <w:rPr>
                      <w:rFonts w:hint="default" w:eastAsia="宋体"/>
                      <w:bCs/>
                      <w:color w:val="auto"/>
                      <w:szCs w:val="21"/>
                      <w:lang w:val="en-US" w:eastAsia="zh-CN"/>
                    </w:rPr>
                  </w:pPr>
                  <w:r>
                    <w:rPr>
                      <w:rFonts w:hint="eastAsia"/>
                      <w:bCs/>
                      <w:color w:val="auto"/>
                      <w:szCs w:val="21"/>
                      <w:lang w:val="en-US" w:eastAsia="zh-CN"/>
                    </w:rPr>
                    <w:t>22.5</w:t>
                  </w:r>
                </w:p>
              </w:tc>
              <w:tc>
                <w:tcPr>
                  <w:tcW w:w="402" w:type="pct"/>
                  <w:tcBorders>
                    <w:tl2br w:val="nil"/>
                    <w:tr2bl w:val="nil"/>
                  </w:tcBorders>
                  <w:vAlign w:val="center"/>
                </w:tcPr>
                <w:p w14:paraId="5B28B8F6">
                  <w:pPr>
                    <w:widowControl/>
                    <w:jc w:val="center"/>
                    <w:textAlignment w:val="center"/>
                    <w:rPr>
                      <w:bCs/>
                      <w:color w:val="auto"/>
                      <w:szCs w:val="21"/>
                    </w:rPr>
                  </w:pPr>
                  <w:r>
                    <w:rPr>
                      <w:color w:val="auto"/>
                      <w:kern w:val="0"/>
                      <w:szCs w:val="21"/>
                      <w:lang w:bidi="ar"/>
                    </w:rPr>
                    <w:t>0.2</w:t>
                  </w:r>
                </w:p>
              </w:tc>
              <w:tc>
                <w:tcPr>
                  <w:tcW w:w="418" w:type="pct"/>
                  <w:tcBorders>
                    <w:tl2br w:val="nil"/>
                    <w:tr2bl w:val="nil"/>
                  </w:tcBorders>
                  <w:vAlign w:val="center"/>
                </w:tcPr>
                <w:p w14:paraId="444C8C5C">
                  <w:pPr>
                    <w:jc w:val="center"/>
                    <w:rPr>
                      <w:bCs/>
                      <w:color w:val="auto"/>
                      <w:szCs w:val="21"/>
                    </w:rPr>
                  </w:pPr>
                  <w:r>
                    <w:rPr>
                      <w:bCs/>
                      <w:color w:val="auto"/>
                      <w:szCs w:val="21"/>
                    </w:rPr>
                    <w:t>25</w:t>
                  </w:r>
                </w:p>
              </w:tc>
            </w:tr>
          </w:tbl>
          <w:p w14:paraId="7EC266A3">
            <w:pPr>
              <w:adjustRightInd w:val="0"/>
              <w:snapToGrid w:val="0"/>
              <w:spacing w:line="360" w:lineRule="auto"/>
              <w:ind w:left="420" w:leftChars="200"/>
              <w:rPr>
                <w:b/>
                <w:bCs/>
                <w:color w:val="auto"/>
                <w:sz w:val="24"/>
                <w:szCs w:val="24"/>
              </w:rPr>
            </w:pPr>
            <w:r>
              <w:rPr>
                <w:b/>
                <w:bCs/>
                <w:color w:val="auto"/>
                <w:sz w:val="24"/>
                <w:szCs w:val="24"/>
              </w:rPr>
              <w:t>3、达标情况</w:t>
            </w:r>
          </w:p>
          <w:p w14:paraId="02E887EF">
            <w:pPr>
              <w:autoSpaceDE w:val="0"/>
              <w:autoSpaceDN w:val="0"/>
              <w:adjustRightInd w:val="0"/>
              <w:snapToGrid w:val="0"/>
              <w:spacing w:line="360" w:lineRule="auto"/>
              <w:jc w:val="center"/>
              <w:rPr>
                <w:b/>
                <w:bCs/>
                <w:color w:val="auto"/>
                <w:sz w:val="24"/>
                <w:szCs w:val="24"/>
              </w:rPr>
            </w:pPr>
            <w:r>
              <w:rPr>
                <w:b/>
                <w:bCs/>
                <w:color w:val="auto"/>
                <w:sz w:val="24"/>
                <w:szCs w:val="24"/>
              </w:rPr>
              <w:t>表</w:t>
            </w:r>
            <w:r>
              <w:rPr>
                <w:b/>
                <w:bCs/>
                <w:color w:val="auto"/>
                <w:sz w:val="24"/>
                <w:szCs w:val="24"/>
              </w:rPr>
              <w:fldChar w:fldCharType="begin"/>
            </w:r>
            <w:r>
              <w:rPr>
                <w:b/>
                <w:bCs/>
                <w:color w:val="auto"/>
                <w:sz w:val="24"/>
                <w:szCs w:val="24"/>
              </w:rPr>
              <w:instrText xml:space="preserve"> SEQ 表 \* ARABIC </w:instrText>
            </w:r>
            <w:r>
              <w:rPr>
                <w:b/>
                <w:bCs/>
                <w:color w:val="auto"/>
                <w:sz w:val="24"/>
                <w:szCs w:val="24"/>
              </w:rPr>
              <w:fldChar w:fldCharType="separate"/>
            </w:r>
            <w:r>
              <w:rPr>
                <w:b/>
                <w:bCs/>
                <w:color w:val="auto"/>
                <w:sz w:val="24"/>
                <w:szCs w:val="24"/>
              </w:rPr>
              <w:t>36</w:t>
            </w:r>
            <w:r>
              <w:rPr>
                <w:b/>
                <w:bCs/>
                <w:color w:val="auto"/>
                <w:sz w:val="24"/>
                <w:szCs w:val="24"/>
              </w:rPr>
              <w:fldChar w:fldCharType="end"/>
            </w:r>
            <w:r>
              <w:rPr>
                <w:b/>
                <w:bCs/>
                <w:color w:val="auto"/>
                <w:sz w:val="24"/>
                <w:szCs w:val="24"/>
              </w:rPr>
              <w:t xml:space="preserve">  达标情况分析表</w:t>
            </w:r>
          </w:p>
          <w:tbl>
            <w:tblPr>
              <w:tblStyle w:val="38"/>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908"/>
              <w:gridCol w:w="993"/>
              <w:gridCol w:w="1298"/>
              <w:gridCol w:w="1121"/>
              <w:gridCol w:w="1284"/>
              <w:gridCol w:w="1284"/>
              <w:gridCol w:w="664"/>
            </w:tblGrid>
            <w:tr w14:paraId="02C1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vAlign w:val="center"/>
                </w:tcPr>
                <w:p w14:paraId="2DB39419">
                  <w:pPr>
                    <w:pStyle w:val="35"/>
                    <w:ind w:firstLine="0" w:firstLineChars="0"/>
                    <w:jc w:val="center"/>
                    <w:rPr>
                      <w:b/>
                      <w:bCs/>
                      <w:color w:val="auto"/>
                      <w:szCs w:val="21"/>
                    </w:rPr>
                  </w:pPr>
                  <w:r>
                    <w:rPr>
                      <w:b/>
                      <w:bCs/>
                      <w:color w:val="auto"/>
                      <w:szCs w:val="21"/>
                    </w:rPr>
                    <w:t>排放口</w:t>
                  </w:r>
                </w:p>
              </w:tc>
              <w:tc>
                <w:tcPr>
                  <w:tcW w:w="534" w:type="pct"/>
                  <w:vAlign w:val="center"/>
                </w:tcPr>
                <w:p w14:paraId="5D45465E">
                  <w:pPr>
                    <w:pStyle w:val="35"/>
                    <w:ind w:firstLine="0" w:firstLineChars="0"/>
                    <w:jc w:val="center"/>
                    <w:rPr>
                      <w:b/>
                      <w:bCs/>
                      <w:color w:val="auto"/>
                      <w:szCs w:val="21"/>
                    </w:rPr>
                  </w:pPr>
                  <w:r>
                    <w:rPr>
                      <w:b/>
                      <w:bCs/>
                      <w:color w:val="auto"/>
                      <w:szCs w:val="21"/>
                    </w:rPr>
                    <w:t>污染物</w:t>
                  </w:r>
                </w:p>
              </w:tc>
              <w:tc>
                <w:tcPr>
                  <w:tcW w:w="584" w:type="pct"/>
                  <w:vAlign w:val="center"/>
                </w:tcPr>
                <w:p w14:paraId="45A97956">
                  <w:pPr>
                    <w:pStyle w:val="35"/>
                    <w:ind w:firstLine="0" w:firstLineChars="0"/>
                    <w:jc w:val="center"/>
                    <w:rPr>
                      <w:b/>
                      <w:bCs/>
                      <w:color w:val="auto"/>
                      <w:szCs w:val="21"/>
                    </w:rPr>
                  </w:pPr>
                  <w:r>
                    <w:rPr>
                      <w:b/>
                      <w:bCs/>
                      <w:color w:val="auto"/>
                      <w:szCs w:val="21"/>
                    </w:rPr>
                    <w:t>治理设施</w:t>
                  </w:r>
                </w:p>
              </w:tc>
              <w:tc>
                <w:tcPr>
                  <w:tcW w:w="763" w:type="pct"/>
                  <w:vAlign w:val="center"/>
                </w:tcPr>
                <w:p w14:paraId="11A0B562">
                  <w:pPr>
                    <w:pStyle w:val="35"/>
                    <w:ind w:firstLine="0" w:firstLineChars="0"/>
                    <w:jc w:val="center"/>
                    <w:rPr>
                      <w:b/>
                      <w:bCs/>
                      <w:color w:val="auto"/>
                      <w:szCs w:val="21"/>
                    </w:rPr>
                  </w:pPr>
                  <w:r>
                    <w:rPr>
                      <w:b/>
                      <w:bCs/>
                      <w:color w:val="auto"/>
                      <w:szCs w:val="21"/>
                    </w:rPr>
                    <w:t>排放浓度（mg/m</w:t>
                  </w:r>
                  <w:r>
                    <w:rPr>
                      <w:b/>
                      <w:bCs/>
                      <w:color w:val="auto"/>
                      <w:szCs w:val="21"/>
                      <w:vertAlign w:val="superscript"/>
                    </w:rPr>
                    <w:t>3</w:t>
                  </w:r>
                  <w:r>
                    <w:rPr>
                      <w:b/>
                      <w:bCs/>
                      <w:color w:val="auto"/>
                      <w:szCs w:val="21"/>
                    </w:rPr>
                    <w:t>）</w:t>
                  </w:r>
                </w:p>
              </w:tc>
              <w:tc>
                <w:tcPr>
                  <w:tcW w:w="659" w:type="pct"/>
                  <w:vAlign w:val="center"/>
                </w:tcPr>
                <w:p w14:paraId="5D5B1B9C">
                  <w:pPr>
                    <w:pStyle w:val="35"/>
                    <w:ind w:firstLine="0" w:firstLineChars="0"/>
                    <w:jc w:val="center"/>
                    <w:rPr>
                      <w:b/>
                      <w:bCs/>
                      <w:color w:val="auto"/>
                      <w:szCs w:val="21"/>
                    </w:rPr>
                  </w:pPr>
                  <w:r>
                    <w:rPr>
                      <w:b/>
                      <w:bCs/>
                      <w:color w:val="auto"/>
                      <w:szCs w:val="21"/>
                    </w:rPr>
                    <w:t>排放速率（kg/h）</w:t>
                  </w:r>
                </w:p>
              </w:tc>
              <w:tc>
                <w:tcPr>
                  <w:tcW w:w="755" w:type="pct"/>
                  <w:vAlign w:val="center"/>
                </w:tcPr>
                <w:p w14:paraId="0B3F138E">
                  <w:pPr>
                    <w:pStyle w:val="35"/>
                    <w:ind w:firstLine="0" w:firstLineChars="0"/>
                    <w:jc w:val="center"/>
                    <w:rPr>
                      <w:b/>
                      <w:bCs/>
                      <w:color w:val="auto"/>
                      <w:szCs w:val="21"/>
                    </w:rPr>
                  </w:pPr>
                  <w:r>
                    <w:rPr>
                      <w:b/>
                      <w:bCs/>
                      <w:color w:val="auto"/>
                      <w:szCs w:val="21"/>
                    </w:rPr>
                    <w:t>标准浓度限值（mg/m</w:t>
                  </w:r>
                  <w:r>
                    <w:rPr>
                      <w:b/>
                      <w:bCs/>
                      <w:color w:val="auto"/>
                      <w:szCs w:val="21"/>
                      <w:vertAlign w:val="superscript"/>
                    </w:rPr>
                    <w:t>3</w:t>
                  </w:r>
                  <w:r>
                    <w:rPr>
                      <w:b/>
                      <w:bCs/>
                      <w:color w:val="auto"/>
                      <w:szCs w:val="21"/>
                    </w:rPr>
                    <w:t>）</w:t>
                  </w:r>
                </w:p>
              </w:tc>
              <w:tc>
                <w:tcPr>
                  <w:tcW w:w="755" w:type="pct"/>
                  <w:vAlign w:val="center"/>
                </w:tcPr>
                <w:p w14:paraId="0DDDE6EF">
                  <w:pPr>
                    <w:pStyle w:val="35"/>
                    <w:ind w:firstLine="0" w:firstLineChars="0"/>
                    <w:jc w:val="center"/>
                    <w:rPr>
                      <w:b/>
                      <w:bCs/>
                      <w:color w:val="auto"/>
                      <w:szCs w:val="21"/>
                    </w:rPr>
                  </w:pPr>
                  <w:r>
                    <w:rPr>
                      <w:b/>
                      <w:bCs/>
                      <w:color w:val="auto"/>
                      <w:szCs w:val="21"/>
                    </w:rPr>
                    <w:t>标准速率限值（mg/m</w:t>
                  </w:r>
                  <w:r>
                    <w:rPr>
                      <w:b/>
                      <w:bCs/>
                      <w:color w:val="auto"/>
                      <w:szCs w:val="21"/>
                      <w:vertAlign w:val="superscript"/>
                    </w:rPr>
                    <w:t>3</w:t>
                  </w:r>
                  <w:r>
                    <w:rPr>
                      <w:b/>
                      <w:bCs/>
                      <w:color w:val="auto"/>
                      <w:szCs w:val="21"/>
                    </w:rPr>
                    <w:t>）</w:t>
                  </w:r>
                </w:p>
              </w:tc>
              <w:tc>
                <w:tcPr>
                  <w:tcW w:w="390" w:type="pct"/>
                  <w:vAlign w:val="center"/>
                </w:tcPr>
                <w:p w14:paraId="14F12915">
                  <w:pPr>
                    <w:pStyle w:val="35"/>
                    <w:ind w:firstLine="0" w:firstLineChars="0"/>
                    <w:jc w:val="center"/>
                    <w:rPr>
                      <w:b/>
                      <w:bCs/>
                      <w:color w:val="auto"/>
                      <w:szCs w:val="21"/>
                    </w:rPr>
                  </w:pPr>
                  <w:r>
                    <w:rPr>
                      <w:b/>
                      <w:bCs/>
                      <w:color w:val="auto"/>
                      <w:szCs w:val="21"/>
                    </w:rPr>
                    <w:t>达标判断</w:t>
                  </w:r>
                </w:p>
              </w:tc>
            </w:tr>
            <w:tr w14:paraId="5777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55" w:type="pct"/>
                  <w:vAlign w:val="center"/>
                </w:tcPr>
                <w:p w14:paraId="5DAF8317">
                  <w:pPr>
                    <w:jc w:val="center"/>
                    <w:rPr>
                      <w:color w:val="auto"/>
                      <w:szCs w:val="21"/>
                    </w:rPr>
                  </w:pPr>
                  <w:r>
                    <w:rPr>
                      <w:color w:val="auto"/>
                      <w:szCs w:val="21"/>
                    </w:rPr>
                    <w:t>DA001</w:t>
                  </w:r>
                </w:p>
              </w:tc>
              <w:tc>
                <w:tcPr>
                  <w:tcW w:w="534" w:type="pct"/>
                  <w:vAlign w:val="center"/>
                </w:tcPr>
                <w:p w14:paraId="3144FCC0">
                  <w:pPr>
                    <w:jc w:val="center"/>
                    <w:rPr>
                      <w:bCs/>
                      <w:color w:val="auto"/>
                      <w:szCs w:val="21"/>
                    </w:rPr>
                  </w:pPr>
                  <w:r>
                    <w:rPr>
                      <w:color w:val="auto"/>
                      <w:szCs w:val="21"/>
                    </w:rPr>
                    <w:t>NMHC</w:t>
                  </w:r>
                </w:p>
              </w:tc>
              <w:tc>
                <w:tcPr>
                  <w:tcW w:w="584" w:type="pct"/>
                  <w:vAlign w:val="center"/>
                </w:tcPr>
                <w:p w14:paraId="3EA111BD">
                  <w:pPr>
                    <w:jc w:val="center"/>
                    <w:rPr>
                      <w:bCs/>
                      <w:color w:val="auto"/>
                      <w:szCs w:val="21"/>
                    </w:rPr>
                  </w:pPr>
                  <w:r>
                    <w:rPr>
                      <w:bCs/>
                      <w:color w:val="auto"/>
                      <w:szCs w:val="21"/>
                    </w:rPr>
                    <w:t>二级活性炭吸附</w:t>
                  </w:r>
                </w:p>
              </w:tc>
              <w:tc>
                <w:tcPr>
                  <w:tcW w:w="763" w:type="pct"/>
                  <w:shd w:val="clear" w:color="auto" w:fill="auto"/>
                  <w:vAlign w:val="center"/>
                </w:tcPr>
                <w:p w14:paraId="44325E25">
                  <w:pPr>
                    <w:widowControl/>
                    <w:jc w:val="center"/>
                    <w:textAlignment w:val="center"/>
                    <w:rPr>
                      <w:rFonts w:hint="default" w:eastAsia="宋体"/>
                      <w:color w:val="auto"/>
                      <w:szCs w:val="21"/>
                      <w:lang w:val="en-US" w:eastAsia="zh-CN"/>
                    </w:rPr>
                  </w:pPr>
                  <w:r>
                    <w:rPr>
                      <w:rFonts w:hint="eastAsia"/>
                      <w:color w:val="auto"/>
                      <w:szCs w:val="21"/>
                      <w:lang w:val="en-US" w:eastAsia="zh-CN"/>
                    </w:rPr>
                    <w:t>6.325</w:t>
                  </w:r>
                </w:p>
              </w:tc>
              <w:tc>
                <w:tcPr>
                  <w:tcW w:w="659" w:type="pct"/>
                  <w:shd w:val="clear" w:color="auto" w:fill="auto"/>
                  <w:vAlign w:val="center"/>
                </w:tcPr>
                <w:p w14:paraId="5B528D27">
                  <w:pPr>
                    <w:widowControl/>
                    <w:jc w:val="center"/>
                    <w:textAlignment w:val="center"/>
                    <w:rPr>
                      <w:rFonts w:hint="default" w:eastAsia="宋体"/>
                      <w:color w:val="auto"/>
                      <w:szCs w:val="21"/>
                      <w:lang w:val="en-US" w:eastAsia="zh-CN"/>
                    </w:rPr>
                  </w:pPr>
                  <w:r>
                    <w:rPr>
                      <w:rFonts w:hint="eastAsia"/>
                      <w:color w:val="auto"/>
                      <w:szCs w:val="21"/>
                      <w:lang w:val="en-US" w:eastAsia="zh-CN"/>
                    </w:rPr>
                    <w:t>0.0095</w:t>
                  </w:r>
                </w:p>
              </w:tc>
              <w:tc>
                <w:tcPr>
                  <w:tcW w:w="755" w:type="pct"/>
                  <w:vAlign w:val="center"/>
                </w:tcPr>
                <w:p w14:paraId="08FDF799">
                  <w:pPr>
                    <w:widowControl/>
                    <w:jc w:val="center"/>
                    <w:textAlignment w:val="center"/>
                    <w:rPr>
                      <w:color w:val="auto"/>
                      <w:kern w:val="0"/>
                      <w:szCs w:val="21"/>
                      <w:lang w:bidi="ar"/>
                    </w:rPr>
                  </w:pPr>
                  <w:r>
                    <w:rPr>
                      <w:color w:val="auto"/>
                      <w:kern w:val="0"/>
                      <w:szCs w:val="21"/>
                      <w:lang w:bidi="ar"/>
                    </w:rPr>
                    <w:t>100</w:t>
                  </w:r>
                </w:p>
              </w:tc>
              <w:tc>
                <w:tcPr>
                  <w:tcW w:w="755" w:type="pct"/>
                  <w:vAlign w:val="center"/>
                </w:tcPr>
                <w:p w14:paraId="121067AD">
                  <w:pPr>
                    <w:pStyle w:val="35"/>
                    <w:ind w:firstLine="0" w:firstLineChars="0"/>
                    <w:jc w:val="center"/>
                    <w:rPr>
                      <w:color w:val="auto"/>
                      <w:szCs w:val="21"/>
                    </w:rPr>
                  </w:pPr>
                  <w:r>
                    <w:rPr>
                      <w:color w:val="auto"/>
                      <w:szCs w:val="21"/>
                    </w:rPr>
                    <w:t>/</w:t>
                  </w:r>
                </w:p>
              </w:tc>
              <w:tc>
                <w:tcPr>
                  <w:tcW w:w="390" w:type="pct"/>
                  <w:vAlign w:val="center"/>
                </w:tcPr>
                <w:p w14:paraId="1A660914">
                  <w:pPr>
                    <w:jc w:val="center"/>
                    <w:rPr>
                      <w:color w:val="auto"/>
                      <w:szCs w:val="21"/>
                    </w:rPr>
                  </w:pPr>
                  <w:r>
                    <w:rPr>
                      <w:color w:val="auto"/>
                      <w:szCs w:val="21"/>
                    </w:rPr>
                    <w:t>达标</w:t>
                  </w:r>
                </w:p>
              </w:tc>
            </w:tr>
          </w:tbl>
          <w:p w14:paraId="0BFC4F53">
            <w:pPr>
              <w:adjustRightInd w:val="0"/>
              <w:snapToGrid w:val="0"/>
              <w:spacing w:line="360" w:lineRule="auto"/>
              <w:ind w:left="420" w:leftChars="200"/>
              <w:rPr>
                <w:b/>
                <w:bCs/>
                <w:color w:val="auto"/>
                <w:sz w:val="24"/>
                <w:szCs w:val="24"/>
              </w:rPr>
            </w:pPr>
            <w:r>
              <w:rPr>
                <w:b/>
                <w:bCs/>
                <w:color w:val="auto"/>
                <w:sz w:val="24"/>
                <w:szCs w:val="24"/>
              </w:rPr>
              <w:t>4、废气排放环境影响分析</w:t>
            </w:r>
          </w:p>
          <w:p w14:paraId="697BE623">
            <w:pPr>
              <w:autoSpaceDE w:val="0"/>
              <w:autoSpaceDN w:val="0"/>
              <w:adjustRightInd w:val="0"/>
              <w:snapToGrid w:val="0"/>
              <w:spacing w:line="360" w:lineRule="auto"/>
              <w:ind w:firstLine="480" w:firstLineChars="200"/>
              <w:jc w:val="left"/>
              <w:rPr>
                <w:color w:val="auto"/>
                <w:sz w:val="24"/>
                <w:szCs w:val="24"/>
              </w:rPr>
            </w:pPr>
            <w:r>
              <w:rPr>
                <w:bCs/>
                <w:color w:val="auto"/>
                <w:sz w:val="24"/>
                <w:szCs w:val="24"/>
              </w:rPr>
              <w:t>综上可知，</w:t>
            </w:r>
            <w:r>
              <w:rPr>
                <w:color w:val="auto"/>
                <w:sz w:val="24"/>
                <w:szCs w:val="24"/>
              </w:rPr>
              <w:t>本项目运营期废气污染物主要有NMHC</w:t>
            </w:r>
            <w:r>
              <w:rPr>
                <w:rFonts w:hint="eastAsia"/>
                <w:color w:val="auto"/>
                <w:sz w:val="24"/>
                <w:szCs w:val="24"/>
                <w:lang w:eastAsia="zh-CN"/>
              </w:rPr>
              <w:t>、</w:t>
            </w:r>
            <w:r>
              <w:rPr>
                <w:rFonts w:hint="eastAsia"/>
                <w:color w:val="auto"/>
                <w:sz w:val="24"/>
                <w:szCs w:val="24"/>
                <w:lang w:val="en-US" w:eastAsia="zh-CN"/>
              </w:rPr>
              <w:t>生产异味</w:t>
            </w:r>
            <w:r>
              <w:rPr>
                <w:color w:val="auto"/>
                <w:sz w:val="24"/>
                <w:szCs w:val="24"/>
              </w:rPr>
              <w:t>。</w:t>
            </w:r>
          </w:p>
          <w:p w14:paraId="5138B564">
            <w:pPr>
              <w:widowControl/>
              <w:adjustRightInd w:val="0"/>
              <w:snapToGrid w:val="0"/>
              <w:spacing w:line="360" w:lineRule="auto"/>
              <w:ind w:firstLine="480" w:firstLineChars="200"/>
              <w:jc w:val="left"/>
              <w:rPr>
                <w:color w:val="auto"/>
                <w:sz w:val="24"/>
                <w:szCs w:val="24"/>
              </w:rPr>
            </w:pPr>
            <w:r>
              <w:rPr>
                <w:color w:val="auto"/>
                <w:sz w:val="24"/>
                <w:szCs w:val="24"/>
              </w:rPr>
              <w:t>本项目污染因子非甲烷总烃</w:t>
            </w:r>
            <w:r>
              <w:rPr>
                <w:rFonts w:hint="eastAsia"/>
                <w:color w:val="auto"/>
                <w:sz w:val="24"/>
                <w:szCs w:val="24"/>
                <w:lang w:val="en-US" w:eastAsia="zh-CN"/>
              </w:rPr>
              <w:t>处理后能满足</w:t>
            </w:r>
            <w:r>
              <w:rPr>
                <w:color w:val="auto"/>
                <w:sz w:val="24"/>
                <w:szCs w:val="24"/>
              </w:rPr>
              <w:t>《农药制造工业大气污染物排放标准》（GB39727-2020）表1大气污染物排放限值中的“其它农药制造工艺废气”标准要求。无组织排放有机废气</w:t>
            </w:r>
            <w:r>
              <w:rPr>
                <w:rFonts w:hint="eastAsia"/>
                <w:color w:val="auto"/>
                <w:sz w:val="24"/>
                <w:szCs w:val="24"/>
                <w:lang w:val="en-US" w:eastAsia="zh-CN"/>
              </w:rPr>
              <w:t>满足</w:t>
            </w:r>
            <w:r>
              <w:rPr>
                <w:color w:val="auto"/>
                <w:sz w:val="24"/>
                <w:szCs w:val="24"/>
              </w:rPr>
              <w:t>《农药制造工业大气污染物排放标准》（GB39727-2020）附录C中表C.1厂区内VOCs无组织排放限值。</w:t>
            </w:r>
            <w:r>
              <w:rPr>
                <w:rFonts w:hint="eastAsia"/>
                <w:color w:val="auto"/>
                <w:sz w:val="24"/>
                <w:szCs w:val="24"/>
                <w:lang w:val="en-US" w:eastAsia="zh-CN"/>
              </w:rPr>
              <w:t>臭气浓度满足</w:t>
            </w:r>
            <w:r>
              <w:rPr>
                <w:rFonts w:hint="eastAsia" w:ascii="Times New Roman" w:hAnsi="Times New Roman" w:eastAsia="宋体" w:cs="Times New Roman"/>
                <w:color w:val="auto"/>
                <w:sz w:val="24"/>
                <w:szCs w:val="24"/>
                <w:lang w:val="en-US" w:eastAsia="zh-CN"/>
              </w:rPr>
              <w:t>《恶臭污染物排放标准》（</w:t>
            </w:r>
            <w:r>
              <w:rPr>
                <w:rFonts w:hint="default" w:ascii="Times New Roman" w:hAnsi="Times New Roman" w:eastAsia="宋体" w:cs="Times New Roman"/>
                <w:color w:val="auto"/>
                <w:sz w:val="24"/>
                <w:szCs w:val="24"/>
                <w:lang w:val="en-US" w:eastAsia="zh-CN"/>
              </w:rPr>
              <w:t>GB14554-93</w:t>
            </w:r>
            <w:r>
              <w:rPr>
                <w:rFonts w:hint="eastAsia" w:ascii="Times New Roman" w:hAnsi="Times New Roman" w:eastAsia="宋体" w:cs="Times New Roman"/>
                <w:color w:val="auto"/>
                <w:sz w:val="24"/>
                <w:szCs w:val="24"/>
                <w:lang w:val="en-US" w:eastAsia="zh-CN"/>
              </w:rPr>
              <w:t>）中表1</w:t>
            </w:r>
            <w:r>
              <w:rPr>
                <w:rFonts w:hint="eastAsia" w:cs="Times New Roman"/>
                <w:color w:val="auto"/>
                <w:sz w:val="24"/>
                <w:szCs w:val="24"/>
                <w:lang w:val="en-US" w:eastAsia="zh-CN"/>
              </w:rPr>
              <w:t>新扩改建</w:t>
            </w:r>
            <w:r>
              <w:rPr>
                <w:rFonts w:hint="eastAsia" w:ascii="Times New Roman" w:hAnsi="Times New Roman" w:eastAsia="宋体" w:cs="Times New Roman"/>
                <w:color w:val="auto"/>
                <w:sz w:val="24"/>
                <w:szCs w:val="24"/>
                <w:lang w:val="en-US" w:eastAsia="zh-CN"/>
              </w:rPr>
              <w:t>的二级标准和表2标准要求</w:t>
            </w:r>
          </w:p>
          <w:p w14:paraId="07938DA8">
            <w:pPr>
              <w:spacing w:line="360" w:lineRule="auto"/>
              <w:ind w:firstLine="480" w:firstLineChars="200"/>
              <w:jc w:val="left"/>
              <w:rPr>
                <w:color w:val="auto"/>
                <w:sz w:val="24"/>
                <w:szCs w:val="24"/>
              </w:rPr>
            </w:pPr>
            <w:r>
              <w:rPr>
                <w:bCs/>
                <w:color w:val="auto"/>
                <w:sz w:val="24"/>
                <w:szCs w:val="24"/>
              </w:rPr>
              <w:t>根据上文对环境质量现状的分析，韶关乐昌市属于环境空气达标区，项目厂界外500米内大气环境保护目标为</w:t>
            </w:r>
            <w:r>
              <w:rPr>
                <w:rFonts w:hint="eastAsia"/>
                <w:bCs/>
                <w:color w:val="auto"/>
                <w:sz w:val="24"/>
                <w:szCs w:val="24"/>
                <w:lang w:val="en-US" w:eastAsia="zh-CN"/>
              </w:rPr>
              <w:t>距项目490m的江屋村、495m的在建商品楼</w:t>
            </w:r>
            <w:r>
              <w:rPr>
                <w:color w:val="auto"/>
                <w:sz w:val="24"/>
                <w:szCs w:val="24"/>
              </w:rPr>
              <w:t>。本项目采用的废气治理措施成熟有效，废气经处理后可达标排放，切实可行，可保证废气达标排放。因此，本项目各污染物经大气扩散后对环境空气的影响较小。项目建成后应落实各污染源的污染防治措施，本项目废气排放对周边大气环境影响在可接受范围内。</w:t>
            </w:r>
          </w:p>
          <w:p w14:paraId="42AE0EB8">
            <w:pPr>
              <w:snapToGrid w:val="0"/>
              <w:spacing w:line="360" w:lineRule="auto"/>
              <w:ind w:firstLine="482" w:firstLineChars="200"/>
              <w:jc w:val="left"/>
              <w:rPr>
                <w:b/>
                <w:bCs/>
                <w:color w:val="auto"/>
                <w:sz w:val="24"/>
                <w:szCs w:val="24"/>
              </w:rPr>
            </w:pPr>
            <w:r>
              <w:rPr>
                <w:b/>
                <w:bCs/>
                <w:color w:val="auto"/>
                <w:sz w:val="24"/>
                <w:szCs w:val="24"/>
              </w:rPr>
              <w:t>5、非正常排放情况</w:t>
            </w:r>
          </w:p>
          <w:p w14:paraId="2A777486">
            <w:pPr>
              <w:pStyle w:val="89"/>
              <w:snapToGrid w:val="0"/>
              <w:spacing w:before="0" w:beforeLines="0"/>
              <w:ind w:firstLine="420"/>
              <w:rPr>
                <w:rFonts w:cs="Times New Roman"/>
                <w:color w:val="auto"/>
                <w:sz w:val="24"/>
                <w:szCs w:val="24"/>
              </w:rPr>
            </w:pPr>
            <w:r>
              <w:rPr>
                <w:rFonts w:cs="Times New Roman"/>
                <w:color w:val="auto"/>
                <w:sz w:val="24"/>
                <w:szCs w:val="24"/>
              </w:rPr>
              <w:t>本项目非正常排放主要是污染物排放控制措施达不到应有效率， 即处理设施失效，导致污染物未经处理直接排放。项目废气非正常排放核算表如下所示。</w:t>
            </w:r>
          </w:p>
          <w:p w14:paraId="43BDFDB0">
            <w:pPr>
              <w:pStyle w:val="16"/>
              <w:keepNext/>
              <w:snapToGrid w:val="0"/>
              <w:spacing w:line="360" w:lineRule="auto"/>
              <w:jc w:val="center"/>
              <w:rPr>
                <w:rFonts w:ascii="Times New Roman" w:hAnsi="Times New Roman" w:eastAsia="宋体"/>
                <w:color w:val="auto"/>
                <w:sz w:val="24"/>
                <w:szCs w:val="24"/>
              </w:rPr>
            </w:pPr>
            <w:r>
              <w:rPr>
                <w:rFonts w:ascii="Times New Roman" w:hAnsi="Times New Roman" w:eastAsia="宋体"/>
                <w:b/>
                <w:color w:val="auto"/>
                <w:sz w:val="24"/>
                <w:szCs w:val="24"/>
              </w:rPr>
              <w:t>表</w:t>
            </w:r>
            <w:r>
              <w:rPr>
                <w:rFonts w:ascii="Times New Roman" w:hAnsi="Times New Roman" w:eastAsia="宋体"/>
                <w:b/>
                <w:color w:val="auto"/>
                <w:sz w:val="24"/>
                <w:szCs w:val="24"/>
              </w:rPr>
              <w:fldChar w:fldCharType="begin"/>
            </w:r>
            <w:r>
              <w:rPr>
                <w:rFonts w:ascii="Times New Roman" w:hAnsi="Times New Roman" w:eastAsia="宋体"/>
                <w:b/>
                <w:color w:val="auto"/>
                <w:sz w:val="24"/>
                <w:szCs w:val="24"/>
              </w:rPr>
              <w:instrText xml:space="preserve"> SEQ 表 \* ARABIC </w:instrText>
            </w:r>
            <w:r>
              <w:rPr>
                <w:rFonts w:ascii="Times New Roman" w:hAnsi="Times New Roman" w:eastAsia="宋体"/>
                <w:b/>
                <w:color w:val="auto"/>
                <w:sz w:val="24"/>
                <w:szCs w:val="24"/>
              </w:rPr>
              <w:fldChar w:fldCharType="separate"/>
            </w:r>
            <w:r>
              <w:rPr>
                <w:rFonts w:ascii="Times New Roman" w:hAnsi="Times New Roman" w:eastAsia="宋体"/>
                <w:b/>
                <w:color w:val="auto"/>
                <w:sz w:val="24"/>
                <w:szCs w:val="24"/>
              </w:rPr>
              <w:t>37</w:t>
            </w:r>
            <w:r>
              <w:rPr>
                <w:rFonts w:ascii="Times New Roman" w:hAnsi="Times New Roman" w:eastAsia="宋体"/>
                <w:b/>
                <w:color w:val="auto"/>
                <w:sz w:val="24"/>
                <w:szCs w:val="24"/>
              </w:rPr>
              <w:fldChar w:fldCharType="end"/>
            </w:r>
            <w:r>
              <w:rPr>
                <w:rFonts w:ascii="Times New Roman" w:hAnsi="Times New Roman" w:eastAsia="宋体"/>
                <w:b/>
                <w:color w:val="auto"/>
                <w:sz w:val="24"/>
                <w:szCs w:val="24"/>
              </w:rPr>
              <w:t xml:space="preserve"> 废气非正常排放核算表</w:t>
            </w:r>
          </w:p>
          <w:tbl>
            <w:tblPr>
              <w:tblStyle w:val="38"/>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648"/>
              <w:gridCol w:w="872"/>
              <w:gridCol w:w="1133"/>
              <w:gridCol w:w="1437"/>
              <w:gridCol w:w="792"/>
              <w:gridCol w:w="641"/>
              <w:gridCol w:w="1337"/>
              <w:gridCol w:w="786"/>
            </w:tblGrid>
            <w:tr w14:paraId="1162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pct"/>
                  <w:tcMar>
                    <w:top w:w="0" w:type="dxa"/>
                    <w:left w:w="108" w:type="dxa"/>
                    <w:bottom w:w="0" w:type="dxa"/>
                    <w:right w:w="108" w:type="dxa"/>
                  </w:tcMar>
                  <w:vAlign w:val="center"/>
                </w:tcPr>
                <w:p w14:paraId="6ABA2DF0">
                  <w:pPr>
                    <w:pStyle w:val="89"/>
                    <w:adjustRightInd w:val="0"/>
                    <w:snapToGrid w:val="0"/>
                    <w:spacing w:before="0" w:beforeLines="0" w:line="240" w:lineRule="auto"/>
                    <w:ind w:firstLine="0" w:firstLineChars="0"/>
                    <w:jc w:val="center"/>
                    <w:rPr>
                      <w:rFonts w:cs="Times New Roman"/>
                      <w:b/>
                      <w:bCs/>
                      <w:color w:val="auto"/>
                      <w:szCs w:val="21"/>
                    </w:rPr>
                  </w:pPr>
                  <w:r>
                    <w:rPr>
                      <w:rFonts w:cs="Times New Roman"/>
                      <w:b/>
                      <w:bCs/>
                      <w:color w:val="auto"/>
                      <w:szCs w:val="21"/>
                    </w:rPr>
                    <w:t>非正常排放源</w:t>
                  </w:r>
                </w:p>
              </w:tc>
              <w:tc>
                <w:tcPr>
                  <w:tcW w:w="381" w:type="pct"/>
                  <w:tcMar>
                    <w:top w:w="0" w:type="dxa"/>
                    <w:left w:w="108" w:type="dxa"/>
                    <w:bottom w:w="0" w:type="dxa"/>
                    <w:right w:w="108" w:type="dxa"/>
                  </w:tcMar>
                  <w:vAlign w:val="center"/>
                </w:tcPr>
                <w:p w14:paraId="03814AB3">
                  <w:pPr>
                    <w:pStyle w:val="89"/>
                    <w:adjustRightInd w:val="0"/>
                    <w:snapToGrid w:val="0"/>
                    <w:spacing w:before="0" w:beforeLines="0" w:line="240" w:lineRule="auto"/>
                    <w:ind w:firstLine="0" w:firstLineChars="0"/>
                    <w:jc w:val="center"/>
                    <w:rPr>
                      <w:rFonts w:cs="Times New Roman"/>
                      <w:b/>
                      <w:bCs/>
                      <w:color w:val="auto"/>
                      <w:szCs w:val="21"/>
                    </w:rPr>
                  </w:pPr>
                  <w:r>
                    <w:rPr>
                      <w:rFonts w:cs="Times New Roman"/>
                      <w:b/>
                      <w:bCs/>
                      <w:color w:val="auto"/>
                      <w:szCs w:val="21"/>
                    </w:rPr>
                    <w:t>非正常排放原因</w:t>
                  </w:r>
                </w:p>
              </w:tc>
              <w:tc>
                <w:tcPr>
                  <w:tcW w:w="513" w:type="pct"/>
                  <w:tcMar>
                    <w:top w:w="0" w:type="dxa"/>
                    <w:left w:w="108" w:type="dxa"/>
                    <w:bottom w:w="0" w:type="dxa"/>
                    <w:right w:w="108" w:type="dxa"/>
                  </w:tcMar>
                  <w:vAlign w:val="center"/>
                </w:tcPr>
                <w:p w14:paraId="121B67D5">
                  <w:pPr>
                    <w:pStyle w:val="89"/>
                    <w:adjustRightInd w:val="0"/>
                    <w:snapToGrid w:val="0"/>
                    <w:spacing w:before="0" w:beforeLines="0" w:line="240" w:lineRule="auto"/>
                    <w:ind w:firstLine="0" w:firstLineChars="0"/>
                    <w:jc w:val="center"/>
                    <w:rPr>
                      <w:rFonts w:cs="Times New Roman"/>
                      <w:b/>
                      <w:bCs/>
                      <w:color w:val="auto"/>
                      <w:szCs w:val="21"/>
                    </w:rPr>
                  </w:pPr>
                  <w:r>
                    <w:rPr>
                      <w:rFonts w:cs="Times New Roman"/>
                      <w:b/>
                      <w:bCs/>
                      <w:color w:val="auto"/>
                      <w:szCs w:val="21"/>
                    </w:rPr>
                    <w:t>污染物</w:t>
                  </w:r>
                </w:p>
              </w:tc>
              <w:tc>
                <w:tcPr>
                  <w:tcW w:w="666" w:type="pct"/>
                  <w:tcMar>
                    <w:top w:w="0" w:type="dxa"/>
                    <w:left w:w="108" w:type="dxa"/>
                    <w:bottom w:w="0" w:type="dxa"/>
                    <w:right w:w="108" w:type="dxa"/>
                  </w:tcMar>
                  <w:vAlign w:val="center"/>
                </w:tcPr>
                <w:p w14:paraId="406B0FB3">
                  <w:pPr>
                    <w:pStyle w:val="89"/>
                    <w:adjustRightInd w:val="0"/>
                    <w:snapToGrid w:val="0"/>
                    <w:spacing w:before="0" w:beforeLines="0" w:line="240" w:lineRule="auto"/>
                    <w:ind w:firstLine="0" w:firstLineChars="0"/>
                    <w:jc w:val="center"/>
                    <w:rPr>
                      <w:rFonts w:cs="Times New Roman"/>
                      <w:b/>
                      <w:bCs/>
                      <w:color w:val="auto"/>
                      <w:szCs w:val="21"/>
                    </w:rPr>
                  </w:pPr>
                  <w:r>
                    <w:rPr>
                      <w:rFonts w:cs="Times New Roman"/>
                      <w:b/>
                      <w:bCs/>
                      <w:color w:val="auto"/>
                      <w:szCs w:val="21"/>
                    </w:rPr>
                    <w:t>非正常排放速率/（kg/h）</w:t>
                  </w:r>
                </w:p>
              </w:tc>
              <w:tc>
                <w:tcPr>
                  <w:tcW w:w="845" w:type="pct"/>
                  <w:tcMar>
                    <w:top w:w="0" w:type="dxa"/>
                    <w:left w:w="108" w:type="dxa"/>
                    <w:bottom w:w="0" w:type="dxa"/>
                    <w:right w:w="108" w:type="dxa"/>
                  </w:tcMar>
                  <w:vAlign w:val="center"/>
                </w:tcPr>
                <w:p w14:paraId="66461E24">
                  <w:pPr>
                    <w:pStyle w:val="89"/>
                    <w:adjustRightInd w:val="0"/>
                    <w:snapToGrid w:val="0"/>
                    <w:spacing w:before="0" w:beforeLines="0" w:line="240" w:lineRule="auto"/>
                    <w:ind w:firstLine="0" w:firstLineChars="0"/>
                    <w:jc w:val="center"/>
                    <w:rPr>
                      <w:rFonts w:cs="Times New Roman"/>
                      <w:b/>
                      <w:bCs/>
                      <w:color w:val="auto"/>
                      <w:szCs w:val="21"/>
                    </w:rPr>
                  </w:pPr>
                  <w:r>
                    <w:rPr>
                      <w:rFonts w:cs="Times New Roman"/>
                      <w:b/>
                      <w:bCs/>
                      <w:color w:val="auto"/>
                      <w:szCs w:val="21"/>
                    </w:rPr>
                    <w:t>非正常排放浓度/（mg/m</w:t>
                  </w:r>
                  <w:r>
                    <w:rPr>
                      <w:rFonts w:cs="Times New Roman"/>
                      <w:b/>
                      <w:bCs/>
                      <w:color w:val="auto"/>
                      <w:szCs w:val="21"/>
                      <w:vertAlign w:val="superscript"/>
                    </w:rPr>
                    <w:t>3</w:t>
                  </w:r>
                  <w:r>
                    <w:rPr>
                      <w:rFonts w:cs="Times New Roman"/>
                      <w:b/>
                      <w:bCs/>
                      <w:color w:val="auto"/>
                      <w:szCs w:val="21"/>
                    </w:rPr>
                    <w:t>）</w:t>
                  </w:r>
                </w:p>
              </w:tc>
              <w:tc>
                <w:tcPr>
                  <w:tcW w:w="466" w:type="pct"/>
                  <w:tcMar>
                    <w:top w:w="0" w:type="dxa"/>
                    <w:left w:w="108" w:type="dxa"/>
                    <w:bottom w:w="0" w:type="dxa"/>
                    <w:right w:w="108" w:type="dxa"/>
                  </w:tcMar>
                  <w:vAlign w:val="center"/>
                </w:tcPr>
                <w:p w14:paraId="2AFF3C4C">
                  <w:pPr>
                    <w:pStyle w:val="89"/>
                    <w:adjustRightInd w:val="0"/>
                    <w:snapToGrid w:val="0"/>
                    <w:spacing w:before="0" w:beforeLines="0" w:line="240" w:lineRule="auto"/>
                    <w:ind w:firstLine="0" w:firstLineChars="0"/>
                    <w:jc w:val="center"/>
                    <w:rPr>
                      <w:rFonts w:cs="Times New Roman"/>
                      <w:b/>
                      <w:bCs/>
                      <w:color w:val="auto"/>
                      <w:szCs w:val="21"/>
                    </w:rPr>
                  </w:pPr>
                  <w:r>
                    <w:rPr>
                      <w:rFonts w:cs="Times New Roman"/>
                      <w:b/>
                      <w:bCs/>
                      <w:color w:val="auto"/>
                      <w:szCs w:val="21"/>
                    </w:rPr>
                    <w:t>单次持续时间/h</w:t>
                  </w:r>
                </w:p>
              </w:tc>
              <w:tc>
                <w:tcPr>
                  <w:tcW w:w="377" w:type="pct"/>
                  <w:tcMar>
                    <w:top w:w="0" w:type="dxa"/>
                    <w:left w:w="108" w:type="dxa"/>
                    <w:bottom w:w="0" w:type="dxa"/>
                    <w:right w:w="108" w:type="dxa"/>
                  </w:tcMar>
                  <w:vAlign w:val="center"/>
                </w:tcPr>
                <w:p w14:paraId="1CB8F4B2">
                  <w:pPr>
                    <w:pStyle w:val="89"/>
                    <w:adjustRightInd w:val="0"/>
                    <w:snapToGrid w:val="0"/>
                    <w:spacing w:before="0" w:beforeLines="0" w:line="240" w:lineRule="auto"/>
                    <w:ind w:firstLine="0" w:firstLineChars="0"/>
                    <w:jc w:val="center"/>
                    <w:rPr>
                      <w:rFonts w:cs="Times New Roman"/>
                      <w:b/>
                      <w:bCs/>
                      <w:color w:val="auto"/>
                      <w:szCs w:val="21"/>
                    </w:rPr>
                  </w:pPr>
                  <w:r>
                    <w:rPr>
                      <w:rFonts w:cs="Times New Roman"/>
                      <w:b/>
                      <w:bCs/>
                      <w:color w:val="auto"/>
                      <w:szCs w:val="21"/>
                    </w:rPr>
                    <w:t>年发生频次/次</w:t>
                  </w:r>
                </w:p>
              </w:tc>
              <w:tc>
                <w:tcPr>
                  <w:tcW w:w="786" w:type="pct"/>
                  <w:tcMar>
                    <w:top w:w="0" w:type="dxa"/>
                    <w:left w:w="108" w:type="dxa"/>
                    <w:bottom w:w="0" w:type="dxa"/>
                    <w:right w:w="108" w:type="dxa"/>
                  </w:tcMar>
                  <w:vAlign w:val="center"/>
                </w:tcPr>
                <w:p w14:paraId="7E901645">
                  <w:pPr>
                    <w:pStyle w:val="89"/>
                    <w:adjustRightInd w:val="0"/>
                    <w:snapToGrid w:val="0"/>
                    <w:spacing w:before="0" w:beforeLines="0" w:line="240" w:lineRule="auto"/>
                    <w:ind w:firstLine="0" w:firstLineChars="0"/>
                    <w:jc w:val="center"/>
                    <w:rPr>
                      <w:rFonts w:cs="Times New Roman"/>
                      <w:b/>
                      <w:bCs/>
                      <w:color w:val="auto"/>
                      <w:szCs w:val="21"/>
                    </w:rPr>
                  </w:pPr>
                  <w:r>
                    <w:rPr>
                      <w:rFonts w:cs="Times New Roman"/>
                      <w:b/>
                      <w:bCs/>
                      <w:color w:val="auto"/>
                      <w:szCs w:val="21"/>
                    </w:rPr>
                    <w:t>非正常排放量/（kg）</w:t>
                  </w:r>
                </w:p>
              </w:tc>
              <w:tc>
                <w:tcPr>
                  <w:tcW w:w="462" w:type="pct"/>
                  <w:tcMar>
                    <w:top w:w="0" w:type="dxa"/>
                    <w:left w:w="108" w:type="dxa"/>
                    <w:bottom w:w="0" w:type="dxa"/>
                    <w:right w:w="108" w:type="dxa"/>
                  </w:tcMar>
                  <w:vAlign w:val="center"/>
                </w:tcPr>
                <w:p w14:paraId="78B34B73">
                  <w:pPr>
                    <w:pStyle w:val="89"/>
                    <w:adjustRightInd w:val="0"/>
                    <w:snapToGrid w:val="0"/>
                    <w:spacing w:before="0" w:beforeLines="0" w:line="240" w:lineRule="auto"/>
                    <w:ind w:firstLine="0" w:firstLineChars="0"/>
                    <w:jc w:val="center"/>
                    <w:rPr>
                      <w:rFonts w:cs="Times New Roman"/>
                      <w:b/>
                      <w:bCs/>
                      <w:color w:val="auto"/>
                      <w:szCs w:val="21"/>
                    </w:rPr>
                  </w:pPr>
                  <w:r>
                    <w:rPr>
                      <w:rFonts w:cs="Times New Roman"/>
                      <w:b/>
                      <w:bCs/>
                      <w:color w:val="auto"/>
                      <w:szCs w:val="21"/>
                    </w:rPr>
                    <w:t>应对措施</w:t>
                  </w:r>
                </w:p>
              </w:tc>
            </w:tr>
            <w:tr w14:paraId="7873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0" w:type="pct"/>
                  <w:tcMar>
                    <w:top w:w="0" w:type="dxa"/>
                    <w:left w:w="108" w:type="dxa"/>
                    <w:bottom w:w="0" w:type="dxa"/>
                    <w:right w:w="108" w:type="dxa"/>
                  </w:tcMar>
                  <w:vAlign w:val="center"/>
                </w:tcPr>
                <w:p w14:paraId="0A094174">
                  <w:pPr>
                    <w:widowControl/>
                    <w:jc w:val="center"/>
                    <w:rPr>
                      <w:color w:val="auto"/>
                      <w:szCs w:val="21"/>
                    </w:rPr>
                  </w:pPr>
                  <w:r>
                    <w:rPr>
                      <w:color w:val="auto"/>
                      <w:szCs w:val="21"/>
                    </w:rPr>
                    <w:t>DA001</w:t>
                  </w:r>
                </w:p>
              </w:tc>
              <w:tc>
                <w:tcPr>
                  <w:tcW w:w="381" w:type="pct"/>
                  <w:tcMar>
                    <w:top w:w="0" w:type="dxa"/>
                    <w:left w:w="108" w:type="dxa"/>
                    <w:bottom w:w="0" w:type="dxa"/>
                    <w:right w:w="108" w:type="dxa"/>
                  </w:tcMar>
                  <w:vAlign w:val="center"/>
                </w:tcPr>
                <w:p w14:paraId="2020A342">
                  <w:pPr>
                    <w:pStyle w:val="89"/>
                    <w:adjustRightInd w:val="0"/>
                    <w:snapToGrid w:val="0"/>
                    <w:spacing w:before="0" w:beforeLines="0" w:line="240" w:lineRule="auto"/>
                    <w:ind w:firstLine="0" w:firstLineChars="0"/>
                    <w:jc w:val="center"/>
                    <w:rPr>
                      <w:rFonts w:cs="Times New Roman"/>
                      <w:color w:val="auto"/>
                      <w:szCs w:val="21"/>
                    </w:rPr>
                  </w:pPr>
                  <w:r>
                    <w:rPr>
                      <w:rFonts w:cs="Times New Roman"/>
                      <w:color w:val="auto"/>
                      <w:szCs w:val="21"/>
                    </w:rPr>
                    <w:t>废气处理装置失效</w:t>
                  </w:r>
                </w:p>
              </w:tc>
              <w:tc>
                <w:tcPr>
                  <w:tcW w:w="513" w:type="pct"/>
                  <w:tcMar>
                    <w:top w:w="0" w:type="dxa"/>
                    <w:left w:w="108" w:type="dxa"/>
                    <w:bottom w:w="0" w:type="dxa"/>
                    <w:right w:w="108" w:type="dxa"/>
                  </w:tcMar>
                  <w:vAlign w:val="center"/>
                </w:tcPr>
                <w:p w14:paraId="1F23E396">
                  <w:pPr>
                    <w:jc w:val="center"/>
                    <w:rPr>
                      <w:color w:val="auto"/>
                      <w:szCs w:val="21"/>
                    </w:rPr>
                  </w:pPr>
                  <w:r>
                    <w:rPr>
                      <w:color w:val="auto"/>
                      <w:szCs w:val="21"/>
                    </w:rPr>
                    <w:t>NMHC</w:t>
                  </w:r>
                </w:p>
              </w:tc>
              <w:tc>
                <w:tcPr>
                  <w:tcW w:w="666" w:type="pct"/>
                  <w:shd w:val="clear" w:color="auto" w:fill="auto"/>
                  <w:tcMar>
                    <w:top w:w="0" w:type="dxa"/>
                    <w:left w:w="108" w:type="dxa"/>
                    <w:bottom w:w="0" w:type="dxa"/>
                    <w:right w:w="108" w:type="dxa"/>
                  </w:tcMar>
                  <w:vAlign w:val="center"/>
                </w:tcPr>
                <w:p w14:paraId="3EDEA558">
                  <w:pPr>
                    <w:widowControl/>
                    <w:jc w:val="center"/>
                    <w:textAlignment w:val="center"/>
                    <w:rPr>
                      <w:rFonts w:hint="default" w:eastAsia="宋体"/>
                      <w:color w:val="auto"/>
                      <w:szCs w:val="21"/>
                      <w:lang w:val="en-US" w:eastAsia="zh-CN"/>
                    </w:rPr>
                  </w:pPr>
                  <w:r>
                    <w:rPr>
                      <w:rFonts w:hint="eastAsia"/>
                      <w:color w:val="auto"/>
                      <w:szCs w:val="21"/>
                      <w:lang w:val="en-US" w:eastAsia="zh-CN"/>
                    </w:rPr>
                    <w:t>0.019</w:t>
                  </w:r>
                </w:p>
              </w:tc>
              <w:tc>
                <w:tcPr>
                  <w:tcW w:w="845" w:type="pct"/>
                  <w:shd w:val="clear" w:color="auto" w:fill="auto"/>
                  <w:tcMar>
                    <w:top w:w="0" w:type="dxa"/>
                    <w:left w:w="108" w:type="dxa"/>
                    <w:bottom w:w="0" w:type="dxa"/>
                    <w:right w:w="108" w:type="dxa"/>
                  </w:tcMar>
                  <w:vAlign w:val="center"/>
                </w:tcPr>
                <w:p w14:paraId="7E79EF1E">
                  <w:pPr>
                    <w:widowControl/>
                    <w:jc w:val="center"/>
                    <w:textAlignment w:val="center"/>
                    <w:rPr>
                      <w:rFonts w:hint="default" w:eastAsia="宋体"/>
                      <w:color w:val="auto"/>
                      <w:szCs w:val="21"/>
                      <w:lang w:val="en-US" w:eastAsia="zh-CN"/>
                    </w:rPr>
                  </w:pPr>
                  <w:r>
                    <w:rPr>
                      <w:rFonts w:hint="eastAsia"/>
                      <w:color w:val="auto"/>
                      <w:szCs w:val="21"/>
                      <w:lang w:val="en-US" w:eastAsia="zh-CN"/>
                    </w:rPr>
                    <w:t>12.65</w:t>
                  </w:r>
                </w:p>
              </w:tc>
              <w:tc>
                <w:tcPr>
                  <w:tcW w:w="466" w:type="pct"/>
                  <w:tcMar>
                    <w:top w:w="0" w:type="dxa"/>
                    <w:left w:w="108" w:type="dxa"/>
                    <w:bottom w:w="0" w:type="dxa"/>
                    <w:right w:w="108" w:type="dxa"/>
                  </w:tcMar>
                  <w:vAlign w:val="center"/>
                </w:tcPr>
                <w:p w14:paraId="26D73D0C">
                  <w:pPr>
                    <w:widowControl/>
                    <w:jc w:val="center"/>
                    <w:textAlignment w:val="center"/>
                    <w:rPr>
                      <w:color w:val="auto"/>
                      <w:kern w:val="0"/>
                      <w:szCs w:val="21"/>
                      <w:lang w:bidi="ar"/>
                    </w:rPr>
                  </w:pPr>
                  <w:r>
                    <w:rPr>
                      <w:color w:val="auto"/>
                      <w:kern w:val="0"/>
                      <w:szCs w:val="21"/>
                      <w:lang w:bidi="ar"/>
                    </w:rPr>
                    <w:t>1</w:t>
                  </w:r>
                </w:p>
              </w:tc>
              <w:tc>
                <w:tcPr>
                  <w:tcW w:w="377" w:type="pct"/>
                  <w:tcMar>
                    <w:top w:w="0" w:type="dxa"/>
                    <w:left w:w="108" w:type="dxa"/>
                    <w:bottom w:w="0" w:type="dxa"/>
                    <w:right w:w="108" w:type="dxa"/>
                  </w:tcMar>
                  <w:vAlign w:val="center"/>
                </w:tcPr>
                <w:p w14:paraId="2A4DC59C">
                  <w:pPr>
                    <w:widowControl/>
                    <w:jc w:val="center"/>
                    <w:textAlignment w:val="center"/>
                    <w:rPr>
                      <w:color w:val="auto"/>
                      <w:kern w:val="0"/>
                      <w:szCs w:val="21"/>
                      <w:lang w:bidi="ar"/>
                    </w:rPr>
                  </w:pPr>
                  <w:r>
                    <w:rPr>
                      <w:color w:val="auto"/>
                      <w:kern w:val="0"/>
                      <w:szCs w:val="21"/>
                      <w:lang w:bidi="ar"/>
                    </w:rPr>
                    <w:t>1</w:t>
                  </w:r>
                </w:p>
              </w:tc>
              <w:tc>
                <w:tcPr>
                  <w:tcW w:w="786" w:type="pct"/>
                  <w:tcMar>
                    <w:top w:w="0" w:type="dxa"/>
                    <w:left w:w="108" w:type="dxa"/>
                    <w:bottom w:w="0" w:type="dxa"/>
                    <w:right w:w="108" w:type="dxa"/>
                  </w:tcMar>
                  <w:vAlign w:val="center"/>
                </w:tcPr>
                <w:p w14:paraId="04A2B9C2">
                  <w:pPr>
                    <w:widowControl/>
                    <w:jc w:val="center"/>
                    <w:textAlignment w:val="center"/>
                    <w:rPr>
                      <w:rFonts w:hint="eastAsia" w:eastAsia="宋体"/>
                      <w:color w:val="auto"/>
                      <w:kern w:val="0"/>
                      <w:szCs w:val="21"/>
                      <w:lang w:eastAsia="zh-CN" w:bidi="ar"/>
                    </w:rPr>
                  </w:pPr>
                  <w:r>
                    <w:rPr>
                      <w:color w:val="auto"/>
                      <w:kern w:val="0"/>
                      <w:szCs w:val="21"/>
                      <w:lang w:bidi="ar"/>
                    </w:rPr>
                    <w:t>0.01</w:t>
                  </w:r>
                  <w:r>
                    <w:rPr>
                      <w:rFonts w:hint="eastAsia"/>
                      <w:color w:val="auto"/>
                      <w:kern w:val="0"/>
                      <w:szCs w:val="21"/>
                      <w:lang w:val="en-US" w:eastAsia="zh-CN" w:bidi="ar"/>
                    </w:rPr>
                    <w:t>9</w:t>
                  </w:r>
                </w:p>
              </w:tc>
              <w:tc>
                <w:tcPr>
                  <w:tcW w:w="462" w:type="pct"/>
                  <w:tcMar>
                    <w:top w:w="0" w:type="dxa"/>
                    <w:left w:w="108" w:type="dxa"/>
                    <w:bottom w:w="0" w:type="dxa"/>
                    <w:right w:w="108" w:type="dxa"/>
                  </w:tcMar>
                  <w:vAlign w:val="center"/>
                </w:tcPr>
                <w:p w14:paraId="71BCF0E9">
                  <w:pPr>
                    <w:pStyle w:val="89"/>
                    <w:adjustRightInd w:val="0"/>
                    <w:snapToGrid w:val="0"/>
                    <w:spacing w:before="0" w:beforeLines="0" w:line="240" w:lineRule="auto"/>
                    <w:ind w:firstLine="0" w:firstLineChars="0"/>
                    <w:jc w:val="center"/>
                    <w:rPr>
                      <w:rFonts w:cs="Times New Roman"/>
                      <w:color w:val="auto"/>
                      <w:szCs w:val="21"/>
                    </w:rPr>
                  </w:pPr>
                  <w:r>
                    <w:rPr>
                      <w:rFonts w:cs="Times New Roman"/>
                      <w:color w:val="auto"/>
                      <w:szCs w:val="21"/>
                    </w:rPr>
                    <w:t>停止生产，检修</w:t>
                  </w:r>
                </w:p>
              </w:tc>
            </w:tr>
          </w:tbl>
          <w:p w14:paraId="6FAC4D1A">
            <w:pPr>
              <w:pStyle w:val="35"/>
              <w:spacing w:line="360" w:lineRule="auto"/>
              <w:ind w:firstLineChars="200"/>
              <w:rPr>
                <w:color w:val="auto"/>
                <w:sz w:val="24"/>
                <w:szCs w:val="24"/>
              </w:rPr>
            </w:pPr>
            <w:r>
              <w:rPr>
                <w:color w:val="auto"/>
                <w:sz w:val="24"/>
                <w:szCs w:val="24"/>
              </w:rPr>
              <w:t>本次非正常排放情况下，污染物对周围环境会造成一定影响。为杜绝废气非正常排放，应定期维护、检修废气净化装置，以保持废气处理装置的净化能力和净化容量，遇到废气处理设施故障时应立即停止生产进行检修。</w:t>
            </w:r>
          </w:p>
          <w:p w14:paraId="4016C745">
            <w:pPr>
              <w:snapToGrid w:val="0"/>
              <w:spacing w:line="360" w:lineRule="auto"/>
              <w:ind w:firstLine="482" w:firstLineChars="200"/>
              <w:jc w:val="left"/>
              <w:rPr>
                <w:color w:val="auto"/>
                <w:sz w:val="24"/>
                <w:szCs w:val="24"/>
              </w:rPr>
            </w:pPr>
            <w:r>
              <w:rPr>
                <w:b/>
                <w:bCs/>
                <w:color w:val="auto"/>
                <w:sz w:val="24"/>
                <w:szCs w:val="24"/>
              </w:rPr>
              <w:t>6、自行监测要求</w:t>
            </w:r>
          </w:p>
          <w:p w14:paraId="44E78067">
            <w:pPr>
              <w:spacing w:line="360" w:lineRule="auto"/>
              <w:ind w:firstLine="480" w:firstLineChars="200"/>
              <w:contextualSpacing/>
              <w:rPr>
                <w:color w:val="auto"/>
                <w:sz w:val="24"/>
                <w:szCs w:val="24"/>
              </w:rPr>
            </w:pPr>
            <w:r>
              <w:rPr>
                <w:color w:val="auto"/>
                <w:sz w:val="24"/>
                <w:szCs w:val="24"/>
              </w:rPr>
              <w:t>根据《排污单位自行监测技术指南 总则》（HJ819-2017）、《排污许可证申请与核发技术规范 农药制造工业》（HJ 862-2017）、《排污单位自行监测技术指南 农药制造工业》（HJ 987-2018）中的废气监测要求，项目废气排放口属于一般排放口，运营期自行监测计划参照简化管理制定。</w:t>
            </w:r>
          </w:p>
          <w:p w14:paraId="0035BD33">
            <w:pPr>
              <w:spacing w:line="360" w:lineRule="auto"/>
              <w:ind w:firstLine="480" w:firstLineChars="200"/>
              <w:contextualSpacing/>
              <w:rPr>
                <w:color w:val="auto"/>
                <w:sz w:val="24"/>
                <w:szCs w:val="24"/>
              </w:rPr>
            </w:pPr>
            <w:r>
              <w:rPr>
                <w:color w:val="auto"/>
                <w:sz w:val="24"/>
                <w:szCs w:val="24"/>
              </w:rPr>
              <w:t>项目废气监测计划见下表：</w:t>
            </w:r>
          </w:p>
          <w:p w14:paraId="28A7EF79">
            <w:pPr>
              <w:pStyle w:val="164"/>
              <w:rPr>
                <w:color w:val="auto"/>
                <w:sz w:val="24"/>
                <w:szCs w:val="24"/>
              </w:rPr>
            </w:pPr>
            <w:r>
              <w:rPr>
                <w:color w:val="auto"/>
                <w:sz w:val="24"/>
                <w:szCs w:val="24"/>
              </w:rPr>
              <w:t>表</w:t>
            </w:r>
            <w:r>
              <w:rPr>
                <w:color w:val="auto"/>
                <w:sz w:val="24"/>
                <w:szCs w:val="24"/>
              </w:rPr>
              <w:fldChar w:fldCharType="begin"/>
            </w:r>
            <w:r>
              <w:rPr>
                <w:color w:val="auto"/>
                <w:sz w:val="24"/>
                <w:szCs w:val="24"/>
              </w:rPr>
              <w:instrText xml:space="preserve"> SEQ 表 \* ARABIC </w:instrText>
            </w:r>
            <w:r>
              <w:rPr>
                <w:color w:val="auto"/>
                <w:sz w:val="24"/>
                <w:szCs w:val="24"/>
              </w:rPr>
              <w:fldChar w:fldCharType="separate"/>
            </w:r>
            <w:r>
              <w:rPr>
                <w:color w:val="auto"/>
                <w:sz w:val="24"/>
                <w:szCs w:val="24"/>
              </w:rPr>
              <w:t>38</w:t>
            </w:r>
            <w:r>
              <w:rPr>
                <w:color w:val="auto"/>
                <w:sz w:val="24"/>
                <w:szCs w:val="24"/>
              </w:rPr>
              <w:fldChar w:fldCharType="end"/>
            </w:r>
            <w:r>
              <w:rPr>
                <w:color w:val="auto"/>
                <w:sz w:val="24"/>
                <w:szCs w:val="24"/>
              </w:rPr>
              <w:t xml:space="preserve"> 废气监测计划表</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1785"/>
              <w:gridCol w:w="1145"/>
              <w:gridCol w:w="4274"/>
            </w:tblGrid>
            <w:tr w14:paraId="1D12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pct"/>
                  <w:vAlign w:val="center"/>
                </w:tcPr>
                <w:p w14:paraId="4D9AB34C">
                  <w:pPr>
                    <w:adjustRightInd w:val="0"/>
                    <w:snapToGrid w:val="0"/>
                    <w:jc w:val="center"/>
                    <w:rPr>
                      <w:b/>
                      <w:bCs/>
                      <w:color w:val="auto"/>
                      <w:szCs w:val="21"/>
                    </w:rPr>
                  </w:pPr>
                  <w:r>
                    <w:rPr>
                      <w:b/>
                      <w:bCs/>
                      <w:color w:val="auto"/>
                      <w:szCs w:val="21"/>
                    </w:rPr>
                    <w:t>监测点位</w:t>
                  </w:r>
                </w:p>
              </w:tc>
              <w:tc>
                <w:tcPr>
                  <w:tcW w:w="1049" w:type="pct"/>
                  <w:vAlign w:val="center"/>
                </w:tcPr>
                <w:p w14:paraId="42DD57A1">
                  <w:pPr>
                    <w:adjustRightInd w:val="0"/>
                    <w:snapToGrid w:val="0"/>
                    <w:jc w:val="center"/>
                    <w:rPr>
                      <w:b/>
                      <w:bCs/>
                      <w:color w:val="auto"/>
                      <w:szCs w:val="21"/>
                    </w:rPr>
                  </w:pPr>
                  <w:r>
                    <w:rPr>
                      <w:b/>
                      <w:bCs/>
                      <w:color w:val="auto"/>
                      <w:szCs w:val="21"/>
                    </w:rPr>
                    <w:t>监测指标</w:t>
                  </w:r>
                </w:p>
              </w:tc>
              <w:tc>
                <w:tcPr>
                  <w:tcW w:w="673" w:type="pct"/>
                  <w:vAlign w:val="center"/>
                </w:tcPr>
                <w:p w14:paraId="4077A058">
                  <w:pPr>
                    <w:adjustRightInd w:val="0"/>
                    <w:snapToGrid w:val="0"/>
                    <w:jc w:val="center"/>
                    <w:rPr>
                      <w:b/>
                      <w:bCs/>
                      <w:color w:val="auto"/>
                      <w:szCs w:val="21"/>
                    </w:rPr>
                  </w:pPr>
                  <w:r>
                    <w:rPr>
                      <w:b/>
                      <w:bCs/>
                      <w:color w:val="auto"/>
                      <w:szCs w:val="21"/>
                    </w:rPr>
                    <w:t>监测频次</w:t>
                  </w:r>
                </w:p>
              </w:tc>
              <w:tc>
                <w:tcPr>
                  <w:tcW w:w="2512" w:type="pct"/>
                  <w:vAlign w:val="center"/>
                </w:tcPr>
                <w:p w14:paraId="484F162D">
                  <w:pPr>
                    <w:adjustRightInd w:val="0"/>
                    <w:snapToGrid w:val="0"/>
                    <w:jc w:val="center"/>
                    <w:rPr>
                      <w:b/>
                      <w:bCs/>
                      <w:color w:val="auto"/>
                      <w:szCs w:val="21"/>
                    </w:rPr>
                  </w:pPr>
                  <w:r>
                    <w:rPr>
                      <w:b/>
                      <w:bCs/>
                      <w:color w:val="auto"/>
                      <w:szCs w:val="21"/>
                    </w:rPr>
                    <w:t>执行标准</w:t>
                  </w:r>
                </w:p>
              </w:tc>
            </w:tr>
            <w:tr w14:paraId="1F61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65" w:type="pct"/>
                  <w:vMerge w:val="restart"/>
                  <w:vAlign w:val="center"/>
                </w:tcPr>
                <w:p w14:paraId="6E3AD40C">
                  <w:pPr>
                    <w:adjustRightInd w:val="0"/>
                    <w:snapToGrid w:val="0"/>
                    <w:jc w:val="center"/>
                    <w:rPr>
                      <w:color w:val="auto"/>
                      <w:szCs w:val="21"/>
                    </w:rPr>
                  </w:pPr>
                  <w:r>
                    <w:rPr>
                      <w:color w:val="auto"/>
                      <w:szCs w:val="21"/>
                    </w:rPr>
                    <w:t>DA001废气排放口（一般排放口）</w:t>
                  </w:r>
                </w:p>
              </w:tc>
              <w:tc>
                <w:tcPr>
                  <w:tcW w:w="1049" w:type="pct"/>
                  <w:vAlign w:val="center"/>
                </w:tcPr>
                <w:p w14:paraId="61E5AF84">
                  <w:pPr>
                    <w:adjustRightInd w:val="0"/>
                    <w:snapToGrid w:val="0"/>
                    <w:jc w:val="center"/>
                    <w:rPr>
                      <w:color w:val="auto"/>
                      <w:szCs w:val="21"/>
                    </w:rPr>
                  </w:pPr>
                  <w:r>
                    <w:rPr>
                      <w:color w:val="auto"/>
                      <w:szCs w:val="21"/>
                    </w:rPr>
                    <w:t>非甲烷总烃</w:t>
                  </w:r>
                </w:p>
              </w:tc>
              <w:tc>
                <w:tcPr>
                  <w:tcW w:w="673" w:type="pct"/>
                  <w:vAlign w:val="center"/>
                </w:tcPr>
                <w:p w14:paraId="438B4F2B">
                  <w:pPr>
                    <w:adjustRightInd w:val="0"/>
                    <w:snapToGrid w:val="0"/>
                    <w:jc w:val="center"/>
                    <w:rPr>
                      <w:color w:val="auto"/>
                      <w:szCs w:val="21"/>
                    </w:rPr>
                  </w:pPr>
                  <w:r>
                    <w:rPr>
                      <w:color w:val="auto"/>
                      <w:szCs w:val="21"/>
                    </w:rPr>
                    <w:t>1次/季度</w:t>
                  </w:r>
                </w:p>
              </w:tc>
              <w:tc>
                <w:tcPr>
                  <w:tcW w:w="2512" w:type="pct"/>
                  <w:vAlign w:val="center"/>
                </w:tcPr>
                <w:p w14:paraId="5268F3E5">
                  <w:pPr>
                    <w:adjustRightInd w:val="0"/>
                    <w:snapToGrid w:val="0"/>
                    <w:jc w:val="center"/>
                    <w:rPr>
                      <w:color w:val="auto"/>
                      <w:szCs w:val="21"/>
                    </w:rPr>
                  </w:pPr>
                  <w:r>
                    <w:rPr>
                      <w:color w:val="auto"/>
                      <w:szCs w:val="21"/>
                    </w:rPr>
                    <w:t>《农药制造工业大气污染物排放标准》（GB39727-2020）表1大气污染物排放限值中的“其它农药制造工艺废气”标准要求</w:t>
                  </w:r>
                </w:p>
              </w:tc>
            </w:tr>
            <w:tr w14:paraId="65FD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pct"/>
                  <w:vMerge w:val="continue"/>
                  <w:vAlign w:val="center"/>
                </w:tcPr>
                <w:p w14:paraId="796322F0">
                  <w:pPr>
                    <w:adjustRightInd w:val="0"/>
                    <w:snapToGrid w:val="0"/>
                    <w:jc w:val="center"/>
                    <w:rPr>
                      <w:color w:val="auto"/>
                      <w:szCs w:val="21"/>
                    </w:rPr>
                  </w:pPr>
                </w:p>
              </w:tc>
              <w:tc>
                <w:tcPr>
                  <w:tcW w:w="1049" w:type="pct"/>
                  <w:vAlign w:val="center"/>
                </w:tcPr>
                <w:p w14:paraId="6B403750">
                  <w:pPr>
                    <w:adjustRightInd w:val="0"/>
                    <w:snapToGrid w:val="0"/>
                    <w:jc w:val="center"/>
                    <w:rPr>
                      <w:rFonts w:hint="default" w:eastAsia="宋体"/>
                      <w:color w:val="auto"/>
                      <w:szCs w:val="21"/>
                      <w:lang w:val="en-US" w:eastAsia="zh-CN"/>
                    </w:rPr>
                  </w:pPr>
                  <w:r>
                    <w:rPr>
                      <w:rFonts w:hint="eastAsia"/>
                      <w:color w:val="auto"/>
                      <w:szCs w:val="21"/>
                      <w:lang w:val="en-US" w:eastAsia="zh-CN"/>
                    </w:rPr>
                    <w:t>臭气浓度</w:t>
                  </w:r>
                </w:p>
              </w:tc>
              <w:tc>
                <w:tcPr>
                  <w:tcW w:w="673" w:type="pct"/>
                  <w:vAlign w:val="center"/>
                </w:tcPr>
                <w:p w14:paraId="1996E815">
                  <w:pPr>
                    <w:adjustRightInd w:val="0"/>
                    <w:snapToGrid w:val="0"/>
                    <w:jc w:val="center"/>
                    <w:rPr>
                      <w:color w:val="auto"/>
                      <w:szCs w:val="21"/>
                    </w:rPr>
                  </w:pPr>
                  <w:r>
                    <w:rPr>
                      <w:color w:val="auto"/>
                      <w:szCs w:val="21"/>
                    </w:rPr>
                    <w:t>1次/年</w:t>
                  </w:r>
                </w:p>
              </w:tc>
              <w:tc>
                <w:tcPr>
                  <w:tcW w:w="2512" w:type="pct"/>
                  <w:vAlign w:val="center"/>
                </w:tcPr>
                <w:p w14:paraId="4D523662">
                  <w:pPr>
                    <w:adjustRightInd w:val="0"/>
                    <w:snapToGrid w:val="0"/>
                    <w:jc w:val="center"/>
                    <w:rPr>
                      <w:color w:val="auto"/>
                      <w:szCs w:val="21"/>
                    </w:rPr>
                  </w:pPr>
                  <w:r>
                    <w:rPr>
                      <w:rFonts w:hint="eastAsia" w:ascii="Times New Roman" w:hAnsi="Times New Roman" w:eastAsia="宋体" w:cs="Times New Roman"/>
                      <w:color w:val="auto"/>
                      <w:szCs w:val="21"/>
                      <w:lang w:val="en-US" w:eastAsia="zh-CN"/>
                    </w:rPr>
                    <w:t>《恶臭污染物排放标准》（</w:t>
                  </w:r>
                  <w:r>
                    <w:rPr>
                      <w:rFonts w:hint="default" w:ascii="Times New Roman" w:hAnsi="Times New Roman" w:eastAsia="宋体" w:cs="Times New Roman"/>
                      <w:color w:val="auto"/>
                      <w:szCs w:val="21"/>
                      <w:lang w:val="en-US" w:eastAsia="zh-CN"/>
                    </w:rPr>
                    <w:t>GB14554-93</w:t>
                  </w:r>
                  <w:r>
                    <w:rPr>
                      <w:rFonts w:hint="eastAsia" w:ascii="Times New Roman" w:hAnsi="Times New Roman" w:eastAsia="宋体" w:cs="Times New Roman"/>
                      <w:color w:val="auto"/>
                      <w:szCs w:val="21"/>
                      <w:lang w:val="en-US" w:eastAsia="zh-CN"/>
                    </w:rPr>
                    <w:t>）中表2标准要求</w:t>
                  </w:r>
                </w:p>
              </w:tc>
            </w:tr>
            <w:tr w14:paraId="386F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pct"/>
                  <w:shd w:val="clear" w:color="auto" w:fill="auto"/>
                  <w:vAlign w:val="center"/>
                </w:tcPr>
                <w:p w14:paraId="3DF349A3">
                  <w:pPr>
                    <w:adjustRightInd w:val="0"/>
                    <w:snapToGrid w:val="0"/>
                    <w:jc w:val="center"/>
                    <w:rPr>
                      <w:rFonts w:ascii="Times New Roman" w:hAnsi="Times New Roman" w:eastAsia="宋体" w:cs="Times New Roman"/>
                      <w:color w:val="auto"/>
                      <w:kern w:val="2"/>
                      <w:sz w:val="21"/>
                      <w:szCs w:val="21"/>
                      <w:lang w:val="en-US" w:eastAsia="zh-CN" w:bidi="ar-SA"/>
                    </w:rPr>
                  </w:pPr>
                  <w:r>
                    <w:rPr>
                      <w:color w:val="auto"/>
                      <w:szCs w:val="21"/>
                    </w:rPr>
                    <w:t>厂区内</w:t>
                  </w:r>
                </w:p>
              </w:tc>
              <w:tc>
                <w:tcPr>
                  <w:tcW w:w="1049" w:type="pct"/>
                  <w:shd w:val="clear" w:color="auto" w:fill="auto"/>
                  <w:vAlign w:val="center"/>
                </w:tcPr>
                <w:p w14:paraId="6F5FE0E8">
                  <w:pPr>
                    <w:adjustRightInd w:val="0"/>
                    <w:snapToGrid w:val="0"/>
                    <w:jc w:val="center"/>
                    <w:rPr>
                      <w:rFonts w:ascii="Times New Roman" w:hAnsi="Times New Roman" w:eastAsia="宋体" w:cs="Times New Roman"/>
                      <w:color w:val="auto"/>
                      <w:kern w:val="2"/>
                      <w:sz w:val="21"/>
                      <w:szCs w:val="21"/>
                      <w:lang w:val="en-US" w:eastAsia="zh-CN" w:bidi="ar-SA"/>
                    </w:rPr>
                  </w:pPr>
                  <w:r>
                    <w:rPr>
                      <w:color w:val="auto"/>
                      <w:szCs w:val="21"/>
                    </w:rPr>
                    <w:t>非甲烷总烃</w:t>
                  </w:r>
                </w:p>
              </w:tc>
              <w:tc>
                <w:tcPr>
                  <w:tcW w:w="673" w:type="pct"/>
                  <w:shd w:val="clear" w:color="auto" w:fill="auto"/>
                  <w:vAlign w:val="center"/>
                </w:tcPr>
                <w:p w14:paraId="635A7873">
                  <w:pPr>
                    <w:adjustRightInd w:val="0"/>
                    <w:snapToGrid w:val="0"/>
                    <w:jc w:val="center"/>
                    <w:rPr>
                      <w:rFonts w:ascii="Times New Roman" w:hAnsi="Times New Roman" w:eastAsia="宋体" w:cs="Times New Roman"/>
                      <w:color w:val="auto"/>
                      <w:kern w:val="2"/>
                      <w:sz w:val="21"/>
                      <w:szCs w:val="21"/>
                      <w:lang w:val="en-US" w:eastAsia="zh-CN" w:bidi="ar-SA"/>
                    </w:rPr>
                  </w:pPr>
                  <w:r>
                    <w:rPr>
                      <w:color w:val="auto"/>
                      <w:szCs w:val="21"/>
                    </w:rPr>
                    <w:t>1次/半年</w:t>
                  </w:r>
                </w:p>
              </w:tc>
              <w:tc>
                <w:tcPr>
                  <w:tcW w:w="2512" w:type="pct"/>
                  <w:shd w:val="clear" w:color="auto" w:fill="auto"/>
                  <w:vAlign w:val="center"/>
                </w:tcPr>
                <w:p w14:paraId="03B4D9C2">
                  <w:pPr>
                    <w:adjustRightInd w:val="0"/>
                    <w:snapToGrid w:val="0"/>
                    <w:jc w:val="center"/>
                    <w:rPr>
                      <w:rFonts w:ascii="Times New Roman" w:hAnsi="Times New Roman" w:eastAsia="宋体" w:cs="Times New Roman"/>
                      <w:color w:val="auto"/>
                      <w:kern w:val="2"/>
                      <w:sz w:val="21"/>
                      <w:szCs w:val="21"/>
                      <w:lang w:val="en-US" w:eastAsia="zh-CN" w:bidi="ar-SA"/>
                    </w:rPr>
                  </w:pPr>
                  <w:r>
                    <w:rPr>
                      <w:color w:val="auto"/>
                      <w:szCs w:val="21"/>
                    </w:rPr>
                    <w:t>《农药制造工业大气污染物排放标准》（GB39727-2020）附录C中表C.1厂区内VOCs无组织排放限值</w:t>
                  </w:r>
                </w:p>
              </w:tc>
            </w:tr>
            <w:tr w14:paraId="31A5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pct"/>
                  <w:vAlign w:val="center"/>
                </w:tcPr>
                <w:p w14:paraId="51003F9F">
                  <w:pPr>
                    <w:adjustRightInd w:val="0"/>
                    <w:snapToGrid w:val="0"/>
                    <w:jc w:val="center"/>
                    <w:rPr>
                      <w:rFonts w:hint="eastAsia" w:eastAsia="宋体"/>
                      <w:color w:val="auto"/>
                      <w:szCs w:val="21"/>
                      <w:lang w:val="en-US" w:eastAsia="zh-CN"/>
                    </w:rPr>
                  </w:pPr>
                  <w:r>
                    <w:rPr>
                      <w:rFonts w:hint="eastAsia"/>
                      <w:color w:val="auto"/>
                      <w:szCs w:val="21"/>
                      <w:lang w:val="en-US" w:eastAsia="zh-CN"/>
                    </w:rPr>
                    <w:t>厂界</w:t>
                  </w:r>
                </w:p>
              </w:tc>
              <w:tc>
                <w:tcPr>
                  <w:tcW w:w="1049" w:type="pct"/>
                  <w:vAlign w:val="center"/>
                </w:tcPr>
                <w:p w14:paraId="53522576">
                  <w:pPr>
                    <w:adjustRightInd w:val="0"/>
                    <w:snapToGrid w:val="0"/>
                    <w:jc w:val="center"/>
                    <w:rPr>
                      <w:rFonts w:hint="default" w:eastAsia="宋体"/>
                      <w:color w:val="auto"/>
                      <w:szCs w:val="21"/>
                      <w:lang w:val="en-US" w:eastAsia="zh-CN"/>
                    </w:rPr>
                  </w:pPr>
                  <w:r>
                    <w:rPr>
                      <w:rFonts w:hint="eastAsia"/>
                      <w:color w:val="auto"/>
                      <w:szCs w:val="21"/>
                      <w:lang w:val="en-US" w:eastAsia="zh-CN"/>
                    </w:rPr>
                    <w:t>臭气浓度</w:t>
                  </w:r>
                </w:p>
              </w:tc>
              <w:tc>
                <w:tcPr>
                  <w:tcW w:w="673" w:type="pct"/>
                  <w:vAlign w:val="center"/>
                </w:tcPr>
                <w:p w14:paraId="4D76EF72">
                  <w:pPr>
                    <w:adjustRightInd w:val="0"/>
                    <w:snapToGrid w:val="0"/>
                    <w:jc w:val="center"/>
                    <w:rPr>
                      <w:color w:val="auto"/>
                      <w:szCs w:val="21"/>
                    </w:rPr>
                  </w:pPr>
                  <w:r>
                    <w:rPr>
                      <w:color w:val="auto"/>
                      <w:szCs w:val="21"/>
                    </w:rPr>
                    <w:t>1次/半年</w:t>
                  </w:r>
                </w:p>
              </w:tc>
              <w:tc>
                <w:tcPr>
                  <w:tcW w:w="2512" w:type="pct"/>
                  <w:vAlign w:val="center"/>
                </w:tcPr>
                <w:p w14:paraId="040DEC4C">
                  <w:pPr>
                    <w:adjustRightInd w:val="0"/>
                    <w:snapToGrid w:val="0"/>
                    <w:jc w:val="center"/>
                    <w:rPr>
                      <w:color w:val="auto"/>
                      <w:szCs w:val="21"/>
                    </w:rPr>
                  </w:pPr>
                  <w:r>
                    <w:rPr>
                      <w:rFonts w:hint="eastAsia" w:ascii="Times New Roman" w:hAnsi="Times New Roman" w:eastAsia="宋体" w:cs="Times New Roman"/>
                      <w:color w:val="auto"/>
                      <w:szCs w:val="21"/>
                      <w:lang w:val="en-US" w:eastAsia="zh-CN"/>
                    </w:rPr>
                    <w:t>《恶臭污染物排放标准》（</w:t>
                  </w:r>
                  <w:r>
                    <w:rPr>
                      <w:rFonts w:hint="default" w:ascii="Times New Roman" w:hAnsi="Times New Roman" w:eastAsia="宋体" w:cs="Times New Roman"/>
                      <w:color w:val="auto"/>
                      <w:szCs w:val="21"/>
                      <w:lang w:val="en-US" w:eastAsia="zh-CN"/>
                    </w:rPr>
                    <w:t>GB14554-93</w:t>
                  </w:r>
                  <w:r>
                    <w:rPr>
                      <w:rFonts w:hint="eastAsia" w:ascii="Times New Roman" w:hAnsi="Times New Roman" w:eastAsia="宋体" w:cs="Times New Roman"/>
                      <w:color w:val="auto"/>
                      <w:szCs w:val="21"/>
                      <w:lang w:val="en-US" w:eastAsia="zh-CN"/>
                    </w:rPr>
                    <w:t>）中表1</w:t>
                  </w:r>
                  <w:r>
                    <w:rPr>
                      <w:rFonts w:hint="eastAsia" w:cs="Times New Roman"/>
                      <w:color w:val="auto"/>
                      <w:szCs w:val="21"/>
                      <w:lang w:val="en-US" w:eastAsia="zh-CN"/>
                    </w:rPr>
                    <w:t>新扩改建</w:t>
                  </w:r>
                  <w:r>
                    <w:rPr>
                      <w:rFonts w:hint="eastAsia" w:ascii="Times New Roman" w:hAnsi="Times New Roman" w:eastAsia="宋体" w:cs="Times New Roman"/>
                      <w:color w:val="auto"/>
                      <w:szCs w:val="21"/>
                      <w:lang w:val="en-US" w:eastAsia="zh-CN"/>
                    </w:rPr>
                    <w:t>的二级标准</w:t>
                  </w:r>
                </w:p>
              </w:tc>
            </w:tr>
          </w:tbl>
          <w:p w14:paraId="4629E547">
            <w:pPr>
              <w:rPr>
                <w:color w:val="auto"/>
              </w:rPr>
            </w:pPr>
          </w:p>
          <w:p w14:paraId="388EF2B7">
            <w:pPr>
              <w:pStyle w:val="35"/>
              <w:ind w:firstLine="0" w:firstLineChars="0"/>
              <w:rPr>
                <w:b/>
                <w:bCs/>
                <w:color w:val="auto"/>
                <w:sz w:val="24"/>
                <w:szCs w:val="24"/>
                <w:lang w:bidi="ar"/>
              </w:rPr>
            </w:pPr>
            <w:r>
              <w:rPr>
                <w:b/>
                <w:bCs/>
                <w:color w:val="auto"/>
                <w:sz w:val="24"/>
                <w:szCs w:val="24"/>
                <w:lang w:bidi="ar"/>
              </w:rPr>
              <w:t>二、废水</w:t>
            </w:r>
          </w:p>
          <w:p w14:paraId="5F021F89">
            <w:pPr>
              <w:adjustRightInd w:val="0"/>
              <w:snapToGrid w:val="0"/>
              <w:spacing w:line="360" w:lineRule="auto"/>
              <w:ind w:firstLine="442" w:firstLineChars="200"/>
              <w:rPr>
                <w:b/>
                <w:color w:val="auto"/>
                <w:spacing w:val="-10"/>
                <w:sz w:val="24"/>
                <w:szCs w:val="24"/>
              </w:rPr>
            </w:pPr>
            <w:r>
              <w:rPr>
                <w:b/>
                <w:color w:val="auto"/>
                <w:spacing w:val="-10"/>
                <w:sz w:val="24"/>
                <w:szCs w:val="24"/>
              </w:rPr>
              <w:t>1、项目运营期废水产排情况分析</w:t>
            </w:r>
          </w:p>
          <w:p w14:paraId="6F80A86D">
            <w:pPr>
              <w:spacing w:line="360" w:lineRule="auto"/>
              <w:ind w:firstLine="480" w:firstLineChars="200"/>
              <w:jc w:val="left"/>
              <w:rPr>
                <w:rFonts w:hint="default"/>
                <w:bCs/>
                <w:color w:val="auto"/>
                <w:sz w:val="24"/>
                <w:szCs w:val="24"/>
                <w:lang w:val="en-US"/>
              </w:rPr>
            </w:pPr>
            <w:r>
              <w:rPr>
                <w:bCs/>
                <w:color w:val="auto"/>
                <w:sz w:val="24"/>
                <w:szCs w:val="24"/>
              </w:rPr>
              <w:t>本项目位于</w:t>
            </w:r>
            <w:r>
              <w:rPr>
                <w:color w:val="auto"/>
                <w:sz w:val="24"/>
                <w:szCs w:val="24"/>
                <w:lang w:bidi="ar"/>
              </w:rPr>
              <w:t>乐园大道23号6号厂房栋4层，不涉及初期雨水；本项目搅拌锅及搅拌机专罐专用，不进行转罐清洗，无设备清洗废水</w:t>
            </w:r>
            <w:r>
              <w:rPr>
                <w:rFonts w:hint="eastAsia"/>
                <w:color w:val="auto"/>
                <w:sz w:val="24"/>
                <w:szCs w:val="24"/>
                <w:lang w:eastAsia="zh-CN" w:bidi="ar"/>
              </w:rPr>
              <w:t>；</w:t>
            </w:r>
            <w:r>
              <w:rPr>
                <w:rFonts w:hint="eastAsia"/>
                <w:color w:val="auto"/>
                <w:sz w:val="24"/>
                <w:szCs w:val="24"/>
                <w:lang w:val="en-US" w:eastAsia="zh-CN" w:bidi="ar"/>
              </w:rPr>
              <w:t>本项目不进行车间清洗，只简单清扫，不涉及车间清洗废水。</w:t>
            </w:r>
          </w:p>
          <w:p w14:paraId="35CA5FC0">
            <w:pPr>
              <w:spacing w:line="360" w:lineRule="auto"/>
              <w:ind w:firstLine="480" w:firstLineChars="200"/>
              <w:jc w:val="left"/>
              <w:rPr>
                <w:bCs/>
                <w:color w:val="auto"/>
                <w:sz w:val="24"/>
                <w:szCs w:val="24"/>
              </w:rPr>
            </w:pPr>
            <w:r>
              <w:rPr>
                <w:bCs/>
                <w:color w:val="auto"/>
                <w:sz w:val="24"/>
                <w:szCs w:val="24"/>
              </w:rPr>
              <w:t>本项目产生的废水为生活污水。</w:t>
            </w:r>
          </w:p>
          <w:p w14:paraId="2FC80FDC">
            <w:pPr>
              <w:spacing w:line="360" w:lineRule="auto"/>
              <w:ind w:firstLine="480" w:firstLineChars="200"/>
              <w:jc w:val="left"/>
              <w:rPr>
                <w:bCs/>
                <w:color w:val="auto"/>
                <w:sz w:val="24"/>
                <w:szCs w:val="24"/>
              </w:rPr>
            </w:pPr>
            <w:r>
              <w:rPr>
                <w:bCs/>
                <w:color w:val="auto"/>
                <w:sz w:val="24"/>
                <w:szCs w:val="24"/>
              </w:rPr>
              <w:t>本项目拟设劳动定员15人，均不在厂内住宿。参考广东省《用水定额第3部分：生活》（DB44/T1461.3-2021）中“表A.1 服务业用水定额表”中“办公楼—无食堂和浴室（先进值）”的“10m</w:t>
            </w:r>
            <w:r>
              <w:rPr>
                <w:bCs/>
                <w:color w:val="auto"/>
                <w:sz w:val="24"/>
                <w:szCs w:val="24"/>
                <w:vertAlign w:val="superscript"/>
              </w:rPr>
              <w:t>3</w:t>
            </w:r>
            <w:r>
              <w:rPr>
                <w:bCs/>
                <w:color w:val="auto"/>
                <w:sz w:val="24"/>
                <w:szCs w:val="24"/>
              </w:rPr>
              <w:t>/（人·a）”系数计算，则员工用水量为150m</w:t>
            </w:r>
            <w:r>
              <w:rPr>
                <w:bCs/>
                <w:color w:val="auto"/>
                <w:sz w:val="24"/>
                <w:szCs w:val="24"/>
                <w:vertAlign w:val="superscript"/>
              </w:rPr>
              <w:t>3</w:t>
            </w:r>
            <w:r>
              <w:rPr>
                <w:bCs/>
                <w:color w:val="auto"/>
                <w:sz w:val="24"/>
                <w:szCs w:val="24"/>
              </w:rPr>
              <w:t xml:space="preserve"> /a（0.58m</w:t>
            </w:r>
            <w:r>
              <w:rPr>
                <w:bCs/>
                <w:color w:val="auto"/>
                <w:sz w:val="24"/>
                <w:szCs w:val="24"/>
                <w:vertAlign w:val="superscript"/>
              </w:rPr>
              <w:t>3</w:t>
            </w:r>
            <w:r>
              <w:rPr>
                <w:bCs/>
                <w:color w:val="auto"/>
                <w:sz w:val="24"/>
                <w:szCs w:val="24"/>
              </w:rPr>
              <w:t xml:space="preserve"> /a），污水排放量按90%计，则生活污水排放量为135m</w:t>
            </w:r>
            <w:r>
              <w:rPr>
                <w:bCs/>
                <w:color w:val="auto"/>
                <w:sz w:val="24"/>
                <w:szCs w:val="24"/>
                <w:vertAlign w:val="superscript"/>
              </w:rPr>
              <w:t>3</w:t>
            </w:r>
            <w:r>
              <w:rPr>
                <w:bCs/>
                <w:color w:val="auto"/>
                <w:sz w:val="24"/>
                <w:szCs w:val="24"/>
              </w:rPr>
              <w:t>/a（0.522m</w:t>
            </w:r>
            <w:r>
              <w:rPr>
                <w:bCs/>
                <w:color w:val="auto"/>
                <w:sz w:val="24"/>
                <w:szCs w:val="24"/>
                <w:vertAlign w:val="superscript"/>
              </w:rPr>
              <w:t>3</w:t>
            </w:r>
            <w:r>
              <w:rPr>
                <w:bCs/>
                <w:color w:val="auto"/>
                <w:sz w:val="24"/>
                <w:szCs w:val="24"/>
              </w:rPr>
              <w:t xml:space="preserve"> /</w:t>
            </w:r>
            <w:r>
              <w:rPr>
                <w:rFonts w:hint="eastAsia"/>
                <w:bCs/>
                <w:color w:val="auto"/>
                <w:sz w:val="24"/>
                <w:szCs w:val="24"/>
                <w:lang w:val="en-US" w:eastAsia="zh-CN"/>
              </w:rPr>
              <w:t>d</w:t>
            </w:r>
            <w:r>
              <w:rPr>
                <w:bCs/>
                <w:color w:val="auto"/>
                <w:sz w:val="24"/>
                <w:szCs w:val="24"/>
              </w:rPr>
              <w:t xml:space="preserve">）。 </w:t>
            </w:r>
          </w:p>
          <w:p w14:paraId="29152CDC">
            <w:pPr>
              <w:spacing w:line="360" w:lineRule="auto"/>
              <w:ind w:firstLine="480" w:firstLineChars="200"/>
              <w:jc w:val="left"/>
              <w:rPr>
                <w:bCs/>
                <w:color w:val="auto"/>
                <w:sz w:val="24"/>
                <w:szCs w:val="24"/>
              </w:rPr>
            </w:pPr>
            <w:r>
              <w:rPr>
                <w:bCs/>
                <w:color w:val="auto"/>
                <w:sz w:val="24"/>
                <w:szCs w:val="24"/>
              </w:rPr>
              <w:t>项目生活污水中主要污染物为COD</w:t>
            </w:r>
            <w:r>
              <w:rPr>
                <w:bCs/>
                <w:color w:val="auto"/>
                <w:sz w:val="24"/>
                <w:szCs w:val="24"/>
                <w:vertAlign w:val="subscript"/>
              </w:rPr>
              <w:t>Cr</w:t>
            </w:r>
            <w:r>
              <w:rPr>
                <w:bCs/>
                <w:color w:val="auto"/>
                <w:sz w:val="24"/>
                <w:szCs w:val="24"/>
              </w:rPr>
              <w:t>、BOD</w:t>
            </w:r>
            <w:r>
              <w:rPr>
                <w:bCs/>
                <w:color w:val="auto"/>
                <w:sz w:val="24"/>
                <w:szCs w:val="24"/>
                <w:vertAlign w:val="subscript"/>
              </w:rPr>
              <w:t>5</w:t>
            </w:r>
            <w:r>
              <w:rPr>
                <w:bCs/>
                <w:color w:val="auto"/>
                <w:sz w:val="24"/>
                <w:szCs w:val="24"/>
              </w:rPr>
              <w:t>、SS、氨氮。COD</w:t>
            </w:r>
            <w:r>
              <w:rPr>
                <w:bCs/>
                <w:color w:val="auto"/>
                <w:sz w:val="24"/>
                <w:szCs w:val="24"/>
                <w:vertAlign w:val="subscript"/>
              </w:rPr>
              <w:t>Cr</w:t>
            </w:r>
            <w:r>
              <w:rPr>
                <w:bCs/>
                <w:color w:val="auto"/>
                <w:sz w:val="24"/>
                <w:szCs w:val="24"/>
              </w:rPr>
              <w:t>、氨氮污染物浓度参考《排放源统计调查产排污核算方法和系数手册》（公告2021年第24号）中“表1-1城镇生活源水污染物产排污校核系数”五区的产污系数，即COD</w:t>
            </w:r>
            <w:r>
              <w:rPr>
                <w:bCs/>
                <w:color w:val="auto"/>
                <w:sz w:val="24"/>
                <w:szCs w:val="24"/>
                <w:vertAlign w:val="subscript"/>
              </w:rPr>
              <w:t>Cr</w:t>
            </w:r>
            <w:r>
              <w:rPr>
                <w:bCs/>
                <w:color w:val="auto"/>
                <w:sz w:val="24"/>
                <w:szCs w:val="24"/>
              </w:rPr>
              <w:t>（285mg/L）、氨氮（28.3mg/L）；BOD</w:t>
            </w:r>
            <w:r>
              <w:rPr>
                <w:bCs/>
                <w:color w:val="auto"/>
                <w:sz w:val="24"/>
                <w:szCs w:val="24"/>
                <w:vertAlign w:val="subscript"/>
              </w:rPr>
              <w:t>5</w:t>
            </w:r>
            <w:r>
              <w:rPr>
                <w:bCs/>
                <w:color w:val="auto"/>
                <w:sz w:val="24"/>
                <w:szCs w:val="24"/>
              </w:rPr>
              <w:t>、SS产生浓度参考《给水排水设计手册第 5 册城镇排水》（第二版，中国建筑工业出版社，北京市市政工程设计研究总院主编）中“表4-1 典型生活污水水质示例”，即BOD</w:t>
            </w:r>
            <w:r>
              <w:rPr>
                <w:bCs/>
                <w:color w:val="auto"/>
                <w:sz w:val="24"/>
                <w:szCs w:val="24"/>
                <w:vertAlign w:val="subscript"/>
              </w:rPr>
              <w:t>5</w:t>
            </w:r>
            <w:r>
              <w:rPr>
                <w:bCs/>
                <w:color w:val="auto"/>
                <w:sz w:val="24"/>
                <w:szCs w:val="24"/>
              </w:rPr>
              <w:t>（220mg/L）、SS（200mg/L）；</w:t>
            </w:r>
          </w:p>
          <w:p w14:paraId="2C66C7C5">
            <w:pPr>
              <w:spacing w:line="360" w:lineRule="auto"/>
              <w:ind w:firstLine="480" w:firstLineChars="200"/>
              <w:jc w:val="left"/>
              <w:rPr>
                <w:bCs/>
                <w:color w:val="auto"/>
                <w:sz w:val="24"/>
                <w:szCs w:val="24"/>
              </w:rPr>
            </w:pPr>
            <w:r>
              <w:rPr>
                <w:bCs/>
                <w:color w:val="auto"/>
                <w:sz w:val="24"/>
                <w:szCs w:val="24"/>
              </w:rPr>
              <w:t>参考《化粪池污水处理能力研究及其评价》（王红燕，李杰，王亚娥，赫火凡编写）中提及“化粪池对污水中的污染物有着较高的去除率，BOD</w:t>
            </w:r>
            <w:r>
              <w:rPr>
                <w:bCs/>
                <w:color w:val="auto"/>
                <w:sz w:val="24"/>
                <w:szCs w:val="24"/>
                <w:vertAlign w:val="subscript"/>
              </w:rPr>
              <w:t>5</w:t>
            </w:r>
            <w:r>
              <w:rPr>
                <w:bCs/>
                <w:color w:val="auto"/>
                <w:sz w:val="24"/>
                <w:szCs w:val="24"/>
              </w:rPr>
              <w:t>的去除率分别可以达到51.1%”；根据《村镇生活污染防治最佳可行技术指南（试行）》（HJ-BAT-9）三级化粪池对污染物的去除率，COD</w:t>
            </w:r>
            <w:r>
              <w:rPr>
                <w:bCs/>
                <w:color w:val="auto"/>
                <w:sz w:val="24"/>
                <w:szCs w:val="24"/>
                <w:vertAlign w:val="subscript"/>
              </w:rPr>
              <w:t>Cr</w:t>
            </w:r>
            <w:r>
              <w:rPr>
                <w:bCs/>
                <w:color w:val="auto"/>
                <w:sz w:val="24"/>
                <w:szCs w:val="24"/>
              </w:rPr>
              <w:t>为40%~50%，SS为60%~70%；参考《村镇生活污染防治最佳可行技术指南（试行）》（HJ-BAT-9）、《我国农村化粪池污染物去除效果及影响因素分析》（环境工程学报，2021）、《化粪池在实际生活中的必选和应用》，氨氮的去除效率取5%；本项目“三级化粪池”去除效率取最低值，则对BOD</w:t>
            </w:r>
            <w:r>
              <w:rPr>
                <w:bCs/>
                <w:color w:val="auto"/>
                <w:sz w:val="24"/>
                <w:szCs w:val="24"/>
                <w:vertAlign w:val="subscript"/>
              </w:rPr>
              <w:t>5</w:t>
            </w:r>
            <w:r>
              <w:rPr>
                <w:bCs/>
                <w:color w:val="auto"/>
                <w:sz w:val="24"/>
                <w:szCs w:val="24"/>
              </w:rPr>
              <w:t>的去除率50%，COD</w:t>
            </w:r>
            <w:r>
              <w:rPr>
                <w:bCs/>
                <w:color w:val="auto"/>
                <w:sz w:val="24"/>
                <w:szCs w:val="24"/>
                <w:vertAlign w:val="subscript"/>
              </w:rPr>
              <w:t>Cr</w:t>
            </w:r>
            <w:r>
              <w:rPr>
                <w:bCs/>
                <w:color w:val="auto"/>
                <w:sz w:val="24"/>
                <w:szCs w:val="24"/>
              </w:rPr>
              <w:t xml:space="preserve">去除率取 40%，SS去除率取60%，氨氮去除率取3%。 </w:t>
            </w:r>
          </w:p>
          <w:p w14:paraId="7E0A8DDB">
            <w:pPr>
              <w:spacing w:line="360" w:lineRule="auto"/>
              <w:ind w:firstLine="480" w:firstLineChars="200"/>
              <w:jc w:val="left"/>
              <w:rPr>
                <w:bCs/>
                <w:color w:val="auto"/>
                <w:sz w:val="24"/>
                <w:szCs w:val="24"/>
              </w:rPr>
            </w:pPr>
            <w:r>
              <w:rPr>
                <w:bCs/>
                <w:color w:val="auto"/>
                <w:sz w:val="24"/>
                <w:szCs w:val="24"/>
              </w:rPr>
              <w:t xml:space="preserve">生活污水经三级化粪池预处理达到广东省《水污染物排放限值》（DB44/26-2001）中的第二时段三级标准及园区污水厂进水水质标准较严值后，经污水管网接入园区污水处理厂集中处理。 </w:t>
            </w:r>
          </w:p>
          <w:p w14:paraId="75F0FAB9">
            <w:pPr>
              <w:spacing w:line="360" w:lineRule="auto"/>
              <w:ind w:firstLine="480" w:firstLineChars="200"/>
              <w:jc w:val="left"/>
              <w:rPr>
                <w:bCs/>
                <w:color w:val="auto"/>
                <w:sz w:val="24"/>
                <w:szCs w:val="24"/>
              </w:rPr>
            </w:pPr>
            <w:r>
              <w:rPr>
                <w:bCs/>
                <w:color w:val="auto"/>
                <w:sz w:val="24"/>
                <w:szCs w:val="24"/>
              </w:rPr>
              <w:t>项目生活污水中主要污染物的产生量、排放量如下表所示。</w:t>
            </w:r>
          </w:p>
          <w:p w14:paraId="38CF8843">
            <w:pPr>
              <w:pStyle w:val="164"/>
              <w:rPr>
                <w:color w:val="auto"/>
                <w:sz w:val="24"/>
                <w:szCs w:val="24"/>
              </w:rPr>
            </w:pPr>
            <w:r>
              <w:rPr>
                <w:color w:val="auto"/>
                <w:sz w:val="24"/>
                <w:szCs w:val="24"/>
              </w:rPr>
              <w:t>表</w:t>
            </w:r>
            <w:r>
              <w:rPr>
                <w:color w:val="auto"/>
                <w:sz w:val="24"/>
                <w:szCs w:val="24"/>
              </w:rPr>
              <w:fldChar w:fldCharType="begin"/>
            </w:r>
            <w:r>
              <w:rPr>
                <w:color w:val="auto"/>
                <w:sz w:val="24"/>
                <w:szCs w:val="24"/>
              </w:rPr>
              <w:instrText xml:space="preserve"> SEQ 表 \* ARABIC </w:instrText>
            </w:r>
            <w:r>
              <w:rPr>
                <w:color w:val="auto"/>
                <w:sz w:val="24"/>
                <w:szCs w:val="24"/>
              </w:rPr>
              <w:fldChar w:fldCharType="separate"/>
            </w:r>
            <w:r>
              <w:rPr>
                <w:color w:val="auto"/>
                <w:sz w:val="24"/>
                <w:szCs w:val="24"/>
              </w:rPr>
              <w:t>39</w:t>
            </w:r>
            <w:r>
              <w:rPr>
                <w:color w:val="auto"/>
                <w:sz w:val="24"/>
                <w:szCs w:val="24"/>
              </w:rPr>
              <w:fldChar w:fldCharType="end"/>
            </w:r>
            <w:r>
              <w:rPr>
                <w:color w:val="auto"/>
                <w:sz w:val="24"/>
                <w:szCs w:val="24"/>
              </w:rPr>
              <w:t xml:space="preserve">  生活污水中主要污染物产生浓度及产生、排放情况</w:t>
            </w:r>
          </w:p>
          <w:tbl>
            <w:tblPr>
              <w:tblStyle w:val="3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987"/>
              <w:gridCol w:w="1166"/>
              <w:gridCol w:w="1053"/>
              <w:gridCol w:w="962"/>
              <w:gridCol w:w="1207"/>
              <w:gridCol w:w="1115"/>
              <w:gridCol w:w="1092"/>
            </w:tblGrid>
            <w:tr w14:paraId="3EFE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4" w:type="pct"/>
                  <w:vMerge w:val="restart"/>
                  <w:vAlign w:val="center"/>
                </w:tcPr>
                <w:p w14:paraId="0CAB5254">
                  <w:pPr>
                    <w:snapToGrid w:val="0"/>
                    <w:jc w:val="center"/>
                    <w:rPr>
                      <w:b/>
                      <w:bCs/>
                      <w:color w:val="auto"/>
                      <w:szCs w:val="21"/>
                    </w:rPr>
                  </w:pPr>
                  <w:r>
                    <w:rPr>
                      <w:b/>
                      <w:bCs/>
                      <w:color w:val="auto"/>
                      <w:szCs w:val="21"/>
                    </w:rPr>
                    <w:t>污染源</w:t>
                  </w:r>
                </w:p>
              </w:tc>
              <w:tc>
                <w:tcPr>
                  <w:tcW w:w="609" w:type="pct"/>
                  <w:vMerge w:val="restart"/>
                  <w:vAlign w:val="center"/>
                </w:tcPr>
                <w:p w14:paraId="238207C8">
                  <w:pPr>
                    <w:snapToGrid w:val="0"/>
                    <w:jc w:val="center"/>
                    <w:rPr>
                      <w:b/>
                      <w:bCs/>
                      <w:color w:val="auto"/>
                      <w:szCs w:val="21"/>
                    </w:rPr>
                  </w:pPr>
                  <w:r>
                    <w:rPr>
                      <w:b/>
                      <w:bCs/>
                      <w:color w:val="auto"/>
                      <w:szCs w:val="21"/>
                    </w:rPr>
                    <w:t>污染物</w:t>
                  </w:r>
                </w:p>
              </w:tc>
              <w:tc>
                <w:tcPr>
                  <w:tcW w:w="1362" w:type="pct"/>
                  <w:gridSpan w:val="2"/>
                  <w:vAlign w:val="center"/>
                </w:tcPr>
                <w:p w14:paraId="4E713E06">
                  <w:pPr>
                    <w:snapToGrid w:val="0"/>
                    <w:jc w:val="center"/>
                    <w:rPr>
                      <w:b/>
                      <w:bCs/>
                      <w:color w:val="auto"/>
                      <w:szCs w:val="21"/>
                    </w:rPr>
                  </w:pPr>
                  <w:r>
                    <w:rPr>
                      <w:b/>
                      <w:bCs/>
                      <w:color w:val="auto"/>
                      <w:szCs w:val="21"/>
                    </w:rPr>
                    <w:t>污染物产生情况</w:t>
                  </w:r>
                </w:p>
              </w:tc>
              <w:tc>
                <w:tcPr>
                  <w:tcW w:w="594" w:type="pct"/>
                  <w:vMerge w:val="restart"/>
                  <w:vAlign w:val="center"/>
                </w:tcPr>
                <w:p w14:paraId="69655920">
                  <w:pPr>
                    <w:snapToGrid w:val="0"/>
                    <w:jc w:val="center"/>
                    <w:rPr>
                      <w:b/>
                      <w:bCs/>
                      <w:color w:val="auto"/>
                      <w:szCs w:val="21"/>
                    </w:rPr>
                  </w:pPr>
                  <w:r>
                    <w:rPr>
                      <w:b/>
                      <w:bCs/>
                      <w:color w:val="auto"/>
                      <w:szCs w:val="21"/>
                    </w:rPr>
                    <w:t>处理效率%</w:t>
                  </w:r>
                </w:p>
              </w:tc>
              <w:tc>
                <w:tcPr>
                  <w:tcW w:w="1422" w:type="pct"/>
                  <w:gridSpan w:val="2"/>
                  <w:vAlign w:val="center"/>
                </w:tcPr>
                <w:p w14:paraId="7018FE82">
                  <w:pPr>
                    <w:snapToGrid w:val="0"/>
                    <w:jc w:val="center"/>
                    <w:rPr>
                      <w:b/>
                      <w:bCs/>
                      <w:color w:val="auto"/>
                      <w:szCs w:val="21"/>
                    </w:rPr>
                  </w:pPr>
                  <w:r>
                    <w:rPr>
                      <w:b/>
                      <w:bCs/>
                      <w:color w:val="auto"/>
                      <w:szCs w:val="21"/>
                    </w:rPr>
                    <w:t>污染物排放情况</w:t>
                  </w:r>
                </w:p>
              </w:tc>
              <w:tc>
                <w:tcPr>
                  <w:tcW w:w="584" w:type="pct"/>
                  <w:vMerge w:val="restart"/>
                  <w:vAlign w:val="center"/>
                </w:tcPr>
                <w:p w14:paraId="09E8B1EC">
                  <w:pPr>
                    <w:snapToGrid w:val="0"/>
                    <w:jc w:val="center"/>
                    <w:rPr>
                      <w:b/>
                      <w:bCs/>
                      <w:color w:val="auto"/>
                      <w:szCs w:val="21"/>
                    </w:rPr>
                  </w:pPr>
                  <w:r>
                    <w:rPr>
                      <w:color w:val="auto"/>
                      <w:szCs w:val="21"/>
                    </w:rPr>
                    <w:t>排放标准限值（mg/L）</w:t>
                  </w:r>
                </w:p>
              </w:tc>
            </w:tr>
            <w:tr w14:paraId="2581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4" w:type="pct"/>
                  <w:vMerge w:val="continue"/>
                  <w:vAlign w:val="center"/>
                </w:tcPr>
                <w:p w14:paraId="408502E0">
                  <w:pPr>
                    <w:snapToGrid w:val="0"/>
                    <w:jc w:val="center"/>
                    <w:rPr>
                      <w:color w:val="auto"/>
                      <w:szCs w:val="21"/>
                    </w:rPr>
                  </w:pPr>
                </w:p>
              </w:tc>
              <w:tc>
                <w:tcPr>
                  <w:tcW w:w="609" w:type="pct"/>
                  <w:vMerge w:val="continue"/>
                  <w:vAlign w:val="center"/>
                </w:tcPr>
                <w:p w14:paraId="49CC18C7">
                  <w:pPr>
                    <w:snapToGrid w:val="0"/>
                    <w:jc w:val="center"/>
                    <w:rPr>
                      <w:color w:val="auto"/>
                      <w:szCs w:val="21"/>
                    </w:rPr>
                  </w:pPr>
                </w:p>
              </w:tc>
              <w:tc>
                <w:tcPr>
                  <w:tcW w:w="714" w:type="pct"/>
                  <w:vAlign w:val="center"/>
                </w:tcPr>
                <w:p w14:paraId="35DF561F">
                  <w:pPr>
                    <w:snapToGrid w:val="0"/>
                    <w:jc w:val="center"/>
                    <w:rPr>
                      <w:b/>
                      <w:bCs/>
                      <w:color w:val="auto"/>
                      <w:szCs w:val="21"/>
                    </w:rPr>
                  </w:pPr>
                  <w:r>
                    <w:rPr>
                      <w:color w:val="auto"/>
                      <w:szCs w:val="21"/>
                    </w:rPr>
                    <w:t>产生浓度（mg/L）</w:t>
                  </w:r>
                </w:p>
              </w:tc>
              <w:tc>
                <w:tcPr>
                  <w:tcW w:w="648" w:type="pct"/>
                  <w:vAlign w:val="center"/>
                </w:tcPr>
                <w:p w14:paraId="53F7B635">
                  <w:pPr>
                    <w:snapToGrid w:val="0"/>
                    <w:jc w:val="center"/>
                    <w:rPr>
                      <w:b/>
                      <w:bCs/>
                      <w:color w:val="auto"/>
                      <w:szCs w:val="21"/>
                    </w:rPr>
                  </w:pPr>
                  <w:r>
                    <w:rPr>
                      <w:color w:val="auto"/>
                      <w:szCs w:val="21"/>
                    </w:rPr>
                    <w:t>产生量（t/a）</w:t>
                  </w:r>
                </w:p>
              </w:tc>
              <w:tc>
                <w:tcPr>
                  <w:tcW w:w="594" w:type="pct"/>
                  <w:vMerge w:val="continue"/>
                  <w:vAlign w:val="center"/>
                </w:tcPr>
                <w:p w14:paraId="6115EC03">
                  <w:pPr>
                    <w:snapToGrid w:val="0"/>
                    <w:jc w:val="center"/>
                    <w:rPr>
                      <w:b/>
                      <w:bCs/>
                      <w:color w:val="auto"/>
                      <w:szCs w:val="21"/>
                    </w:rPr>
                  </w:pPr>
                </w:p>
              </w:tc>
              <w:tc>
                <w:tcPr>
                  <w:tcW w:w="738" w:type="pct"/>
                  <w:vAlign w:val="center"/>
                </w:tcPr>
                <w:p w14:paraId="210C2A59">
                  <w:pPr>
                    <w:snapToGrid w:val="0"/>
                    <w:jc w:val="center"/>
                    <w:rPr>
                      <w:b/>
                      <w:bCs/>
                      <w:color w:val="auto"/>
                      <w:szCs w:val="21"/>
                    </w:rPr>
                  </w:pPr>
                  <w:r>
                    <w:rPr>
                      <w:color w:val="auto"/>
                      <w:szCs w:val="21"/>
                    </w:rPr>
                    <w:t>排放浓度（mg/L）</w:t>
                  </w:r>
                </w:p>
              </w:tc>
              <w:tc>
                <w:tcPr>
                  <w:tcW w:w="684" w:type="pct"/>
                  <w:vAlign w:val="center"/>
                </w:tcPr>
                <w:p w14:paraId="6AC16A73">
                  <w:pPr>
                    <w:snapToGrid w:val="0"/>
                    <w:jc w:val="center"/>
                    <w:rPr>
                      <w:b/>
                      <w:bCs/>
                      <w:color w:val="auto"/>
                      <w:szCs w:val="21"/>
                    </w:rPr>
                  </w:pPr>
                  <w:r>
                    <w:rPr>
                      <w:color w:val="auto"/>
                      <w:szCs w:val="21"/>
                    </w:rPr>
                    <w:t>排放量（t/a）</w:t>
                  </w:r>
                </w:p>
              </w:tc>
              <w:tc>
                <w:tcPr>
                  <w:tcW w:w="584" w:type="pct"/>
                  <w:vMerge w:val="continue"/>
                  <w:vAlign w:val="center"/>
                </w:tcPr>
                <w:p w14:paraId="191DC0FB">
                  <w:pPr>
                    <w:snapToGrid w:val="0"/>
                    <w:jc w:val="center"/>
                    <w:rPr>
                      <w:color w:val="auto"/>
                      <w:szCs w:val="21"/>
                    </w:rPr>
                  </w:pPr>
                </w:p>
              </w:tc>
            </w:tr>
            <w:tr w14:paraId="123A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4" w:type="pct"/>
                  <w:vMerge w:val="restart"/>
                  <w:vAlign w:val="center"/>
                </w:tcPr>
                <w:p w14:paraId="63B69193">
                  <w:pPr>
                    <w:snapToGrid w:val="0"/>
                    <w:jc w:val="center"/>
                    <w:rPr>
                      <w:color w:val="auto"/>
                      <w:szCs w:val="21"/>
                    </w:rPr>
                  </w:pPr>
                  <w:r>
                    <w:rPr>
                      <w:color w:val="auto"/>
                      <w:szCs w:val="21"/>
                    </w:rPr>
                    <w:t>生活污水</w:t>
                  </w:r>
                </w:p>
                <w:p w14:paraId="6DFB919C">
                  <w:pPr>
                    <w:snapToGrid w:val="0"/>
                    <w:jc w:val="center"/>
                    <w:rPr>
                      <w:color w:val="auto"/>
                      <w:szCs w:val="21"/>
                    </w:rPr>
                  </w:pPr>
                  <w:r>
                    <w:rPr>
                      <w:color w:val="auto"/>
                      <w:szCs w:val="21"/>
                    </w:rPr>
                    <w:t>135</w:t>
                  </w:r>
                  <w:r>
                    <w:rPr>
                      <w:bCs/>
                      <w:color w:val="auto"/>
                      <w:szCs w:val="21"/>
                    </w:rPr>
                    <w:t>m</w:t>
                  </w:r>
                  <w:r>
                    <w:rPr>
                      <w:bCs/>
                      <w:color w:val="auto"/>
                      <w:szCs w:val="21"/>
                      <w:vertAlign w:val="superscript"/>
                    </w:rPr>
                    <w:t>3</w:t>
                  </w:r>
                  <w:r>
                    <w:rPr>
                      <w:color w:val="auto"/>
                      <w:szCs w:val="21"/>
                    </w:rPr>
                    <w:t>/a</w:t>
                  </w:r>
                </w:p>
              </w:tc>
              <w:tc>
                <w:tcPr>
                  <w:tcW w:w="609" w:type="pct"/>
                  <w:vAlign w:val="center"/>
                </w:tcPr>
                <w:p w14:paraId="670E0C60">
                  <w:pPr>
                    <w:snapToGrid w:val="0"/>
                    <w:jc w:val="center"/>
                    <w:rPr>
                      <w:color w:val="auto"/>
                      <w:szCs w:val="21"/>
                    </w:rPr>
                  </w:pPr>
                  <w:r>
                    <w:rPr>
                      <w:color w:val="auto"/>
                      <w:szCs w:val="21"/>
                    </w:rPr>
                    <w:t>COD</w:t>
                  </w:r>
                  <w:r>
                    <w:rPr>
                      <w:color w:val="auto"/>
                      <w:szCs w:val="21"/>
                      <w:vertAlign w:val="subscript"/>
                    </w:rPr>
                    <w:t>Cr</w:t>
                  </w:r>
                </w:p>
              </w:tc>
              <w:tc>
                <w:tcPr>
                  <w:tcW w:w="1343" w:type="dxa"/>
                  <w:vAlign w:val="center"/>
                </w:tcPr>
                <w:p w14:paraId="20FD9EB6">
                  <w:pPr>
                    <w:widowControl/>
                    <w:jc w:val="center"/>
                    <w:textAlignment w:val="center"/>
                    <w:rPr>
                      <w:color w:val="auto"/>
                      <w:szCs w:val="21"/>
                    </w:rPr>
                  </w:pPr>
                  <w:r>
                    <w:rPr>
                      <w:color w:val="auto"/>
                      <w:kern w:val="0"/>
                      <w:szCs w:val="21"/>
                      <w:lang w:bidi="ar"/>
                    </w:rPr>
                    <w:t>285</w:t>
                  </w:r>
                </w:p>
              </w:tc>
              <w:tc>
                <w:tcPr>
                  <w:tcW w:w="1219" w:type="dxa"/>
                  <w:vAlign w:val="center"/>
                </w:tcPr>
                <w:p w14:paraId="3CBE6BCF">
                  <w:pPr>
                    <w:widowControl/>
                    <w:jc w:val="center"/>
                    <w:textAlignment w:val="center"/>
                    <w:rPr>
                      <w:color w:val="auto"/>
                      <w:kern w:val="0"/>
                      <w:szCs w:val="21"/>
                      <w:lang w:bidi="ar"/>
                    </w:rPr>
                  </w:pPr>
                  <w:r>
                    <w:rPr>
                      <w:color w:val="auto"/>
                      <w:kern w:val="0"/>
                      <w:szCs w:val="21"/>
                      <w:lang w:bidi="ar"/>
                    </w:rPr>
                    <w:t>0.038</w:t>
                  </w:r>
                </w:p>
              </w:tc>
              <w:tc>
                <w:tcPr>
                  <w:tcW w:w="1117" w:type="dxa"/>
                  <w:vAlign w:val="center"/>
                </w:tcPr>
                <w:p w14:paraId="703AA6CF">
                  <w:pPr>
                    <w:widowControl/>
                    <w:jc w:val="center"/>
                    <w:textAlignment w:val="center"/>
                    <w:rPr>
                      <w:color w:val="auto"/>
                      <w:kern w:val="0"/>
                      <w:szCs w:val="21"/>
                      <w:lang w:bidi="ar"/>
                    </w:rPr>
                  </w:pPr>
                  <w:r>
                    <w:rPr>
                      <w:color w:val="auto"/>
                      <w:kern w:val="0"/>
                      <w:szCs w:val="21"/>
                      <w:lang w:bidi="ar"/>
                    </w:rPr>
                    <w:t>40</w:t>
                  </w:r>
                </w:p>
              </w:tc>
              <w:tc>
                <w:tcPr>
                  <w:tcW w:w="1388" w:type="dxa"/>
                  <w:vAlign w:val="center"/>
                </w:tcPr>
                <w:p w14:paraId="151E3F66">
                  <w:pPr>
                    <w:widowControl/>
                    <w:jc w:val="center"/>
                    <w:textAlignment w:val="center"/>
                    <w:rPr>
                      <w:color w:val="auto"/>
                      <w:kern w:val="0"/>
                      <w:szCs w:val="21"/>
                      <w:lang w:bidi="ar"/>
                    </w:rPr>
                  </w:pPr>
                  <w:r>
                    <w:rPr>
                      <w:color w:val="auto"/>
                      <w:kern w:val="0"/>
                      <w:szCs w:val="21"/>
                      <w:lang w:bidi="ar"/>
                    </w:rPr>
                    <w:t>171</w:t>
                  </w:r>
                </w:p>
              </w:tc>
              <w:tc>
                <w:tcPr>
                  <w:tcW w:w="1287" w:type="dxa"/>
                  <w:vAlign w:val="center"/>
                </w:tcPr>
                <w:p w14:paraId="4472EA9F">
                  <w:pPr>
                    <w:widowControl/>
                    <w:jc w:val="center"/>
                    <w:textAlignment w:val="center"/>
                    <w:rPr>
                      <w:color w:val="auto"/>
                      <w:kern w:val="0"/>
                      <w:szCs w:val="21"/>
                      <w:lang w:bidi="ar"/>
                    </w:rPr>
                  </w:pPr>
                  <w:r>
                    <w:rPr>
                      <w:color w:val="auto"/>
                      <w:kern w:val="0"/>
                      <w:szCs w:val="21"/>
                      <w:lang w:bidi="ar"/>
                    </w:rPr>
                    <w:t>0.023</w:t>
                  </w:r>
                </w:p>
              </w:tc>
              <w:tc>
                <w:tcPr>
                  <w:tcW w:w="584" w:type="pct"/>
                  <w:vAlign w:val="center"/>
                </w:tcPr>
                <w:p w14:paraId="079FA2F1">
                  <w:pPr>
                    <w:snapToGrid w:val="0"/>
                    <w:jc w:val="center"/>
                    <w:rPr>
                      <w:rFonts w:hint="default" w:eastAsia="宋体"/>
                      <w:color w:val="auto"/>
                      <w:szCs w:val="21"/>
                      <w:lang w:val="en-US" w:eastAsia="zh-CN"/>
                    </w:rPr>
                  </w:pPr>
                  <w:r>
                    <w:rPr>
                      <w:rFonts w:hint="eastAsia"/>
                      <w:color w:val="auto"/>
                      <w:szCs w:val="21"/>
                      <w:lang w:val="en-US" w:eastAsia="zh-CN"/>
                    </w:rPr>
                    <w:t>300</w:t>
                  </w:r>
                </w:p>
              </w:tc>
            </w:tr>
            <w:tr w14:paraId="0470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4" w:type="pct"/>
                  <w:vMerge w:val="continue"/>
                  <w:vAlign w:val="center"/>
                </w:tcPr>
                <w:p w14:paraId="70443743">
                  <w:pPr>
                    <w:snapToGrid w:val="0"/>
                    <w:jc w:val="center"/>
                    <w:rPr>
                      <w:color w:val="auto"/>
                      <w:szCs w:val="21"/>
                    </w:rPr>
                  </w:pPr>
                </w:p>
              </w:tc>
              <w:tc>
                <w:tcPr>
                  <w:tcW w:w="609" w:type="pct"/>
                  <w:vAlign w:val="center"/>
                </w:tcPr>
                <w:p w14:paraId="04090758">
                  <w:pPr>
                    <w:snapToGrid w:val="0"/>
                    <w:jc w:val="center"/>
                    <w:rPr>
                      <w:color w:val="auto"/>
                      <w:szCs w:val="21"/>
                    </w:rPr>
                  </w:pPr>
                  <w:r>
                    <w:rPr>
                      <w:color w:val="auto"/>
                      <w:szCs w:val="21"/>
                    </w:rPr>
                    <w:t>BOD</w:t>
                  </w:r>
                  <w:r>
                    <w:rPr>
                      <w:color w:val="auto"/>
                      <w:szCs w:val="21"/>
                      <w:vertAlign w:val="subscript"/>
                    </w:rPr>
                    <w:t>5</w:t>
                  </w:r>
                </w:p>
              </w:tc>
              <w:tc>
                <w:tcPr>
                  <w:tcW w:w="1343" w:type="dxa"/>
                  <w:vAlign w:val="center"/>
                </w:tcPr>
                <w:p w14:paraId="696B7423">
                  <w:pPr>
                    <w:widowControl/>
                    <w:jc w:val="center"/>
                    <w:textAlignment w:val="center"/>
                    <w:rPr>
                      <w:color w:val="auto"/>
                      <w:szCs w:val="21"/>
                    </w:rPr>
                  </w:pPr>
                  <w:r>
                    <w:rPr>
                      <w:color w:val="auto"/>
                      <w:kern w:val="0"/>
                      <w:szCs w:val="21"/>
                      <w:lang w:bidi="ar"/>
                    </w:rPr>
                    <w:t>220</w:t>
                  </w:r>
                </w:p>
              </w:tc>
              <w:tc>
                <w:tcPr>
                  <w:tcW w:w="1219" w:type="dxa"/>
                  <w:vAlign w:val="center"/>
                </w:tcPr>
                <w:p w14:paraId="5A535341">
                  <w:pPr>
                    <w:widowControl/>
                    <w:jc w:val="center"/>
                    <w:textAlignment w:val="center"/>
                    <w:rPr>
                      <w:color w:val="auto"/>
                      <w:kern w:val="0"/>
                      <w:szCs w:val="21"/>
                      <w:lang w:bidi="ar"/>
                    </w:rPr>
                  </w:pPr>
                  <w:r>
                    <w:rPr>
                      <w:color w:val="auto"/>
                      <w:kern w:val="0"/>
                      <w:szCs w:val="21"/>
                      <w:lang w:bidi="ar"/>
                    </w:rPr>
                    <w:t>0.03</w:t>
                  </w:r>
                </w:p>
              </w:tc>
              <w:tc>
                <w:tcPr>
                  <w:tcW w:w="1117" w:type="dxa"/>
                  <w:vAlign w:val="center"/>
                </w:tcPr>
                <w:p w14:paraId="49ADDE12">
                  <w:pPr>
                    <w:widowControl/>
                    <w:jc w:val="center"/>
                    <w:textAlignment w:val="center"/>
                    <w:rPr>
                      <w:color w:val="auto"/>
                      <w:kern w:val="0"/>
                      <w:szCs w:val="21"/>
                      <w:lang w:bidi="ar"/>
                    </w:rPr>
                  </w:pPr>
                  <w:r>
                    <w:rPr>
                      <w:color w:val="auto"/>
                      <w:kern w:val="0"/>
                      <w:szCs w:val="21"/>
                      <w:lang w:bidi="ar"/>
                    </w:rPr>
                    <w:t>50</w:t>
                  </w:r>
                </w:p>
              </w:tc>
              <w:tc>
                <w:tcPr>
                  <w:tcW w:w="1388" w:type="dxa"/>
                  <w:vAlign w:val="center"/>
                </w:tcPr>
                <w:p w14:paraId="2E2D433D">
                  <w:pPr>
                    <w:widowControl/>
                    <w:jc w:val="center"/>
                    <w:textAlignment w:val="center"/>
                    <w:rPr>
                      <w:color w:val="auto"/>
                      <w:kern w:val="0"/>
                      <w:szCs w:val="21"/>
                      <w:lang w:bidi="ar"/>
                    </w:rPr>
                  </w:pPr>
                  <w:r>
                    <w:rPr>
                      <w:color w:val="auto"/>
                      <w:kern w:val="0"/>
                      <w:szCs w:val="21"/>
                      <w:lang w:bidi="ar"/>
                    </w:rPr>
                    <w:t>110</w:t>
                  </w:r>
                </w:p>
              </w:tc>
              <w:tc>
                <w:tcPr>
                  <w:tcW w:w="1287" w:type="dxa"/>
                  <w:vAlign w:val="center"/>
                </w:tcPr>
                <w:p w14:paraId="197947D1">
                  <w:pPr>
                    <w:widowControl/>
                    <w:jc w:val="center"/>
                    <w:textAlignment w:val="center"/>
                    <w:rPr>
                      <w:color w:val="auto"/>
                      <w:kern w:val="0"/>
                      <w:szCs w:val="21"/>
                      <w:lang w:bidi="ar"/>
                    </w:rPr>
                  </w:pPr>
                  <w:r>
                    <w:rPr>
                      <w:color w:val="auto"/>
                      <w:kern w:val="0"/>
                      <w:szCs w:val="21"/>
                      <w:lang w:bidi="ar"/>
                    </w:rPr>
                    <w:t>0.015</w:t>
                  </w:r>
                </w:p>
              </w:tc>
              <w:tc>
                <w:tcPr>
                  <w:tcW w:w="584" w:type="pct"/>
                  <w:vAlign w:val="center"/>
                </w:tcPr>
                <w:p w14:paraId="5CC4C96F">
                  <w:pPr>
                    <w:snapToGrid w:val="0"/>
                    <w:jc w:val="center"/>
                    <w:rPr>
                      <w:rFonts w:hint="default" w:eastAsia="宋体"/>
                      <w:color w:val="auto"/>
                      <w:szCs w:val="21"/>
                      <w:lang w:val="en-US" w:eastAsia="zh-CN"/>
                    </w:rPr>
                  </w:pPr>
                  <w:r>
                    <w:rPr>
                      <w:rFonts w:hint="eastAsia"/>
                      <w:color w:val="auto"/>
                      <w:szCs w:val="21"/>
                      <w:lang w:val="en-US" w:eastAsia="zh-CN"/>
                    </w:rPr>
                    <w:t>150</w:t>
                  </w:r>
                </w:p>
              </w:tc>
            </w:tr>
            <w:tr w14:paraId="5BAF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4" w:type="pct"/>
                  <w:vMerge w:val="continue"/>
                  <w:vAlign w:val="center"/>
                </w:tcPr>
                <w:p w14:paraId="6A7CC0E9">
                  <w:pPr>
                    <w:snapToGrid w:val="0"/>
                    <w:jc w:val="center"/>
                    <w:rPr>
                      <w:color w:val="auto"/>
                      <w:szCs w:val="21"/>
                    </w:rPr>
                  </w:pPr>
                </w:p>
              </w:tc>
              <w:tc>
                <w:tcPr>
                  <w:tcW w:w="609" w:type="pct"/>
                  <w:vAlign w:val="center"/>
                </w:tcPr>
                <w:p w14:paraId="4F01A2C1">
                  <w:pPr>
                    <w:snapToGrid w:val="0"/>
                    <w:jc w:val="center"/>
                    <w:rPr>
                      <w:color w:val="auto"/>
                      <w:szCs w:val="21"/>
                    </w:rPr>
                  </w:pPr>
                  <w:r>
                    <w:rPr>
                      <w:color w:val="auto"/>
                      <w:szCs w:val="21"/>
                    </w:rPr>
                    <w:t>SS</w:t>
                  </w:r>
                </w:p>
              </w:tc>
              <w:tc>
                <w:tcPr>
                  <w:tcW w:w="1343" w:type="dxa"/>
                  <w:vAlign w:val="center"/>
                </w:tcPr>
                <w:p w14:paraId="0CCDA679">
                  <w:pPr>
                    <w:widowControl/>
                    <w:jc w:val="center"/>
                    <w:textAlignment w:val="center"/>
                    <w:rPr>
                      <w:color w:val="auto"/>
                      <w:szCs w:val="21"/>
                    </w:rPr>
                  </w:pPr>
                  <w:r>
                    <w:rPr>
                      <w:color w:val="auto"/>
                      <w:kern w:val="0"/>
                      <w:szCs w:val="21"/>
                      <w:lang w:bidi="ar"/>
                    </w:rPr>
                    <w:t>200</w:t>
                  </w:r>
                </w:p>
              </w:tc>
              <w:tc>
                <w:tcPr>
                  <w:tcW w:w="1219" w:type="dxa"/>
                  <w:vAlign w:val="center"/>
                </w:tcPr>
                <w:p w14:paraId="48783A10">
                  <w:pPr>
                    <w:widowControl/>
                    <w:jc w:val="center"/>
                    <w:textAlignment w:val="center"/>
                    <w:rPr>
                      <w:color w:val="auto"/>
                      <w:kern w:val="0"/>
                      <w:szCs w:val="21"/>
                      <w:lang w:bidi="ar"/>
                    </w:rPr>
                  </w:pPr>
                  <w:r>
                    <w:rPr>
                      <w:color w:val="auto"/>
                      <w:kern w:val="0"/>
                      <w:szCs w:val="21"/>
                      <w:lang w:bidi="ar"/>
                    </w:rPr>
                    <w:t>0.027</w:t>
                  </w:r>
                </w:p>
              </w:tc>
              <w:tc>
                <w:tcPr>
                  <w:tcW w:w="1117" w:type="dxa"/>
                  <w:vAlign w:val="center"/>
                </w:tcPr>
                <w:p w14:paraId="475843F1">
                  <w:pPr>
                    <w:widowControl/>
                    <w:jc w:val="center"/>
                    <w:textAlignment w:val="center"/>
                    <w:rPr>
                      <w:color w:val="auto"/>
                      <w:kern w:val="0"/>
                      <w:szCs w:val="21"/>
                      <w:lang w:bidi="ar"/>
                    </w:rPr>
                  </w:pPr>
                  <w:r>
                    <w:rPr>
                      <w:color w:val="auto"/>
                      <w:kern w:val="0"/>
                      <w:szCs w:val="21"/>
                      <w:lang w:bidi="ar"/>
                    </w:rPr>
                    <w:t>60</w:t>
                  </w:r>
                </w:p>
              </w:tc>
              <w:tc>
                <w:tcPr>
                  <w:tcW w:w="1388" w:type="dxa"/>
                  <w:vAlign w:val="center"/>
                </w:tcPr>
                <w:p w14:paraId="20333D02">
                  <w:pPr>
                    <w:widowControl/>
                    <w:jc w:val="center"/>
                    <w:textAlignment w:val="center"/>
                    <w:rPr>
                      <w:color w:val="auto"/>
                      <w:kern w:val="0"/>
                      <w:szCs w:val="21"/>
                      <w:lang w:bidi="ar"/>
                    </w:rPr>
                  </w:pPr>
                  <w:r>
                    <w:rPr>
                      <w:color w:val="auto"/>
                      <w:kern w:val="0"/>
                      <w:szCs w:val="21"/>
                      <w:lang w:bidi="ar"/>
                    </w:rPr>
                    <w:t>80</w:t>
                  </w:r>
                </w:p>
              </w:tc>
              <w:tc>
                <w:tcPr>
                  <w:tcW w:w="1287" w:type="dxa"/>
                  <w:vAlign w:val="center"/>
                </w:tcPr>
                <w:p w14:paraId="68B84200">
                  <w:pPr>
                    <w:widowControl/>
                    <w:jc w:val="center"/>
                    <w:textAlignment w:val="center"/>
                    <w:rPr>
                      <w:color w:val="auto"/>
                      <w:kern w:val="0"/>
                      <w:szCs w:val="21"/>
                      <w:lang w:bidi="ar"/>
                    </w:rPr>
                  </w:pPr>
                  <w:r>
                    <w:rPr>
                      <w:color w:val="auto"/>
                      <w:kern w:val="0"/>
                      <w:szCs w:val="21"/>
                      <w:lang w:bidi="ar"/>
                    </w:rPr>
                    <w:t>0.011</w:t>
                  </w:r>
                </w:p>
              </w:tc>
              <w:tc>
                <w:tcPr>
                  <w:tcW w:w="584" w:type="pct"/>
                  <w:vAlign w:val="center"/>
                </w:tcPr>
                <w:p w14:paraId="7FC8F6C1">
                  <w:pPr>
                    <w:snapToGrid w:val="0"/>
                    <w:jc w:val="center"/>
                    <w:rPr>
                      <w:rFonts w:hint="default" w:eastAsia="宋体"/>
                      <w:color w:val="auto"/>
                      <w:szCs w:val="21"/>
                      <w:lang w:val="en-US" w:eastAsia="zh-CN"/>
                    </w:rPr>
                  </w:pPr>
                  <w:r>
                    <w:rPr>
                      <w:rFonts w:hint="eastAsia"/>
                      <w:color w:val="auto"/>
                      <w:szCs w:val="21"/>
                      <w:lang w:val="en-US" w:eastAsia="zh-CN"/>
                    </w:rPr>
                    <w:t>250</w:t>
                  </w:r>
                </w:p>
              </w:tc>
            </w:tr>
            <w:tr w14:paraId="6FD1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4" w:type="pct"/>
                  <w:vMerge w:val="continue"/>
                  <w:vAlign w:val="center"/>
                </w:tcPr>
                <w:p w14:paraId="6B7E5CBB">
                  <w:pPr>
                    <w:snapToGrid w:val="0"/>
                    <w:jc w:val="center"/>
                    <w:rPr>
                      <w:color w:val="auto"/>
                      <w:szCs w:val="21"/>
                    </w:rPr>
                  </w:pPr>
                </w:p>
              </w:tc>
              <w:tc>
                <w:tcPr>
                  <w:tcW w:w="609" w:type="pct"/>
                  <w:vAlign w:val="center"/>
                </w:tcPr>
                <w:p w14:paraId="69B85549">
                  <w:pPr>
                    <w:snapToGrid w:val="0"/>
                    <w:jc w:val="center"/>
                    <w:rPr>
                      <w:color w:val="auto"/>
                      <w:szCs w:val="21"/>
                    </w:rPr>
                  </w:pPr>
                  <w:r>
                    <w:rPr>
                      <w:color w:val="auto"/>
                      <w:szCs w:val="21"/>
                    </w:rPr>
                    <w:t>氨氮</w:t>
                  </w:r>
                </w:p>
              </w:tc>
              <w:tc>
                <w:tcPr>
                  <w:tcW w:w="1343" w:type="dxa"/>
                  <w:vAlign w:val="center"/>
                </w:tcPr>
                <w:p w14:paraId="5FACCC53">
                  <w:pPr>
                    <w:widowControl/>
                    <w:jc w:val="center"/>
                    <w:textAlignment w:val="center"/>
                    <w:rPr>
                      <w:color w:val="auto"/>
                      <w:szCs w:val="21"/>
                    </w:rPr>
                  </w:pPr>
                  <w:r>
                    <w:rPr>
                      <w:color w:val="auto"/>
                      <w:kern w:val="0"/>
                      <w:szCs w:val="21"/>
                      <w:lang w:bidi="ar"/>
                    </w:rPr>
                    <w:t>28.3</w:t>
                  </w:r>
                </w:p>
              </w:tc>
              <w:tc>
                <w:tcPr>
                  <w:tcW w:w="1219" w:type="dxa"/>
                  <w:vAlign w:val="center"/>
                </w:tcPr>
                <w:p w14:paraId="03278132">
                  <w:pPr>
                    <w:widowControl/>
                    <w:jc w:val="center"/>
                    <w:textAlignment w:val="center"/>
                    <w:rPr>
                      <w:color w:val="auto"/>
                      <w:kern w:val="0"/>
                      <w:szCs w:val="21"/>
                      <w:lang w:bidi="ar"/>
                    </w:rPr>
                  </w:pPr>
                  <w:r>
                    <w:rPr>
                      <w:color w:val="auto"/>
                      <w:kern w:val="0"/>
                      <w:szCs w:val="21"/>
                      <w:lang w:bidi="ar"/>
                    </w:rPr>
                    <w:t>0.004</w:t>
                  </w:r>
                </w:p>
              </w:tc>
              <w:tc>
                <w:tcPr>
                  <w:tcW w:w="1117" w:type="dxa"/>
                  <w:vAlign w:val="center"/>
                </w:tcPr>
                <w:p w14:paraId="1D940401">
                  <w:pPr>
                    <w:widowControl/>
                    <w:jc w:val="center"/>
                    <w:textAlignment w:val="center"/>
                    <w:rPr>
                      <w:color w:val="auto"/>
                      <w:kern w:val="0"/>
                      <w:szCs w:val="21"/>
                      <w:lang w:bidi="ar"/>
                    </w:rPr>
                  </w:pPr>
                  <w:r>
                    <w:rPr>
                      <w:color w:val="auto"/>
                      <w:kern w:val="0"/>
                      <w:szCs w:val="21"/>
                      <w:lang w:bidi="ar"/>
                    </w:rPr>
                    <w:t>3</w:t>
                  </w:r>
                </w:p>
              </w:tc>
              <w:tc>
                <w:tcPr>
                  <w:tcW w:w="1388" w:type="dxa"/>
                  <w:vAlign w:val="center"/>
                </w:tcPr>
                <w:p w14:paraId="526A4D9E">
                  <w:pPr>
                    <w:widowControl/>
                    <w:jc w:val="center"/>
                    <w:textAlignment w:val="center"/>
                    <w:rPr>
                      <w:color w:val="auto"/>
                      <w:kern w:val="0"/>
                      <w:szCs w:val="21"/>
                      <w:lang w:bidi="ar"/>
                    </w:rPr>
                  </w:pPr>
                  <w:r>
                    <w:rPr>
                      <w:color w:val="auto"/>
                      <w:kern w:val="0"/>
                      <w:szCs w:val="21"/>
                      <w:lang w:bidi="ar"/>
                    </w:rPr>
                    <w:t>27.</w:t>
                  </w:r>
                  <w:r>
                    <w:rPr>
                      <w:rFonts w:hint="eastAsia"/>
                      <w:color w:val="auto"/>
                      <w:kern w:val="0"/>
                      <w:szCs w:val="21"/>
                      <w:lang w:val="en-US" w:eastAsia="zh-CN" w:bidi="ar"/>
                    </w:rPr>
                    <w:t>5</w:t>
                  </w:r>
                </w:p>
              </w:tc>
              <w:tc>
                <w:tcPr>
                  <w:tcW w:w="1287" w:type="dxa"/>
                  <w:vAlign w:val="center"/>
                </w:tcPr>
                <w:p w14:paraId="53307A2B">
                  <w:pPr>
                    <w:widowControl/>
                    <w:jc w:val="center"/>
                    <w:textAlignment w:val="center"/>
                    <w:rPr>
                      <w:color w:val="auto"/>
                      <w:kern w:val="0"/>
                      <w:szCs w:val="21"/>
                      <w:lang w:bidi="ar"/>
                    </w:rPr>
                  </w:pPr>
                  <w:r>
                    <w:rPr>
                      <w:color w:val="auto"/>
                      <w:kern w:val="0"/>
                      <w:szCs w:val="21"/>
                      <w:lang w:bidi="ar"/>
                    </w:rPr>
                    <w:t>0.004</w:t>
                  </w:r>
                </w:p>
              </w:tc>
              <w:tc>
                <w:tcPr>
                  <w:tcW w:w="584" w:type="pct"/>
                  <w:vAlign w:val="center"/>
                </w:tcPr>
                <w:p w14:paraId="05CBA050">
                  <w:pPr>
                    <w:snapToGrid w:val="0"/>
                    <w:jc w:val="center"/>
                    <w:rPr>
                      <w:rFonts w:hint="default" w:eastAsia="宋体"/>
                      <w:color w:val="auto"/>
                      <w:szCs w:val="21"/>
                      <w:lang w:val="en-US" w:eastAsia="zh-CN"/>
                    </w:rPr>
                  </w:pPr>
                  <w:r>
                    <w:rPr>
                      <w:rFonts w:hint="eastAsia"/>
                      <w:color w:val="auto"/>
                      <w:szCs w:val="21"/>
                      <w:lang w:val="en-US" w:eastAsia="zh-CN"/>
                    </w:rPr>
                    <w:t>40</w:t>
                  </w:r>
                </w:p>
              </w:tc>
            </w:tr>
          </w:tbl>
          <w:p w14:paraId="5D71045E">
            <w:pPr>
              <w:rPr>
                <w:color w:val="auto"/>
                <w:sz w:val="24"/>
                <w:szCs w:val="24"/>
              </w:rPr>
            </w:pPr>
          </w:p>
          <w:p w14:paraId="53C166AF">
            <w:pPr>
              <w:adjustRightInd w:val="0"/>
              <w:snapToGrid w:val="0"/>
              <w:spacing w:line="360" w:lineRule="auto"/>
              <w:ind w:firstLine="442" w:firstLineChars="200"/>
              <w:rPr>
                <w:b/>
                <w:color w:val="auto"/>
                <w:spacing w:val="-10"/>
                <w:sz w:val="24"/>
                <w:szCs w:val="24"/>
              </w:rPr>
            </w:pPr>
            <w:r>
              <w:rPr>
                <w:b/>
                <w:color w:val="auto"/>
                <w:spacing w:val="-10"/>
                <w:sz w:val="24"/>
                <w:szCs w:val="24"/>
              </w:rPr>
              <w:t>2、水污染控制和水环境影响减缓措施有效性评价</w:t>
            </w:r>
          </w:p>
          <w:p w14:paraId="3D8D2DED">
            <w:pPr>
              <w:adjustRightInd w:val="0"/>
              <w:snapToGrid w:val="0"/>
              <w:spacing w:line="360" w:lineRule="auto"/>
              <w:ind w:firstLine="480" w:firstLineChars="200"/>
              <w:rPr>
                <w:color w:val="auto"/>
                <w:sz w:val="24"/>
                <w:szCs w:val="24"/>
              </w:rPr>
            </w:pPr>
            <w:r>
              <w:rPr>
                <w:color w:val="auto"/>
                <w:kern w:val="0"/>
                <w:sz w:val="24"/>
                <w:szCs w:val="24"/>
              </w:rPr>
              <w:t>生活污水来自厂区日常运行，本项目生活污水产生量</w:t>
            </w:r>
            <w:r>
              <w:rPr>
                <w:bCs/>
                <w:color w:val="auto"/>
                <w:sz w:val="24"/>
                <w:szCs w:val="24"/>
              </w:rPr>
              <w:t>135t/a（0.522m</w:t>
            </w:r>
            <w:r>
              <w:rPr>
                <w:bCs/>
                <w:color w:val="auto"/>
                <w:sz w:val="24"/>
                <w:szCs w:val="24"/>
                <w:vertAlign w:val="superscript"/>
              </w:rPr>
              <w:t>3</w:t>
            </w:r>
            <w:r>
              <w:rPr>
                <w:bCs/>
                <w:color w:val="auto"/>
                <w:sz w:val="24"/>
                <w:szCs w:val="24"/>
              </w:rPr>
              <w:t xml:space="preserve"> /d） </w:t>
            </w:r>
            <w:r>
              <w:rPr>
                <w:color w:val="auto"/>
                <w:kern w:val="0"/>
                <w:sz w:val="24"/>
                <w:szCs w:val="24"/>
              </w:rPr>
              <w:t>，</w:t>
            </w:r>
            <w:r>
              <w:rPr>
                <w:color w:val="auto"/>
                <w:sz w:val="24"/>
                <w:szCs w:val="24"/>
              </w:rPr>
              <w:t>属于典型的城市生活污水，生活污水水质简单，主要污染物为COD</w:t>
            </w:r>
            <w:r>
              <w:rPr>
                <w:color w:val="auto"/>
                <w:sz w:val="24"/>
                <w:szCs w:val="24"/>
                <w:vertAlign w:val="subscript"/>
              </w:rPr>
              <w:t>Cr</w:t>
            </w:r>
            <w:r>
              <w:rPr>
                <w:color w:val="auto"/>
                <w:sz w:val="24"/>
                <w:szCs w:val="24"/>
              </w:rPr>
              <w:t>、BOD</w:t>
            </w:r>
            <w:r>
              <w:rPr>
                <w:color w:val="auto"/>
                <w:sz w:val="24"/>
                <w:szCs w:val="24"/>
                <w:vertAlign w:val="subscript"/>
              </w:rPr>
              <w:t>5</w:t>
            </w:r>
            <w:r>
              <w:rPr>
                <w:color w:val="auto"/>
                <w:sz w:val="24"/>
                <w:szCs w:val="24"/>
              </w:rPr>
              <w:t xml:space="preserve">、SS、氨氮。本项目生活污水接入园区污水管网，生活污水经三级化粪池预处理后，排入园区污水管网至园区污水处理厂进行进一步处理，对纳污水体的环境影响较小。参考《排污许可证申请与核发技术规范 农药制造工业》（HJ 862-2017）废水可行技术参照表中生活污水采用生化处理、厌氧处理等为可行技术，因此本项目生活污水经三级化粪池预处理后达到园区污水厂进水水质标准后经污水管网接入园区污水处理厂集中处理为可行技术。 </w:t>
            </w:r>
          </w:p>
          <w:p w14:paraId="6C27BB94">
            <w:pPr>
              <w:adjustRightInd w:val="0"/>
              <w:snapToGrid w:val="0"/>
              <w:spacing w:line="360" w:lineRule="auto"/>
              <w:ind w:firstLine="442" w:firstLineChars="200"/>
              <w:rPr>
                <w:b/>
                <w:color w:val="auto"/>
                <w:spacing w:val="-10"/>
                <w:sz w:val="24"/>
                <w:szCs w:val="24"/>
              </w:rPr>
            </w:pPr>
            <w:r>
              <w:rPr>
                <w:b/>
                <w:color w:val="auto"/>
                <w:spacing w:val="-10"/>
                <w:sz w:val="24"/>
                <w:szCs w:val="24"/>
              </w:rPr>
              <w:t>3、依托污水处理设施的环境可行性评价</w:t>
            </w:r>
          </w:p>
          <w:p w14:paraId="4B541ED7">
            <w:pPr>
              <w:adjustRightInd w:val="0"/>
              <w:snapToGrid w:val="0"/>
              <w:spacing w:line="360" w:lineRule="auto"/>
              <w:ind w:firstLine="480" w:firstLineChars="200"/>
              <w:rPr>
                <w:color w:val="auto"/>
                <w:sz w:val="24"/>
                <w:szCs w:val="24"/>
              </w:rPr>
            </w:pPr>
            <w:r>
              <w:rPr>
                <w:color w:val="auto"/>
                <w:sz w:val="24"/>
                <w:szCs w:val="24"/>
              </w:rPr>
              <w:t>本项目生活污水经三级化粪池预处理达到进水标准后排入园区污水处理厂进一步处理。</w:t>
            </w:r>
          </w:p>
          <w:p w14:paraId="75300488">
            <w:pPr>
              <w:pStyle w:val="19"/>
              <w:spacing w:after="0" w:line="360" w:lineRule="auto"/>
              <w:ind w:firstLine="480"/>
              <w:rPr>
                <w:color w:val="auto"/>
                <w:sz w:val="24"/>
                <w:szCs w:val="24"/>
              </w:rPr>
            </w:pPr>
            <w:r>
              <w:rPr>
                <w:color w:val="auto"/>
                <w:sz w:val="24"/>
                <w:szCs w:val="24"/>
              </w:rPr>
              <w:t>产业园范围内已有乐昌产业转移工业园污水处理厂，且本项目所在地块已纳入现状排污管收集范围内。污水工艺采用循环式活性污泥法（CASS）工艺。出水水质标准执行广东省地方标准《水污染物排放限值》（DB44/26-2001）第二时段一级标准及国家《城镇污水处理厂污染物排放标准》（GB18918-2002）一级B标准中较严标准，处理达标后由污水处理厂内提升泵通过已建成6392米长的出水管道输送至武江排放。</w:t>
            </w:r>
          </w:p>
          <w:p w14:paraId="4E2ABADC">
            <w:pPr>
              <w:pStyle w:val="19"/>
              <w:spacing w:after="0" w:line="360" w:lineRule="auto"/>
              <w:ind w:firstLine="480"/>
              <w:rPr>
                <w:color w:val="auto"/>
                <w:sz w:val="24"/>
                <w:szCs w:val="24"/>
              </w:rPr>
            </w:pPr>
            <w:r>
              <w:rPr>
                <w:color w:val="auto"/>
                <w:sz w:val="24"/>
                <w:szCs w:val="24"/>
              </w:rPr>
              <w:t>园区污水处理厂主体工艺采用CASS，该工艺运行灵活、耐冲击能力强等优点。对于产业转移工业园工业废水，现状各企业基本无生产废水产生，只产生生活污水。可能对污水厂处理工艺产生影响的主要为产业转移工业园规划引进的企业的生产废水，园区主导行业电子信息、机械、金属制品、轻纺等产业可能产生的生产废水中部分指标较高，对于接入污水厂的生产废水，产业转移工业园要求企业根据生产废水的水质情况进行预处理。其中，如有集成电路生产企业，其生产废水经pH值调节、投药、絮凝沉淀，重点去除F-后，预处理达到广东省《水污染物排放限值》（DB44/26-2001）第二时段三级标准。</w:t>
            </w:r>
          </w:p>
          <w:p w14:paraId="584F61A9">
            <w:pPr>
              <w:pStyle w:val="15"/>
              <w:ind w:firstLine="420"/>
              <w:rPr>
                <w:rFonts w:ascii="Times New Roman" w:hAnsi="Times New Roman"/>
                <w:color w:val="auto"/>
                <w:kern w:val="2"/>
                <w:sz w:val="24"/>
                <w:szCs w:val="24"/>
              </w:rPr>
            </w:pPr>
            <w:r>
              <w:rPr>
                <w:rFonts w:ascii="Times New Roman" w:hAnsi="Times New Roman"/>
                <w:color w:val="auto"/>
                <w:kern w:val="2"/>
                <w:sz w:val="24"/>
                <w:szCs w:val="24"/>
              </w:rPr>
              <w:t>产业园污水处理厂目前已建成正常运行，并安装了在线监控设施并与环保部门联网，园区污水处理厂占地面积15400m</w:t>
            </w:r>
            <w:r>
              <w:rPr>
                <w:rFonts w:ascii="Times New Roman" w:hAnsi="Times New Roman"/>
                <w:color w:val="auto"/>
                <w:kern w:val="2"/>
                <w:sz w:val="24"/>
                <w:szCs w:val="24"/>
                <w:vertAlign w:val="superscript"/>
              </w:rPr>
              <w:t>2</w:t>
            </w:r>
            <w:r>
              <w:rPr>
                <w:rFonts w:ascii="Times New Roman" w:hAnsi="Times New Roman"/>
                <w:color w:val="auto"/>
                <w:kern w:val="2"/>
                <w:sz w:val="24"/>
                <w:szCs w:val="24"/>
              </w:rPr>
              <w:t>，设计处理能力为10000m</w:t>
            </w:r>
            <w:r>
              <w:rPr>
                <w:rFonts w:ascii="Times New Roman" w:hAnsi="Times New Roman"/>
                <w:color w:val="auto"/>
                <w:kern w:val="2"/>
                <w:sz w:val="24"/>
                <w:szCs w:val="24"/>
                <w:vertAlign w:val="superscript"/>
              </w:rPr>
              <w:t>3</w:t>
            </w:r>
            <w:r>
              <w:rPr>
                <w:rFonts w:ascii="Times New Roman" w:hAnsi="Times New Roman"/>
                <w:color w:val="auto"/>
                <w:kern w:val="2"/>
                <w:sz w:val="24"/>
                <w:szCs w:val="24"/>
              </w:rPr>
              <w:t>/d，分两期建设，一期处理能力5000m</w:t>
            </w:r>
            <w:r>
              <w:rPr>
                <w:rFonts w:ascii="Times New Roman" w:hAnsi="Times New Roman"/>
                <w:color w:val="auto"/>
                <w:kern w:val="2"/>
                <w:sz w:val="24"/>
                <w:szCs w:val="24"/>
                <w:vertAlign w:val="superscript"/>
              </w:rPr>
              <w:t>3</w:t>
            </w:r>
            <w:r>
              <w:rPr>
                <w:rFonts w:ascii="Times New Roman" w:hAnsi="Times New Roman"/>
                <w:color w:val="auto"/>
                <w:kern w:val="2"/>
                <w:sz w:val="24"/>
                <w:szCs w:val="24"/>
              </w:rPr>
              <w:t>/d，二期处理能力5000m</w:t>
            </w:r>
            <w:r>
              <w:rPr>
                <w:rFonts w:ascii="Times New Roman" w:hAnsi="Times New Roman"/>
                <w:color w:val="auto"/>
                <w:kern w:val="2"/>
                <w:sz w:val="24"/>
                <w:szCs w:val="24"/>
                <w:vertAlign w:val="superscript"/>
              </w:rPr>
              <w:t>3</w:t>
            </w:r>
            <w:r>
              <w:rPr>
                <w:rFonts w:ascii="Times New Roman" w:hAnsi="Times New Roman"/>
                <w:color w:val="auto"/>
                <w:kern w:val="2"/>
                <w:sz w:val="24"/>
                <w:szCs w:val="24"/>
              </w:rPr>
              <w:t>/d，现状首期5000m</w:t>
            </w:r>
            <w:r>
              <w:rPr>
                <w:rFonts w:ascii="Times New Roman" w:hAnsi="Times New Roman"/>
                <w:color w:val="auto"/>
                <w:kern w:val="2"/>
                <w:sz w:val="24"/>
                <w:szCs w:val="24"/>
                <w:vertAlign w:val="superscript"/>
              </w:rPr>
              <w:t>3</w:t>
            </w:r>
            <w:r>
              <w:rPr>
                <w:rFonts w:ascii="Times New Roman" w:hAnsi="Times New Roman"/>
                <w:color w:val="auto"/>
                <w:kern w:val="2"/>
                <w:sz w:val="24"/>
                <w:szCs w:val="24"/>
              </w:rPr>
              <w:t>/d已经建成运行。</w:t>
            </w:r>
          </w:p>
          <w:p w14:paraId="78628521">
            <w:pPr>
              <w:widowControl/>
              <w:spacing w:line="360" w:lineRule="auto"/>
              <w:ind w:firstLine="480" w:firstLineChars="200"/>
              <w:rPr>
                <w:color w:val="auto"/>
                <w:sz w:val="24"/>
                <w:szCs w:val="24"/>
              </w:rPr>
            </w:pPr>
            <w:r>
              <w:rPr>
                <w:color w:val="auto"/>
                <w:sz w:val="24"/>
                <w:szCs w:val="24"/>
              </w:rPr>
              <w:t>根据乐昌产业转移工业园管委会提供的资料显示：2025年1月至6月期间，乐昌市产业转移工业园污水处理厂接纳污水总量为404312m</w:t>
            </w:r>
            <w:r>
              <w:rPr>
                <w:color w:val="auto"/>
                <w:sz w:val="24"/>
                <w:szCs w:val="24"/>
                <w:vertAlign w:val="superscript"/>
              </w:rPr>
              <w:t>3</w:t>
            </w:r>
            <w:r>
              <w:rPr>
                <w:color w:val="auto"/>
                <w:sz w:val="24"/>
                <w:szCs w:val="24"/>
              </w:rPr>
              <w:t>，最大接纳污水量为6月110739m</w:t>
            </w:r>
            <w:r>
              <w:rPr>
                <w:color w:val="auto"/>
                <w:sz w:val="24"/>
                <w:szCs w:val="24"/>
                <w:vertAlign w:val="superscript"/>
              </w:rPr>
              <w:t>3</w:t>
            </w:r>
            <w:r>
              <w:rPr>
                <w:color w:val="auto"/>
                <w:sz w:val="24"/>
                <w:szCs w:val="24"/>
              </w:rPr>
              <w:t>，最小接纳污水量为1月32168m</w:t>
            </w:r>
            <w:r>
              <w:rPr>
                <w:color w:val="auto"/>
                <w:sz w:val="24"/>
                <w:szCs w:val="24"/>
                <w:vertAlign w:val="superscript"/>
              </w:rPr>
              <w:t>3</w:t>
            </w:r>
            <w:r>
              <w:rPr>
                <w:color w:val="auto"/>
                <w:sz w:val="24"/>
                <w:szCs w:val="24"/>
              </w:rPr>
              <w:t>，平均每月接纳污水总量为80862.4m</w:t>
            </w:r>
            <w:r>
              <w:rPr>
                <w:color w:val="auto"/>
                <w:sz w:val="24"/>
                <w:szCs w:val="24"/>
                <w:vertAlign w:val="superscript"/>
              </w:rPr>
              <w:t>3</w:t>
            </w:r>
            <w:r>
              <w:rPr>
                <w:color w:val="auto"/>
                <w:sz w:val="24"/>
                <w:szCs w:val="24"/>
              </w:rPr>
              <w:t>，按每月30日折算日处理量约为2695.4m</w:t>
            </w:r>
            <w:r>
              <w:rPr>
                <w:color w:val="auto"/>
                <w:sz w:val="24"/>
                <w:szCs w:val="24"/>
                <w:vertAlign w:val="superscript"/>
              </w:rPr>
              <w:t>3</w:t>
            </w:r>
            <w:r>
              <w:rPr>
                <w:color w:val="auto"/>
                <w:sz w:val="24"/>
                <w:szCs w:val="24"/>
              </w:rPr>
              <w:t>/d，则剩余接纳污水能力为5000m</w:t>
            </w:r>
            <w:r>
              <w:rPr>
                <w:color w:val="auto"/>
                <w:sz w:val="24"/>
                <w:szCs w:val="24"/>
                <w:vertAlign w:val="superscript"/>
              </w:rPr>
              <w:t>3</w:t>
            </w:r>
            <w:r>
              <w:rPr>
                <w:color w:val="auto"/>
                <w:sz w:val="24"/>
                <w:szCs w:val="24"/>
              </w:rPr>
              <w:t>/d-2695.4m</w:t>
            </w:r>
            <w:r>
              <w:rPr>
                <w:color w:val="auto"/>
                <w:sz w:val="24"/>
                <w:szCs w:val="24"/>
                <w:vertAlign w:val="superscript"/>
              </w:rPr>
              <w:t>3</w:t>
            </w:r>
            <w:r>
              <w:rPr>
                <w:color w:val="auto"/>
                <w:sz w:val="24"/>
                <w:szCs w:val="24"/>
              </w:rPr>
              <w:t>/d=2304.6m</w:t>
            </w:r>
            <w:r>
              <w:rPr>
                <w:color w:val="auto"/>
                <w:sz w:val="24"/>
                <w:szCs w:val="24"/>
                <w:vertAlign w:val="superscript"/>
              </w:rPr>
              <w:t>3</w:t>
            </w:r>
            <w:r>
              <w:rPr>
                <w:color w:val="auto"/>
                <w:sz w:val="24"/>
                <w:szCs w:val="24"/>
              </w:rPr>
              <w:t>/d。</w:t>
            </w:r>
          </w:p>
          <w:p w14:paraId="769A430A">
            <w:pPr>
              <w:pStyle w:val="15"/>
              <w:ind w:firstLine="420"/>
              <w:rPr>
                <w:rFonts w:ascii="Times New Roman" w:hAnsi="Times New Roman"/>
                <w:color w:val="auto"/>
                <w:kern w:val="2"/>
                <w:sz w:val="24"/>
                <w:szCs w:val="24"/>
              </w:rPr>
            </w:pPr>
            <w:r>
              <w:rPr>
                <w:rFonts w:ascii="Times New Roman" w:hAnsi="Times New Roman"/>
                <w:color w:val="auto"/>
                <w:kern w:val="2"/>
                <w:sz w:val="24"/>
                <w:szCs w:val="24"/>
              </w:rPr>
              <w:t>本项目纳入污水处理厂的污水排放量为0.522m</w:t>
            </w:r>
            <w:r>
              <w:rPr>
                <w:rFonts w:ascii="Times New Roman" w:hAnsi="Times New Roman"/>
                <w:color w:val="auto"/>
                <w:kern w:val="2"/>
                <w:sz w:val="24"/>
                <w:szCs w:val="24"/>
                <w:vertAlign w:val="superscript"/>
              </w:rPr>
              <w:t>3</w:t>
            </w:r>
            <w:r>
              <w:rPr>
                <w:rFonts w:ascii="Times New Roman" w:hAnsi="Times New Roman"/>
                <w:color w:val="auto"/>
                <w:kern w:val="2"/>
                <w:sz w:val="24"/>
                <w:szCs w:val="24"/>
              </w:rPr>
              <w:t>/d，约占剩余处理能力的0.02%。污水中的污染物主要为SS、COD</w:t>
            </w:r>
            <w:r>
              <w:rPr>
                <w:rFonts w:ascii="Times New Roman" w:hAnsi="Times New Roman"/>
                <w:color w:val="auto"/>
                <w:kern w:val="2"/>
                <w:sz w:val="24"/>
                <w:szCs w:val="24"/>
                <w:vertAlign w:val="subscript"/>
              </w:rPr>
              <w:t>Cr</w:t>
            </w:r>
            <w:r>
              <w:rPr>
                <w:rFonts w:ascii="Times New Roman" w:hAnsi="Times New Roman"/>
                <w:color w:val="auto"/>
                <w:kern w:val="2"/>
                <w:sz w:val="24"/>
                <w:szCs w:val="24"/>
              </w:rPr>
              <w:t>、BOD</w:t>
            </w:r>
            <w:r>
              <w:rPr>
                <w:rFonts w:ascii="Times New Roman" w:hAnsi="Times New Roman"/>
                <w:color w:val="auto"/>
                <w:kern w:val="2"/>
                <w:sz w:val="24"/>
                <w:szCs w:val="24"/>
                <w:vertAlign w:val="subscript"/>
              </w:rPr>
              <w:t>5</w:t>
            </w:r>
            <w:r>
              <w:rPr>
                <w:rFonts w:ascii="Times New Roman" w:hAnsi="Times New Roman"/>
                <w:color w:val="auto"/>
                <w:kern w:val="2"/>
                <w:sz w:val="24"/>
                <w:szCs w:val="24"/>
              </w:rPr>
              <w:t>、NH</w:t>
            </w:r>
            <w:r>
              <w:rPr>
                <w:rFonts w:ascii="Times New Roman" w:hAnsi="Times New Roman"/>
                <w:color w:val="auto"/>
                <w:kern w:val="2"/>
                <w:sz w:val="24"/>
                <w:szCs w:val="24"/>
                <w:vertAlign w:val="subscript"/>
              </w:rPr>
              <w:t>3</w:t>
            </w:r>
            <w:r>
              <w:rPr>
                <w:rFonts w:ascii="Times New Roman" w:hAnsi="Times New Roman"/>
                <w:color w:val="auto"/>
                <w:kern w:val="2"/>
                <w:sz w:val="24"/>
                <w:szCs w:val="24"/>
              </w:rPr>
              <w:t>-N等，污染物种类较简单。</w:t>
            </w:r>
          </w:p>
          <w:p w14:paraId="170AC0CF">
            <w:pPr>
              <w:adjustRightInd w:val="0"/>
              <w:snapToGrid w:val="0"/>
              <w:spacing w:line="360" w:lineRule="auto"/>
              <w:ind w:firstLine="480" w:firstLineChars="200"/>
              <w:rPr>
                <w:bCs/>
                <w:color w:val="auto"/>
                <w:spacing w:val="-10"/>
                <w:sz w:val="24"/>
                <w:szCs w:val="24"/>
              </w:rPr>
            </w:pPr>
            <w:r>
              <w:rPr>
                <w:color w:val="auto"/>
                <w:sz w:val="24"/>
                <w:szCs w:val="24"/>
              </w:rPr>
              <w:t>综上，项目在园区污水处理厂的集水范围内，该污水处理厂有能力接纳项目产生的污水，项目废水接入不会对园区污水处理厂的正常运行产生冲击。因此，项目生活污水依托园区污水处理厂处理具有环境可行性。</w:t>
            </w:r>
          </w:p>
          <w:p w14:paraId="12938784">
            <w:pPr>
              <w:pStyle w:val="174"/>
              <w:snapToGrid w:val="0"/>
              <w:jc w:val="center"/>
              <w:rPr>
                <w:color w:val="auto"/>
              </w:rPr>
            </w:pPr>
            <w:r>
              <w:rPr>
                <w:color w:val="auto"/>
              </w:rPr>
              <w:drawing>
                <wp:inline distT="0" distB="0" distL="114300" distR="114300">
                  <wp:extent cx="5344160" cy="2265045"/>
                  <wp:effectExtent l="0" t="0" r="8890" b="190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8"/>
                          <a:srcRect l="4562" t="1219"/>
                          <a:stretch>
                            <a:fillRect/>
                          </a:stretch>
                        </pic:blipFill>
                        <pic:spPr>
                          <a:xfrm>
                            <a:off x="0" y="0"/>
                            <a:ext cx="5344160" cy="2265045"/>
                          </a:xfrm>
                          <a:prstGeom prst="rect">
                            <a:avLst/>
                          </a:prstGeom>
                          <a:noFill/>
                          <a:ln>
                            <a:noFill/>
                          </a:ln>
                        </pic:spPr>
                      </pic:pic>
                    </a:graphicData>
                  </a:graphic>
                </wp:inline>
              </w:drawing>
            </w:r>
          </w:p>
          <w:p w14:paraId="40C27CEA">
            <w:pPr>
              <w:widowControl/>
              <w:numPr>
                <w:ilvl w:val="0"/>
                <w:numId w:val="0"/>
              </w:numPr>
              <w:tabs>
                <w:tab w:val="left" w:pos="0"/>
              </w:tabs>
              <w:snapToGrid w:val="0"/>
              <w:ind w:leftChars="0"/>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图</w:t>
            </w:r>
            <w:r>
              <w:rPr>
                <w:rFonts w:ascii="Times New Roman" w:hAnsi="Times New Roman" w:eastAsia="宋体" w:cs="Times New Roman"/>
                <w:b/>
                <w:bCs/>
                <w:color w:val="auto"/>
                <w:sz w:val="24"/>
                <w:szCs w:val="24"/>
              </w:rPr>
              <w:fldChar w:fldCharType="begin"/>
            </w:r>
            <w:r>
              <w:rPr>
                <w:rFonts w:ascii="Times New Roman" w:hAnsi="Times New Roman" w:eastAsia="宋体" w:cs="Times New Roman"/>
                <w:b/>
                <w:bCs/>
                <w:color w:val="auto"/>
                <w:sz w:val="24"/>
                <w:szCs w:val="24"/>
              </w:rPr>
              <w:instrText xml:space="preserve"> SEQ 图 \* ARABIC </w:instrText>
            </w:r>
            <w:r>
              <w:rPr>
                <w:rFonts w:ascii="Times New Roman" w:hAnsi="Times New Roman" w:eastAsia="宋体" w:cs="Times New Roman"/>
                <w:b/>
                <w:bCs/>
                <w:color w:val="auto"/>
                <w:sz w:val="24"/>
                <w:szCs w:val="24"/>
              </w:rPr>
              <w:fldChar w:fldCharType="separate"/>
            </w:r>
            <w:r>
              <w:rPr>
                <w:rFonts w:ascii="Times New Roman" w:hAnsi="Times New Roman" w:eastAsia="宋体" w:cs="Times New Roman"/>
                <w:b/>
                <w:bCs/>
                <w:color w:val="auto"/>
                <w:sz w:val="24"/>
                <w:szCs w:val="24"/>
              </w:rPr>
              <w:t>2</w:t>
            </w:r>
            <w:r>
              <w:rPr>
                <w:rFonts w:ascii="Times New Roman" w:hAnsi="Times New Roman" w:eastAsia="宋体" w:cs="Times New Roman"/>
                <w:b/>
                <w:bCs/>
                <w:color w:val="auto"/>
                <w:sz w:val="24"/>
                <w:szCs w:val="24"/>
              </w:rPr>
              <w:fldChar w:fldCharType="end"/>
            </w:r>
            <w:r>
              <w:rPr>
                <w:rFonts w:hint="eastAsia" w:ascii="Times New Roman" w:hAnsi="Times New Roman" w:eastAsia="宋体" w:cs="Times New Roman"/>
                <w:b/>
                <w:bCs/>
                <w:color w:val="auto"/>
                <w:sz w:val="24"/>
                <w:szCs w:val="24"/>
                <w:lang w:val="en-US" w:eastAsia="zh-CN"/>
              </w:rPr>
              <w:t xml:space="preserve"> </w:t>
            </w:r>
            <w:r>
              <w:rPr>
                <w:rFonts w:ascii="Times New Roman" w:hAnsi="Times New Roman" w:eastAsia="宋体" w:cs="Times New Roman"/>
                <w:b/>
                <w:bCs/>
                <w:color w:val="auto"/>
                <w:sz w:val="24"/>
                <w:szCs w:val="24"/>
              </w:rPr>
              <w:t>园区污水处理厂工艺流程图</w:t>
            </w:r>
          </w:p>
          <w:p w14:paraId="003EEC10">
            <w:pPr>
              <w:adjustRightInd w:val="0"/>
              <w:snapToGrid w:val="0"/>
              <w:spacing w:line="360" w:lineRule="auto"/>
              <w:rPr>
                <w:bCs/>
                <w:color w:val="auto"/>
                <w:spacing w:val="-10"/>
                <w:szCs w:val="21"/>
              </w:rPr>
            </w:pPr>
          </w:p>
        </w:tc>
      </w:tr>
    </w:tbl>
    <w:p w14:paraId="64CE01FF">
      <w:pPr>
        <w:rPr>
          <w:color w:val="auto"/>
        </w:rPr>
        <w:sectPr>
          <w:footerReference r:id="rId8" w:type="default"/>
          <w:pgSz w:w="11906" w:h="16838"/>
          <w:pgMar w:top="1417" w:right="1531" w:bottom="1417" w:left="1531" w:header="851" w:footer="1077" w:gutter="0"/>
          <w:cols w:space="720" w:num="1"/>
          <w:docGrid w:linePitch="312" w:charSpace="0"/>
        </w:sect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
        <w:gridCol w:w="13187"/>
      </w:tblGrid>
      <w:tr w14:paraId="1110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 w:type="dxa"/>
          </w:tcPr>
          <w:p w14:paraId="4E2F8704">
            <w:pPr>
              <w:adjustRightInd w:val="0"/>
              <w:snapToGrid w:val="0"/>
              <w:spacing w:line="360" w:lineRule="auto"/>
              <w:rPr>
                <w:color w:val="auto"/>
                <w:szCs w:val="21"/>
              </w:rPr>
            </w:pPr>
          </w:p>
        </w:tc>
        <w:tc>
          <w:tcPr>
            <w:tcW w:w="13412" w:type="dxa"/>
          </w:tcPr>
          <w:p w14:paraId="105B8AE2">
            <w:pPr>
              <w:adjustRightInd w:val="0"/>
              <w:snapToGrid w:val="0"/>
              <w:spacing w:line="360" w:lineRule="auto"/>
              <w:ind w:firstLine="442" w:firstLineChars="200"/>
              <w:rPr>
                <w:b/>
                <w:color w:val="auto"/>
                <w:spacing w:val="-10"/>
                <w:sz w:val="24"/>
                <w:szCs w:val="24"/>
              </w:rPr>
            </w:pPr>
            <w:r>
              <w:rPr>
                <w:b/>
                <w:color w:val="auto"/>
                <w:spacing w:val="-10"/>
                <w:sz w:val="24"/>
                <w:szCs w:val="24"/>
              </w:rPr>
              <w:t>4、废水排放情况总结</w:t>
            </w:r>
          </w:p>
          <w:p w14:paraId="22EBBF31">
            <w:pPr>
              <w:spacing w:line="360" w:lineRule="auto"/>
              <w:ind w:firstLine="480" w:firstLineChars="200"/>
              <w:jc w:val="left"/>
              <w:rPr>
                <w:color w:val="auto"/>
                <w:sz w:val="24"/>
                <w:szCs w:val="24"/>
              </w:rPr>
            </w:pPr>
            <w:r>
              <w:rPr>
                <w:color w:val="auto"/>
                <w:sz w:val="24"/>
                <w:szCs w:val="24"/>
              </w:rPr>
              <w:t>本项目废水主要为生活污水。</w:t>
            </w:r>
          </w:p>
          <w:p w14:paraId="6886ED21">
            <w:pPr>
              <w:pStyle w:val="164"/>
              <w:rPr>
                <w:color w:val="auto"/>
                <w:sz w:val="24"/>
                <w:szCs w:val="24"/>
              </w:rPr>
            </w:pPr>
            <w:r>
              <w:rPr>
                <w:color w:val="auto"/>
                <w:sz w:val="24"/>
                <w:szCs w:val="24"/>
              </w:rPr>
              <w:t>表</w:t>
            </w:r>
            <w:r>
              <w:rPr>
                <w:color w:val="auto"/>
                <w:sz w:val="24"/>
                <w:szCs w:val="24"/>
              </w:rPr>
              <w:fldChar w:fldCharType="begin"/>
            </w:r>
            <w:r>
              <w:rPr>
                <w:color w:val="auto"/>
                <w:sz w:val="24"/>
                <w:szCs w:val="24"/>
              </w:rPr>
              <w:instrText xml:space="preserve"> SEQ 表 \* ARABIC </w:instrText>
            </w:r>
            <w:r>
              <w:rPr>
                <w:color w:val="auto"/>
                <w:sz w:val="24"/>
                <w:szCs w:val="24"/>
              </w:rPr>
              <w:fldChar w:fldCharType="separate"/>
            </w:r>
            <w:r>
              <w:rPr>
                <w:color w:val="auto"/>
                <w:sz w:val="24"/>
                <w:szCs w:val="24"/>
              </w:rPr>
              <w:t>40</w:t>
            </w:r>
            <w:r>
              <w:rPr>
                <w:color w:val="auto"/>
                <w:sz w:val="24"/>
                <w:szCs w:val="24"/>
              </w:rPr>
              <w:fldChar w:fldCharType="end"/>
            </w:r>
            <w:r>
              <w:rPr>
                <w:color w:val="auto"/>
                <w:sz w:val="24"/>
                <w:szCs w:val="24"/>
              </w:rPr>
              <w:t xml:space="preserve"> 项目废水类别、污染物及污染治理设施信息表</w:t>
            </w:r>
          </w:p>
          <w:tbl>
            <w:tblPr>
              <w:tblStyle w:val="37"/>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
              <w:gridCol w:w="975"/>
              <w:gridCol w:w="1039"/>
              <w:gridCol w:w="975"/>
              <w:gridCol w:w="1252"/>
              <w:gridCol w:w="1273"/>
              <w:gridCol w:w="975"/>
              <w:gridCol w:w="1156"/>
              <w:gridCol w:w="1309"/>
              <w:gridCol w:w="1247"/>
              <w:gridCol w:w="2118"/>
            </w:tblGrid>
            <w:tr w14:paraId="6CA8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43" w:type="pct"/>
                  <w:vMerge w:val="restart"/>
                  <w:vAlign w:val="center"/>
                </w:tcPr>
                <w:p w14:paraId="1B43ECEC">
                  <w:pPr>
                    <w:jc w:val="center"/>
                    <w:rPr>
                      <w:b/>
                      <w:color w:val="auto"/>
                      <w:szCs w:val="21"/>
                    </w:rPr>
                  </w:pPr>
                  <w:r>
                    <w:rPr>
                      <w:b/>
                      <w:color w:val="auto"/>
                      <w:szCs w:val="21"/>
                    </w:rPr>
                    <w:t>序号</w:t>
                  </w:r>
                </w:p>
              </w:tc>
              <w:tc>
                <w:tcPr>
                  <w:tcW w:w="376" w:type="pct"/>
                  <w:vMerge w:val="restart"/>
                  <w:vAlign w:val="center"/>
                </w:tcPr>
                <w:p w14:paraId="17E4DCB9">
                  <w:pPr>
                    <w:jc w:val="center"/>
                    <w:rPr>
                      <w:b/>
                      <w:color w:val="auto"/>
                      <w:szCs w:val="21"/>
                    </w:rPr>
                  </w:pPr>
                  <w:r>
                    <w:rPr>
                      <w:b/>
                      <w:color w:val="auto"/>
                      <w:szCs w:val="21"/>
                    </w:rPr>
                    <w:t>废水</w:t>
                  </w:r>
                </w:p>
                <w:p w14:paraId="41F46785">
                  <w:pPr>
                    <w:jc w:val="center"/>
                    <w:rPr>
                      <w:b/>
                      <w:color w:val="auto"/>
                      <w:szCs w:val="21"/>
                    </w:rPr>
                  </w:pPr>
                  <w:r>
                    <w:rPr>
                      <w:b/>
                      <w:color w:val="auto"/>
                      <w:szCs w:val="21"/>
                    </w:rPr>
                    <w:t>类别</w:t>
                  </w:r>
                </w:p>
              </w:tc>
              <w:tc>
                <w:tcPr>
                  <w:tcW w:w="401" w:type="pct"/>
                  <w:vMerge w:val="restart"/>
                  <w:vAlign w:val="center"/>
                </w:tcPr>
                <w:p w14:paraId="583429A3">
                  <w:pPr>
                    <w:jc w:val="center"/>
                    <w:rPr>
                      <w:b/>
                      <w:color w:val="auto"/>
                      <w:szCs w:val="21"/>
                    </w:rPr>
                  </w:pPr>
                  <w:r>
                    <w:rPr>
                      <w:b/>
                      <w:color w:val="auto"/>
                      <w:szCs w:val="21"/>
                    </w:rPr>
                    <w:t>污染物种类</w:t>
                  </w:r>
                </w:p>
              </w:tc>
              <w:tc>
                <w:tcPr>
                  <w:tcW w:w="376" w:type="pct"/>
                  <w:vMerge w:val="restart"/>
                  <w:vAlign w:val="center"/>
                </w:tcPr>
                <w:p w14:paraId="642E47A0">
                  <w:pPr>
                    <w:jc w:val="center"/>
                    <w:rPr>
                      <w:b/>
                      <w:color w:val="auto"/>
                      <w:szCs w:val="21"/>
                    </w:rPr>
                  </w:pPr>
                  <w:r>
                    <w:rPr>
                      <w:b/>
                      <w:color w:val="auto"/>
                      <w:szCs w:val="21"/>
                    </w:rPr>
                    <w:t>排放去向</w:t>
                  </w:r>
                </w:p>
              </w:tc>
              <w:tc>
                <w:tcPr>
                  <w:tcW w:w="483" w:type="pct"/>
                  <w:vMerge w:val="restart"/>
                  <w:vAlign w:val="center"/>
                </w:tcPr>
                <w:p w14:paraId="5E7EB72A">
                  <w:pPr>
                    <w:jc w:val="center"/>
                    <w:rPr>
                      <w:b/>
                      <w:color w:val="auto"/>
                      <w:szCs w:val="21"/>
                    </w:rPr>
                  </w:pPr>
                  <w:r>
                    <w:rPr>
                      <w:b/>
                      <w:color w:val="auto"/>
                      <w:szCs w:val="21"/>
                    </w:rPr>
                    <w:t>排放规律</w:t>
                  </w:r>
                </w:p>
              </w:tc>
              <w:tc>
                <w:tcPr>
                  <w:tcW w:w="1313" w:type="pct"/>
                  <w:gridSpan w:val="3"/>
                  <w:vAlign w:val="center"/>
                </w:tcPr>
                <w:p w14:paraId="3E45B1A1">
                  <w:pPr>
                    <w:jc w:val="center"/>
                    <w:rPr>
                      <w:b/>
                      <w:color w:val="auto"/>
                      <w:szCs w:val="21"/>
                    </w:rPr>
                  </w:pPr>
                  <w:r>
                    <w:rPr>
                      <w:b/>
                      <w:color w:val="auto"/>
                      <w:szCs w:val="21"/>
                    </w:rPr>
                    <w:t>污染治理设施</w:t>
                  </w:r>
                </w:p>
              </w:tc>
              <w:tc>
                <w:tcPr>
                  <w:tcW w:w="505" w:type="pct"/>
                  <w:vMerge w:val="restart"/>
                  <w:vAlign w:val="center"/>
                </w:tcPr>
                <w:p w14:paraId="12BC527F">
                  <w:pPr>
                    <w:jc w:val="center"/>
                    <w:rPr>
                      <w:b/>
                      <w:color w:val="auto"/>
                      <w:szCs w:val="21"/>
                    </w:rPr>
                  </w:pPr>
                  <w:r>
                    <w:rPr>
                      <w:b/>
                      <w:color w:val="auto"/>
                      <w:szCs w:val="21"/>
                    </w:rPr>
                    <w:t>排放口</w:t>
                  </w:r>
                </w:p>
                <w:p w14:paraId="5DB57FEB">
                  <w:pPr>
                    <w:jc w:val="center"/>
                    <w:rPr>
                      <w:b/>
                      <w:color w:val="auto"/>
                      <w:szCs w:val="21"/>
                    </w:rPr>
                  </w:pPr>
                  <w:r>
                    <w:rPr>
                      <w:b/>
                      <w:color w:val="auto"/>
                      <w:szCs w:val="21"/>
                    </w:rPr>
                    <w:t>编号</w:t>
                  </w:r>
                </w:p>
              </w:tc>
              <w:tc>
                <w:tcPr>
                  <w:tcW w:w="481" w:type="pct"/>
                  <w:vMerge w:val="restart"/>
                  <w:vAlign w:val="center"/>
                </w:tcPr>
                <w:p w14:paraId="16F9338A">
                  <w:pPr>
                    <w:jc w:val="center"/>
                    <w:rPr>
                      <w:b/>
                      <w:color w:val="auto"/>
                      <w:szCs w:val="21"/>
                    </w:rPr>
                  </w:pPr>
                  <w:r>
                    <w:rPr>
                      <w:b/>
                      <w:color w:val="auto"/>
                      <w:szCs w:val="21"/>
                    </w:rPr>
                    <w:t>排放口设置</w:t>
                  </w:r>
                </w:p>
                <w:p w14:paraId="713AEE73">
                  <w:pPr>
                    <w:jc w:val="center"/>
                    <w:rPr>
                      <w:b/>
                      <w:color w:val="auto"/>
                      <w:szCs w:val="21"/>
                    </w:rPr>
                  </w:pPr>
                  <w:r>
                    <w:rPr>
                      <w:b/>
                      <w:color w:val="auto"/>
                      <w:szCs w:val="21"/>
                    </w:rPr>
                    <w:t>是否符合要求</w:t>
                  </w:r>
                </w:p>
              </w:tc>
              <w:tc>
                <w:tcPr>
                  <w:tcW w:w="817" w:type="pct"/>
                  <w:vMerge w:val="restart"/>
                  <w:vAlign w:val="center"/>
                </w:tcPr>
                <w:p w14:paraId="7CDAB041">
                  <w:pPr>
                    <w:jc w:val="center"/>
                    <w:rPr>
                      <w:b/>
                      <w:color w:val="auto"/>
                      <w:szCs w:val="21"/>
                    </w:rPr>
                  </w:pPr>
                  <w:r>
                    <w:rPr>
                      <w:b/>
                      <w:color w:val="auto"/>
                      <w:szCs w:val="21"/>
                    </w:rPr>
                    <w:t>排放口类型</w:t>
                  </w:r>
                </w:p>
              </w:tc>
            </w:tr>
            <w:tr w14:paraId="12EF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243" w:type="pct"/>
                  <w:vMerge w:val="continue"/>
                  <w:vAlign w:val="center"/>
                </w:tcPr>
                <w:p w14:paraId="1BE2168A">
                  <w:pPr>
                    <w:jc w:val="center"/>
                    <w:rPr>
                      <w:b/>
                      <w:color w:val="auto"/>
                      <w:szCs w:val="21"/>
                    </w:rPr>
                  </w:pPr>
                </w:p>
              </w:tc>
              <w:tc>
                <w:tcPr>
                  <w:tcW w:w="376" w:type="pct"/>
                  <w:vMerge w:val="continue"/>
                  <w:vAlign w:val="center"/>
                </w:tcPr>
                <w:p w14:paraId="4B8778C9">
                  <w:pPr>
                    <w:jc w:val="center"/>
                    <w:rPr>
                      <w:b/>
                      <w:color w:val="auto"/>
                      <w:szCs w:val="21"/>
                    </w:rPr>
                  </w:pPr>
                </w:p>
              </w:tc>
              <w:tc>
                <w:tcPr>
                  <w:tcW w:w="401" w:type="pct"/>
                  <w:vMerge w:val="continue"/>
                  <w:vAlign w:val="center"/>
                </w:tcPr>
                <w:p w14:paraId="273189E4">
                  <w:pPr>
                    <w:jc w:val="center"/>
                    <w:rPr>
                      <w:b/>
                      <w:color w:val="auto"/>
                      <w:szCs w:val="21"/>
                    </w:rPr>
                  </w:pPr>
                </w:p>
              </w:tc>
              <w:tc>
                <w:tcPr>
                  <w:tcW w:w="376" w:type="pct"/>
                  <w:vMerge w:val="continue"/>
                  <w:vAlign w:val="center"/>
                </w:tcPr>
                <w:p w14:paraId="3283C59F">
                  <w:pPr>
                    <w:jc w:val="center"/>
                    <w:rPr>
                      <w:b/>
                      <w:color w:val="auto"/>
                      <w:szCs w:val="21"/>
                    </w:rPr>
                  </w:pPr>
                </w:p>
              </w:tc>
              <w:tc>
                <w:tcPr>
                  <w:tcW w:w="483" w:type="pct"/>
                  <w:vMerge w:val="continue"/>
                  <w:vAlign w:val="center"/>
                </w:tcPr>
                <w:p w14:paraId="04413DC8">
                  <w:pPr>
                    <w:jc w:val="center"/>
                    <w:rPr>
                      <w:b/>
                      <w:color w:val="auto"/>
                      <w:szCs w:val="21"/>
                    </w:rPr>
                  </w:pPr>
                </w:p>
              </w:tc>
              <w:tc>
                <w:tcPr>
                  <w:tcW w:w="491" w:type="pct"/>
                  <w:vAlign w:val="center"/>
                </w:tcPr>
                <w:p w14:paraId="55EBCD0A">
                  <w:pPr>
                    <w:jc w:val="center"/>
                    <w:rPr>
                      <w:b/>
                      <w:color w:val="auto"/>
                      <w:szCs w:val="21"/>
                    </w:rPr>
                  </w:pPr>
                  <w:r>
                    <w:rPr>
                      <w:b/>
                      <w:color w:val="auto"/>
                      <w:szCs w:val="21"/>
                    </w:rPr>
                    <w:t>污染治理设施编号</w:t>
                  </w:r>
                </w:p>
              </w:tc>
              <w:tc>
                <w:tcPr>
                  <w:tcW w:w="376" w:type="pct"/>
                  <w:vAlign w:val="center"/>
                </w:tcPr>
                <w:p w14:paraId="5225D8FD">
                  <w:pPr>
                    <w:jc w:val="center"/>
                    <w:rPr>
                      <w:b/>
                      <w:color w:val="auto"/>
                      <w:szCs w:val="21"/>
                    </w:rPr>
                  </w:pPr>
                  <w:r>
                    <w:rPr>
                      <w:b/>
                      <w:color w:val="auto"/>
                      <w:szCs w:val="21"/>
                    </w:rPr>
                    <w:t>污染治理设施名称</w:t>
                  </w:r>
                </w:p>
              </w:tc>
              <w:tc>
                <w:tcPr>
                  <w:tcW w:w="445" w:type="pct"/>
                  <w:vAlign w:val="center"/>
                </w:tcPr>
                <w:p w14:paraId="11025261">
                  <w:pPr>
                    <w:jc w:val="center"/>
                    <w:rPr>
                      <w:b/>
                      <w:color w:val="auto"/>
                      <w:szCs w:val="21"/>
                    </w:rPr>
                  </w:pPr>
                  <w:r>
                    <w:rPr>
                      <w:b/>
                      <w:color w:val="auto"/>
                      <w:szCs w:val="21"/>
                    </w:rPr>
                    <w:t>污染治理设施工艺</w:t>
                  </w:r>
                </w:p>
              </w:tc>
              <w:tc>
                <w:tcPr>
                  <w:tcW w:w="505" w:type="pct"/>
                  <w:vMerge w:val="continue"/>
                  <w:vAlign w:val="center"/>
                </w:tcPr>
                <w:p w14:paraId="211F1F5E">
                  <w:pPr>
                    <w:jc w:val="center"/>
                    <w:rPr>
                      <w:bCs/>
                      <w:color w:val="auto"/>
                      <w:szCs w:val="21"/>
                    </w:rPr>
                  </w:pPr>
                </w:p>
              </w:tc>
              <w:tc>
                <w:tcPr>
                  <w:tcW w:w="481" w:type="pct"/>
                  <w:vMerge w:val="continue"/>
                  <w:vAlign w:val="center"/>
                </w:tcPr>
                <w:p w14:paraId="4203219B">
                  <w:pPr>
                    <w:jc w:val="center"/>
                    <w:rPr>
                      <w:bCs/>
                      <w:color w:val="auto"/>
                      <w:szCs w:val="21"/>
                    </w:rPr>
                  </w:pPr>
                </w:p>
              </w:tc>
              <w:tc>
                <w:tcPr>
                  <w:tcW w:w="817" w:type="pct"/>
                  <w:vMerge w:val="continue"/>
                  <w:vAlign w:val="center"/>
                </w:tcPr>
                <w:p w14:paraId="0D2D0397">
                  <w:pPr>
                    <w:jc w:val="center"/>
                    <w:rPr>
                      <w:bCs/>
                      <w:color w:val="auto"/>
                      <w:szCs w:val="21"/>
                    </w:rPr>
                  </w:pPr>
                </w:p>
              </w:tc>
            </w:tr>
            <w:tr w14:paraId="2DC7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3" w:type="pct"/>
                  <w:vMerge w:val="restart"/>
                  <w:vAlign w:val="center"/>
                </w:tcPr>
                <w:p w14:paraId="05713381">
                  <w:pPr>
                    <w:jc w:val="center"/>
                    <w:rPr>
                      <w:bCs/>
                      <w:color w:val="auto"/>
                      <w:szCs w:val="21"/>
                    </w:rPr>
                  </w:pPr>
                  <w:r>
                    <w:rPr>
                      <w:bCs/>
                      <w:color w:val="auto"/>
                      <w:szCs w:val="21"/>
                    </w:rPr>
                    <w:t>1</w:t>
                  </w:r>
                </w:p>
              </w:tc>
              <w:tc>
                <w:tcPr>
                  <w:tcW w:w="376" w:type="pct"/>
                  <w:vMerge w:val="restart"/>
                  <w:vAlign w:val="center"/>
                </w:tcPr>
                <w:p w14:paraId="62D18CA4">
                  <w:pPr>
                    <w:jc w:val="center"/>
                    <w:rPr>
                      <w:bCs/>
                      <w:color w:val="auto"/>
                      <w:szCs w:val="21"/>
                    </w:rPr>
                  </w:pPr>
                  <w:r>
                    <w:rPr>
                      <w:bCs/>
                      <w:color w:val="auto"/>
                      <w:szCs w:val="21"/>
                    </w:rPr>
                    <w:t>生活污水</w:t>
                  </w:r>
                </w:p>
              </w:tc>
              <w:tc>
                <w:tcPr>
                  <w:tcW w:w="401" w:type="pct"/>
                  <w:vAlign w:val="center"/>
                </w:tcPr>
                <w:p w14:paraId="1C0D52F0">
                  <w:pPr>
                    <w:jc w:val="center"/>
                    <w:rPr>
                      <w:color w:val="auto"/>
                      <w:szCs w:val="21"/>
                    </w:rPr>
                  </w:pPr>
                  <w:bookmarkStart w:id="35" w:name="_Toc6618"/>
                  <w:bookmarkStart w:id="36" w:name="_Toc30954"/>
                  <w:r>
                    <w:rPr>
                      <w:color w:val="auto"/>
                      <w:szCs w:val="21"/>
                    </w:rPr>
                    <w:t>pH</w:t>
                  </w:r>
                  <w:bookmarkEnd w:id="35"/>
                  <w:bookmarkEnd w:id="36"/>
                </w:p>
              </w:tc>
              <w:tc>
                <w:tcPr>
                  <w:tcW w:w="376" w:type="pct"/>
                  <w:vMerge w:val="restart"/>
                  <w:vAlign w:val="center"/>
                </w:tcPr>
                <w:p w14:paraId="46336F1E">
                  <w:pPr>
                    <w:jc w:val="center"/>
                    <w:rPr>
                      <w:bCs/>
                      <w:color w:val="auto"/>
                      <w:szCs w:val="21"/>
                    </w:rPr>
                  </w:pPr>
                  <w:r>
                    <w:rPr>
                      <w:color w:val="auto"/>
                      <w:szCs w:val="21"/>
                    </w:rPr>
                    <w:t>排入园区污水处理厂</w:t>
                  </w:r>
                </w:p>
              </w:tc>
              <w:tc>
                <w:tcPr>
                  <w:tcW w:w="483" w:type="pct"/>
                  <w:vMerge w:val="restart"/>
                  <w:vAlign w:val="center"/>
                </w:tcPr>
                <w:p w14:paraId="3E3AB900">
                  <w:pPr>
                    <w:jc w:val="center"/>
                    <w:rPr>
                      <w:bCs/>
                      <w:color w:val="auto"/>
                      <w:szCs w:val="21"/>
                    </w:rPr>
                  </w:pPr>
                  <w:r>
                    <w:rPr>
                      <w:color w:val="auto"/>
                      <w:szCs w:val="21"/>
                    </w:rPr>
                    <w:t>间断排放，排放期间流量不稳定且无规律，但不属于冲击型排放</w:t>
                  </w:r>
                </w:p>
              </w:tc>
              <w:tc>
                <w:tcPr>
                  <w:tcW w:w="491" w:type="pct"/>
                  <w:vMerge w:val="restart"/>
                  <w:vAlign w:val="center"/>
                </w:tcPr>
                <w:p w14:paraId="6DD80C70">
                  <w:pPr>
                    <w:jc w:val="center"/>
                    <w:rPr>
                      <w:bCs/>
                      <w:color w:val="auto"/>
                      <w:szCs w:val="21"/>
                    </w:rPr>
                  </w:pPr>
                  <w:r>
                    <w:rPr>
                      <w:color w:val="auto"/>
                      <w:szCs w:val="21"/>
                    </w:rPr>
                    <w:t>TW001</w:t>
                  </w:r>
                </w:p>
              </w:tc>
              <w:tc>
                <w:tcPr>
                  <w:tcW w:w="376" w:type="pct"/>
                  <w:vMerge w:val="restart"/>
                  <w:vAlign w:val="center"/>
                </w:tcPr>
                <w:p w14:paraId="146223EB">
                  <w:pPr>
                    <w:jc w:val="center"/>
                    <w:rPr>
                      <w:bCs/>
                      <w:color w:val="auto"/>
                      <w:szCs w:val="21"/>
                    </w:rPr>
                  </w:pPr>
                  <w:r>
                    <w:rPr>
                      <w:color w:val="auto"/>
                      <w:kern w:val="0"/>
                      <w:szCs w:val="21"/>
                    </w:rPr>
                    <w:t>三级化粪池</w:t>
                  </w:r>
                </w:p>
              </w:tc>
              <w:tc>
                <w:tcPr>
                  <w:tcW w:w="445" w:type="pct"/>
                  <w:vMerge w:val="restart"/>
                  <w:vAlign w:val="center"/>
                </w:tcPr>
                <w:p w14:paraId="1408B256">
                  <w:pPr>
                    <w:jc w:val="center"/>
                    <w:rPr>
                      <w:bCs/>
                      <w:color w:val="auto"/>
                      <w:szCs w:val="21"/>
                    </w:rPr>
                  </w:pPr>
                  <w:r>
                    <w:rPr>
                      <w:color w:val="auto"/>
                      <w:kern w:val="0"/>
                      <w:szCs w:val="21"/>
                    </w:rPr>
                    <w:t>厌氧</w:t>
                  </w:r>
                </w:p>
              </w:tc>
              <w:tc>
                <w:tcPr>
                  <w:tcW w:w="505" w:type="pct"/>
                  <w:vMerge w:val="restart"/>
                  <w:vAlign w:val="center"/>
                </w:tcPr>
                <w:p w14:paraId="2CAE370E">
                  <w:pPr>
                    <w:jc w:val="center"/>
                    <w:rPr>
                      <w:bCs/>
                      <w:color w:val="auto"/>
                      <w:szCs w:val="21"/>
                    </w:rPr>
                  </w:pPr>
                  <w:r>
                    <w:rPr>
                      <w:color w:val="auto"/>
                      <w:szCs w:val="21"/>
                    </w:rPr>
                    <w:t>DW001</w:t>
                  </w:r>
                </w:p>
              </w:tc>
              <w:tc>
                <w:tcPr>
                  <w:tcW w:w="481" w:type="pct"/>
                  <w:vMerge w:val="restart"/>
                  <w:vAlign w:val="center"/>
                </w:tcPr>
                <w:p w14:paraId="3282D533">
                  <w:pPr>
                    <w:adjustRightInd w:val="0"/>
                    <w:snapToGrid w:val="0"/>
                    <w:jc w:val="center"/>
                    <w:rPr>
                      <w:bCs/>
                      <w:color w:val="auto"/>
                      <w:szCs w:val="21"/>
                    </w:rPr>
                  </w:pPr>
                  <w:r>
                    <w:rPr>
                      <w:rFonts w:ascii="Segoe UI Symbol" w:hAnsi="Segoe UI Symbol" w:cs="Segoe UI Symbol"/>
                      <w:bCs/>
                      <w:color w:val="auto"/>
                      <w:szCs w:val="21"/>
                    </w:rPr>
                    <w:t>☑</w:t>
                  </w:r>
                  <w:r>
                    <w:rPr>
                      <w:bCs/>
                      <w:color w:val="auto"/>
                      <w:szCs w:val="21"/>
                    </w:rPr>
                    <w:t>是</w:t>
                  </w:r>
                </w:p>
                <w:p w14:paraId="6039D972">
                  <w:pPr>
                    <w:adjustRightInd w:val="0"/>
                    <w:snapToGrid w:val="0"/>
                    <w:jc w:val="center"/>
                    <w:rPr>
                      <w:bCs/>
                      <w:color w:val="auto"/>
                      <w:szCs w:val="21"/>
                    </w:rPr>
                  </w:pPr>
                  <w:r>
                    <w:rPr>
                      <w:bCs/>
                      <w:color w:val="auto"/>
                      <w:szCs w:val="21"/>
                    </w:rPr>
                    <w:t>□否</w:t>
                  </w:r>
                </w:p>
              </w:tc>
              <w:tc>
                <w:tcPr>
                  <w:tcW w:w="817" w:type="pct"/>
                  <w:vMerge w:val="restart"/>
                  <w:vAlign w:val="center"/>
                </w:tcPr>
                <w:p w14:paraId="2657D50A">
                  <w:pPr>
                    <w:rPr>
                      <w:bCs/>
                      <w:color w:val="auto"/>
                      <w:szCs w:val="21"/>
                    </w:rPr>
                  </w:pPr>
                  <w:r>
                    <w:rPr>
                      <w:color w:val="auto"/>
                      <w:sz w:val="24"/>
                    </w:rPr>
                    <w:sym w:font="Wingdings 2" w:char="0052"/>
                  </w:r>
                  <w:r>
                    <w:rPr>
                      <w:bCs/>
                      <w:color w:val="auto"/>
                      <w:szCs w:val="21"/>
                    </w:rPr>
                    <w:t>企业总排</w:t>
                  </w:r>
                </w:p>
                <w:p w14:paraId="1294A652">
                  <w:pPr>
                    <w:rPr>
                      <w:bCs/>
                      <w:color w:val="auto"/>
                      <w:szCs w:val="21"/>
                    </w:rPr>
                  </w:pPr>
                  <w:r>
                    <w:rPr>
                      <w:bCs/>
                      <w:color w:val="auto"/>
                      <w:szCs w:val="21"/>
                    </w:rPr>
                    <w:t>□雨水排放</w:t>
                  </w:r>
                </w:p>
                <w:p w14:paraId="6BBD486A">
                  <w:pPr>
                    <w:rPr>
                      <w:bCs/>
                      <w:color w:val="auto"/>
                      <w:szCs w:val="21"/>
                    </w:rPr>
                  </w:pPr>
                  <w:r>
                    <w:rPr>
                      <w:bCs/>
                      <w:color w:val="auto"/>
                      <w:szCs w:val="21"/>
                    </w:rPr>
                    <w:t>□清净下水排放</w:t>
                  </w:r>
                </w:p>
                <w:p w14:paraId="5790064A">
                  <w:pPr>
                    <w:rPr>
                      <w:bCs/>
                      <w:color w:val="auto"/>
                      <w:szCs w:val="21"/>
                    </w:rPr>
                  </w:pPr>
                  <w:r>
                    <w:rPr>
                      <w:bCs/>
                      <w:color w:val="auto"/>
                      <w:szCs w:val="21"/>
                    </w:rPr>
                    <w:t>□温排水排放</w:t>
                  </w:r>
                </w:p>
                <w:p w14:paraId="4B4E216B">
                  <w:pPr>
                    <w:rPr>
                      <w:bCs/>
                      <w:color w:val="auto"/>
                      <w:szCs w:val="21"/>
                    </w:rPr>
                  </w:pPr>
                  <w:r>
                    <w:rPr>
                      <w:bCs/>
                      <w:color w:val="auto"/>
                      <w:szCs w:val="21"/>
                    </w:rPr>
                    <w:t>□车间或车间</w:t>
                  </w:r>
                </w:p>
                <w:p w14:paraId="0F64EC3A">
                  <w:pPr>
                    <w:rPr>
                      <w:bCs/>
                      <w:color w:val="auto"/>
                      <w:szCs w:val="21"/>
                    </w:rPr>
                  </w:pPr>
                  <w:r>
                    <w:rPr>
                      <w:rFonts w:ascii="Segoe UI Symbol" w:hAnsi="Segoe UI Symbol" w:cs="Segoe UI Symbol"/>
                      <w:bCs/>
                      <w:color w:val="auto"/>
                      <w:szCs w:val="21"/>
                    </w:rPr>
                    <w:t>☑</w:t>
                  </w:r>
                  <w:r>
                    <w:rPr>
                      <w:bCs/>
                      <w:color w:val="auto"/>
                      <w:szCs w:val="21"/>
                    </w:rPr>
                    <w:t>处理设施排放</w:t>
                  </w:r>
                </w:p>
              </w:tc>
            </w:tr>
            <w:tr w14:paraId="0307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3" w:type="pct"/>
                  <w:vMerge w:val="continue"/>
                  <w:vAlign w:val="center"/>
                </w:tcPr>
                <w:p w14:paraId="4BEAA483">
                  <w:pPr>
                    <w:jc w:val="center"/>
                    <w:rPr>
                      <w:color w:val="auto"/>
                    </w:rPr>
                  </w:pPr>
                </w:p>
              </w:tc>
              <w:tc>
                <w:tcPr>
                  <w:tcW w:w="376" w:type="pct"/>
                  <w:vMerge w:val="continue"/>
                  <w:vAlign w:val="center"/>
                </w:tcPr>
                <w:p w14:paraId="03B61C05">
                  <w:pPr>
                    <w:jc w:val="center"/>
                    <w:rPr>
                      <w:color w:val="auto"/>
                    </w:rPr>
                  </w:pPr>
                </w:p>
              </w:tc>
              <w:tc>
                <w:tcPr>
                  <w:tcW w:w="401" w:type="pct"/>
                  <w:vAlign w:val="center"/>
                </w:tcPr>
                <w:p w14:paraId="7C5DAAE7">
                  <w:pPr>
                    <w:jc w:val="center"/>
                    <w:rPr>
                      <w:color w:val="auto"/>
                      <w:szCs w:val="21"/>
                    </w:rPr>
                  </w:pPr>
                  <w:bookmarkStart w:id="37" w:name="_Toc10301"/>
                  <w:bookmarkStart w:id="38" w:name="_Toc20389"/>
                  <w:r>
                    <w:rPr>
                      <w:color w:val="auto"/>
                      <w:szCs w:val="21"/>
                    </w:rPr>
                    <w:t>COD</w:t>
                  </w:r>
                  <w:r>
                    <w:rPr>
                      <w:color w:val="auto"/>
                      <w:szCs w:val="21"/>
                      <w:vertAlign w:val="subscript"/>
                    </w:rPr>
                    <w:t>Cr</w:t>
                  </w:r>
                  <w:bookmarkEnd w:id="37"/>
                  <w:bookmarkEnd w:id="38"/>
                </w:p>
              </w:tc>
              <w:tc>
                <w:tcPr>
                  <w:tcW w:w="376" w:type="pct"/>
                  <w:vMerge w:val="continue"/>
                  <w:vAlign w:val="center"/>
                </w:tcPr>
                <w:p w14:paraId="30725DE0">
                  <w:pPr>
                    <w:jc w:val="center"/>
                    <w:rPr>
                      <w:color w:val="auto"/>
                      <w:szCs w:val="21"/>
                    </w:rPr>
                  </w:pPr>
                </w:p>
              </w:tc>
              <w:tc>
                <w:tcPr>
                  <w:tcW w:w="483" w:type="pct"/>
                  <w:vMerge w:val="continue"/>
                  <w:vAlign w:val="center"/>
                </w:tcPr>
                <w:p w14:paraId="2E881AE4">
                  <w:pPr>
                    <w:jc w:val="center"/>
                    <w:rPr>
                      <w:color w:val="auto"/>
                      <w:szCs w:val="21"/>
                    </w:rPr>
                  </w:pPr>
                </w:p>
              </w:tc>
              <w:tc>
                <w:tcPr>
                  <w:tcW w:w="491" w:type="pct"/>
                  <w:vMerge w:val="continue"/>
                  <w:vAlign w:val="center"/>
                </w:tcPr>
                <w:p w14:paraId="367C5F5E">
                  <w:pPr>
                    <w:jc w:val="center"/>
                    <w:rPr>
                      <w:color w:val="auto"/>
                      <w:szCs w:val="21"/>
                    </w:rPr>
                  </w:pPr>
                </w:p>
              </w:tc>
              <w:tc>
                <w:tcPr>
                  <w:tcW w:w="376" w:type="pct"/>
                  <w:vMerge w:val="continue"/>
                  <w:vAlign w:val="center"/>
                </w:tcPr>
                <w:p w14:paraId="5C635803">
                  <w:pPr>
                    <w:jc w:val="center"/>
                    <w:rPr>
                      <w:color w:val="auto"/>
                      <w:szCs w:val="21"/>
                    </w:rPr>
                  </w:pPr>
                </w:p>
              </w:tc>
              <w:tc>
                <w:tcPr>
                  <w:tcW w:w="445" w:type="pct"/>
                  <w:vMerge w:val="continue"/>
                  <w:vAlign w:val="center"/>
                </w:tcPr>
                <w:p w14:paraId="6A345423">
                  <w:pPr>
                    <w:jc w:val="center"/>
                    <w:rPr>
                      <w:color w:val="auto"/>
                      <w:szCs w:val="21"/>
                    </w:rPr>
                  </w:pPr>
                </w:p>
              </w:tc>
              <w:tc>
                <w:tcPr>
                  <w:tcW w:w="505" w:type="pct"/>
                  <w:vMerge w:val="continue"/>
                  <w:vAlign w:val="center"/>
                </w:tcPr>
                <w:p w14:paraId="748CB5E0">
                  <w:pPr>
                    <w:jc w:val="center"/>
                    <w:rPr>
                      <w:color w:val="auto"/>
                      <w:szCs w:val="21"/>
                    </w:rPr>
                  </w:pPr>
                </w:p>
              </w:tc>
              <w:tc>
                <w:tcPr>
                  <w:tcW w:w="481" w:type="pct"/>
                  <w:vMerge w:val="continue"/>
                  <w:vAlign w:val="center"/>
                </w:tcPr>
                <w:p w14:paraId="552A598B">
                  <w:pPr>
                    <w:jc w:val="center"/>
                    <w:rPr>
                      <w:color w:val="auto"/>
                      <w:szCs w:val="21"/>
                    </w:rPr>
                  </w:pPr>
                </w:p>
              </w:tc>
              <w:tc>
                <w:tcPr>
                  <w:tcW w:w="817" w:type="pct"/>
                  <w:vMerge w:val="continue"/>
                  <w:vAlign w:val="center"/>
                </w:tcPr>
                <w:p w14:paraId="54BA1D69">
                  <w:pPr>
                    <w:jc w:val="center"/>
                    <w:rPr>
                      <w:color w:val="auto"/>
                      <w:szCs w:val="21"/>
                    </w:rPr>
                  </w:pPr>
                </w:p>
              </w:tc>
            </w:tr>
            <w:tr w14:paraId="0FC9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3" w:type="pct"/>
                  <w:vMerge w:val="continue"/>
                  <w:vAlign w:val="center"/>
                </w:tcPr>
                <w:p w14:paraId="43399B59">
                  <w:pPr>
                    <w:jc w:val="center"/>
                    <w:rPr>
                      <w:color w:val="auto"/>
                      <w:szCs w:val="21"/>
                    </w:rPr>
                  </w:pPr>
                </w:p>
              </w:tc>
              <w:tc>
                <w:tcPr>
                  <w:tcW w:w="376" w:type="pct"/>
                  <w:vMerge w:val="continue"/>
                  <w:vAlign w:val="center"/>
                </w:tcPr>
                <w:p w14:paraId="140982D9">
                  <w:pPr>
                    <w:jc w:val="center"/>
                    <w:rPr>
                      <w:color w:val="auto"/>
                      <w:szCs w:val="21"/>
                    </w:rPr>
                  </w:pPr>
                </w:p>
              </w:tc>
              <w:tc>
                <w:tcPr>
                  <w:tcW w:w="401" w:type="pct"/>
                  <w:vAlign w:val="center"/>
                </w:tcPr>
                <w:p w14:paraId="4BED7D52">
                  <w:pPr>
                    <w:jc w:val="center"/>
                    <w:rPr>
                      <w:color w:val="auto"/>
                      <w:szCs w:val="21"/>
                    </w:rPr>
                  </w:pPr>
                  <w:bookmarkStart w:id="39" w:name="_Toc23135"/>
                  <w:bookmarkStart w:id="40" w:name="_Toc13609"/>
                  <w:r>
                    <w:rPr>
                      <w:color w:val="auto"/>
                      <w:szCs w:val="21"/>
                    </w:rPr>
                    <w:t>BOD</w:t>
                  </w:r>
                  <w:r>
                    <w:rPr>
                      <w:color w:val="auto"/>
                      <w:szCs w:val="21"/>
                      <w:vertAlign w:val="subscript"/>
                    </w:rPr>
                    <w:t>5</w:t>
                  </w:r>
                  <w:bookmarkEnd w:id="39"/>
                  <w:bookmarkEnd w:id="40"/>
                </w:p>
              </w:tc>
              <w:tc>
                <w:tcPr>
                  <w:tcW w:w="376" w:type="pct"/>
                  <w:vMerge w:val="continue"/>
                  <w:vAlign w:val="center"/>
                </w:tcPr>
                <w:p w14:paraId="70ED9F5C">
                  <w:pPr>
                    <w:jc w:val="center"/>
                    <w:rPr>
                      <w:color w:val="auto"/>
                      <w:szCs w:val="21"/>
                    </w:rPr>
                  </w:pPr>
                </w:p>
              </w:tc>
              <w:tc>
                <w:tcPr>
                  <w:tcW w:w="483" w:type="pct"/>
                  <w:vMerge w:val="continue"/>
                  <w:vAlign w:val="center"/>
                </w:tcPr>
                <w:p w14:paraId="67076DD4">
                  <w:pPr>
                    <w:jc w:val="center"/>
                    <w:rPr>
                      <w:color w:val="auto"/>
                      <w:szCs w:val="21"/>
                    </w:rPr>
                  </w:pPr>
                </w:p>
              </w:tc>
              <w:tc>
                <w:tcPr>
                  <w:tcW w:w="491" w:type="pct"/>
                  <w:vMerge w:val="continue"/>
                  <w:shd w:val="clear" w:color="auto" w:fill="auto"/>
                  <w:vAlign w:val="center"/>
                </w:tcPr>
                <w:p w14:paraId="230D3CF4">
                  <w:pPr>
                    <w:jc w:val="center"/>
                    <w:rPr>
                      <w:bCs/>
                      <w:color w:val="auto"/>
                      <w:szCs w:val="21"/>
                    </w:rPr>
                  </w:pPr>
                </w:p>
              </w:tc>
              <w:tc>
                <w:tcPr>
                  <w:tcW w:w="376" w:type="pct"/>
                  <w:vMerge w:val="continue"/>
                  <w:shd w:val="clear" w:color="auto" w:fill="auto"/>
                  <w:vAlign w:val="center"/>
                </w:tcPr>
                <w:p w14:paraId="4DE81570">
                  <w:pPr>
                    <w:jc w:val="center"/>
                    <w:rPr>
                      <w:bCs/>
                      <w:color w:val="auto"/>
                      <w:szCs w:val="21"/>
                    </w:rPr>
                  </w:pPr>
                </w:p>
              </w:tc>
              <w:tc>
                <w:tcPr>
                  <w:tcW w:w="445" w:type="pct"/>
                  <w:vMerge w:val="continue"/>
                  <w:shd w:val="clear" w:color="auto" w:fill="auto"/>
                  <w:vAlign w:val="center"/>
                </w:tcPr>
                <w:p w14:paraId="5B8B3763">
                  <w:pPr>
                    <w:jc w:val="center"/>
                    <w:rPr>
                      <w:bCs/>
                      <w:color w:val="auto"/>
                      <w:szCs w:val="21"/>
                    </w:rPr>
                  </w:pPr>
                </w:p>
              </w:tc>
              <w:tc>
                <w:tcPr>
                  <w:tcW w:w="505" w:type="pct"/>
                  <w:vMerge w:val="continue"/>
                  <w:vAlign w:val="center"/>
                </w:tcPr>
                <w:p w14:paraId="06D8B8AB">
                  <w:pPr>
                    <w:jc w:val="center"/>
                    <w:rPr>
                      <w:color w:val="auto"/>
                      <w:szCs w:val="21"/>
                    </w:rPr>
                  </w:pPr>
                </w:p>
              </w:tc>
              <w:tc>
                <w:tcPr>
                  <w:tcW w:w="481" w:type="pct"/>
                  <w:vMerge w:val="continue"/>
                  <w:vAlign w:val="center"/>
                </w:tcPr>
                <w:p w14:paraId="43313A95">
                  <w:pPr>
                    <w:jc w:val="center"/>
                    <w:rPr>
                      <w:color w:val="auto"/>
                      <w:szCs w:val="21"/>
                    </w:rPr>
                  </w:pPr>
                </w:p>
              </w:tc>
              <w:tc>
                <w:tcPr>
                  <w:tcW w:w="817" w:type="pct"/>
                  <w:vMerge w:val="continue"/>
                  <w:vAlign w:val="center"/>
                </w:tcPr>
                <w:p w14:paraId="52A14463">
                  <w:pPr>
                    <w:jc w:val="center"/>
                    <w:rPr>
                      <w:color w:val="auto"/>
                      <w:szCs w:val="21"/>
                    </w:rPr>
                  </w:pPr>
                </w:p>
              </w:tc>
            </w:tr>
            <w:tr w14:paraId="5119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3" w:type="pct"/>
                  <w:vMerge w:val="continue"/>
                  <w:vAlign w:val="center"/>
                </w:tcPr>
                <w:p w14:paraId="3EEC4624">
                  <w:pPr>
                    <w:jc w:val="center"/>
                    <w:rPr>
                      <w:color w:val="auto"/>
                      <w:szCs w:val="21"/>
                    </w:rPr>
                  </w:pPr>
                </w:p>
              </w:tc>
              <w:tc>
                <w:tcPr>
                  <w:tcW w:w="376" w:type="pct"/>
                  <w:vMerge w:val="continue"/>
                  <w:vAlign w:val="center"/>
                </w:tcPr>
                <w:p w14:paraId="094BB769">
                  <w:pPr>
                    <w:jc w:val="center"/>
                    <w:rPr>
                      <w:color w:val="auto"/>
                      <w:szCs w:val="21"/>
                    </w:rPr>
                  </w:pPr>
                </w:p>
              </w:tc>
              <w:tc>
                <w:tcPr>
                  <w:tcW w:w="401" w:type="pct"/>
                  <w:vAlign w:val="center"/>
                </w:tcPr>
                <w:p w14:paraId="38C7F2F0">
                  <w:pPr>
                    <w:jc w:val="center"/>
                    <w:rPr>
                      <w:color w:val="auto"/>
                      <w:szCs w:val="21"/>
                    </w:rPr>
                  </w:pPr>
                  <w:bookmarkStart w:id="41" w:name="_Toc137"/>
                  <w:bookmarkStart w:id="42" w:name="_Toc24752"/>
                  <w:r>
                    <w:rPr>
                      <w:color w:val="auto"/>
                      <w:szCs w:val="21"/>
                    </w:rPr>
                    <w:t>NH</w:t>
                  </w:r>
                  <w:r>
                    <w:rPr>
                      <w:color w:val="auto"/>
                      <w:szCs w:val="21"/>
                      <w:vertAlign w:val="subscript"/>
                    </w:rPr>
                    <w:t>3</w:t>
                  </w:r>
                  <w:r>
                    <w:rPr>
                      <w:color w:val="auto"/>
                      <w:szCs w:val="21"/>
                    </w:rPr>
                    <w:t>-N</w:t>
                  </w:r>
                  <w:bookmarkEnd w:id="41"/>
                  <w:bookmarkEnd w:id="42"/>
                </w:p>
              </w:tc>
              <w:tc>
                <w:tcPr>
                  <w:tcW w:w="376" w:type="pct"/>
                  <w:vMerge w:val="continue"/>
                  <w:vAlign w:val="center"/>
                </w:tcPr>
                <w:p w14:paraId="69BFB913">
                  <w:pPr>
                    <w:jc w:val="center"/>
                    <w:rPr>
                      <w:color w:val="auto"/>
                      <w:szCs w:val="21"/>
                    </w:rPr>
                  </w:pPr>
                </w:p>
              </w:tc>
              <w:tc>
                <w:tcPr>
                  <w:tcW w:w="483" w:type="pct"/>
                  <w:vMerge w:val="continue"/>
                  <w:vAlign w:val="center"/>
                </w:tcPr>
                <w:p w14:paraId="7B2C1093">
                  <w:pPr>
                    <w:jc w:val="center"/>
                    <w:rPr>
                      <w:color w:val="auto"/>
                      <w:szCs w:val="21"/>
                    </w:rPr>
                  </w:pPr>
                </w:p>
              </w:tc>
              <w:tc>
                <w:tcPr>
                  <w:tcW w:w="491" w:type="pct"/>
                  <w:vMerge w:val="continue"/>
                  <w:shd w:val="clear" w:color="auto" w:fill="auto"/>
                  <w:vAlign w:val="center"/>
                </w:tcPr>
                <w:p w14:paraId="6484CF36">
                  <w:pPr>
                    <w:jc w:val="center"/>
                    <w:rPr>
                      <w:bCs/>
                      <w:color w:val="auto"/>
                      <w:szCs w:val="21"/>
                    </w:rPr>
                  </w:pPr>
                </w:p>
              </w:tc>
              <w:tc>
                <w:tcPr>
                  <w:tcW w:w="376" w:type="pct"/>
                  <w:vMerge w:val="continue"/>
                  <w:shd w:val="clear" w:color="auto" w:fill="auto"/>
                  <w:vAlign w:val="center"/>
                </w:tcPr>
                <w:p w14:paraId="560E358A">
                  <w:pPr>
                    <w:jc w:val="center"/>
                    <w:rPr>
                      <w:bCs/>
                      <w:color w:val="auto"/>
                      <w:szCs w:val="21"/>
                    </w:rPr>
                  </w:pPr>
                </w:p>
              </w:tc>
              <w:tc>
                <w:tcPr>
                  <w:tcW w:w="445" w:type="pct"/>
                  <w:vMerge w:val="continue"/>
                  <w:shd w:val="clear" w:color="auto" w:fill="auto"/>
                  <w:vAlign w:val="center"/>
                </w:tcPr>
                <w:p w14:paraId="7A28D0B0">
                  <w:pPr>
                    <w:jc w:val="center"/>
                    <w:rPr>
                      <w:bCs/>
                      <w:color w:val="auto"/>
                      <w:szCs w:val="21"/>
                    </w:rPr>
                  </w:pPr>
                </w:p>
              </w:tc>
              <w:tc>
                <w:tcPr>
                  <w:tcW w:w="505" w:type="pct"/>
                  <w:vMerge w:val="continue"/>
                  <w:vAlign w:val="center"/>
                </w:tcPr>
                <w:p w14:paraId="0ADADCD0">
                  <w:pPr>
                    <w:jc w:val="center"/>
                    <w:rPr>
                      <w:color w:val="auto"/>
                      <w:szCs w:val="21"/>
                    </w:rPr>
                  </w:pPr>
                </w:p>
              </w:tc>
              <w:tc>
                <w:tcPr>
                  <w:tcW w:w="481" w:type="pct"/>
                  <w:vMerge w:val="continue"/>
                  <w:vAlign w:val="center"/>
                </w:tcPr>
                <w:p w14:paraId="0955C832">
                  <w:pPr>
                    <w:jc w:val="center"/>
                    <w:rPr>
                      <w:color w:val="auto"/>
                      <w:szCs w:val="21"/>
                    </w:rPr>
                  </w:pPr>
                </w:p>
              </w:tc>
              <w:tc>
                <w:tcPr>
                  <w:tcW w:w="817" w:type="pct"/>
                  <w:vMerge w:val="continue"/>
                  <w:vAlign w:val="center"/>
                </w:tcPr>
                <w:p w14:paraId="3AEDD538">
                  <w:pPr>
                    <w:jc w:val="center"/>
                    <w:rPr>
                      <w:color w:val="auto"/>
                      <w:szCs w:val="21"/>
                    </w:rPr>
                  </w:pPr>
                </w:p>
              </w:tc>
            </w:tr>
            <w:tr w14:paraId="1AB7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3" w:type="pct"/>
                  <w:vMerge w:val="continue"/>
                  <w:vAlign w:val="center"/>
                </w:tcPr>
                <w:p w14:paraId="5F641B17">
                  <w:pPr>
                    <w:jc w:val="center"/>
                    <w:rPr>
                      <w:color w:val="auto"/>
                      <w:szCs w:val="21"/>
                    </w:rPr>
                  </w:pPr>
                </w:p>
              </w:tc>
              <w:tc>
                <w:tcPr>
                  <w:tcW w:w="376" w:type="pct"/>
                  <w:vMerge w:val="continue"/>
                  <w:vAlign w:val="center"/>
                </w:tcPr>
                <w:p w14:paraId="1E701FD8">
                  <w:pPr>
                    <w:jc w:val="center"/>
                    <w:rPr>
                      <w:color w:val="auto"/>
                      <w:szCs w:val="21"/>
                    </w:rPr>
                  </w:pPr>
                </w:p>
              </w:tc>
              <w:tc>
                <w:tcPr>
                  <w:tcW w:w="401" w:type="pct"/>
                  <w:vAlign w:val="center"/>
                </w:tcPr>
                <w:p w14:paraId="4E8256D1">
                  <w:pPr>
                    <w:jc w:val="center"/>
                    <w:rPr>
                      <w:color w:val="auto"/>
                      <w:szCs w:val="21"/>
                    </w:rPr>
                  </w:pPr>
                  <w:bookmarkStart w:id="43" w:name="_Toc15956"/>
                  <w:bookmarkStart w:id="44" w:name="_Toc6920"/>
                  <w:r>
                    <w:rPr>
                      <w:color w:val="auto"/>
                      <w:szCs w:val="21"/>
                    </w:rPr>
                    <w:t>SS</w:t>
                  </w:r>
                  <w:bookmarkEnd w:id="43"/>
                  <w:bookmarkEnd w:id="44"/>
                </w:p>
              </w:tc>
              <w:tc>
                <w:tcPr>
                  <w:tcW w:w="376" w:type="pct"/>
                  <w:vMerge w:val="continue"/>
                  <w:vAlign w:val="center"/>
                </w:tcPr>
                <w:p w14:paraId="79497659">
                  <w:pPr>
                    <w:jc w:val="center"/>
                    <w:rPr>
                      <w:color w:val="auto"/>
                      <w:szCs w:val="21"/>
                    </w:rPr>
                  </w:pPr>
                </w:p>
              </w:tc>
              <w:tc>
                <w:tcPr>
                  <w:tcW w:w="483" w:type="pct"/>
                  <w:vMerge w:val="continue"/>
                  <w:vAlign w:val="center"/>
                </w:tcPr>
                <w:p w14:paraId="124E4027">
                  <w:pPr>
                    <w:jc w:val="center"/>
                    <w:rPr>
                      <w:color w:val="auto"/>
                      <w:szCs w:val="21"/>
                    </w:rPr>
                  </w:pPr>
                </w:p>
              </w:tc>
              <w:tc>
                <w:tcPr>
                  <w:tcW w:w="491" w:type="pct"/>
                  <w:vMerge w:val="continue"/>
                  <w:vAlign w:val="center"/>
                </w:tcPr>
                <w:p w14:paraId="5EFFC98B">
                  <w:pPr>
                    <w:jc w:val="center"/>
                    <w:rPr>
                      <w:color w:val="auto"/>
                      <w:szCs w:val="21"/>
                    </w:rPr>
                  </w:pPr>
                </w:p>
              </w:tc>
              <w:tc>
                <w:tcPr>
                  <w:tcW w:w="376" w:type="pct"/>
                  <w:vMerge w:val="continue"/>
                  <w:vAlign w:val="center"/>
                </w:tcPr>
                <w:p w14:paraId="15E3CE3D">
                  <w:pPr>
                    <w:jc w:val="center"/>
                    <w:rPr>
                      <w:color w:val="auto"/>
                      <w:szCs w:val="21"/>
                    </w:rPr>
                  </w:pPr>
                </w:p>
              </w:tc>
              <w:tc>
                <w:tcPr>
                  <w:tcW w:w="445" w:type="pct"/>
                  <w:vMerge w:val="continue"/>
                  <w:vAlign w:val="center"/>
                </w:tcPr>
                <w:p w14:paraId="5F6BAD7C">
                  <w:pPr>
                    <w:jc w:val="center"/>
                    <w:rPr>
                      <w:color w:val="auto"/>
                      <w:szCs w:val="21"/>
                    </w:rPr>
                  </w:pPr>
                </w:p>
              </w:tc>
              <w:tc>
                <w:tcPr>
                  <w:tcW w:w="505" w:type="pct"/>
                  <w:vMerge w:val="continue"/>
                  <w:vAlign w:val="center"/>
                </w:tcPr>
                <w:p w14:paraId="40EB5825">
                  <w:pPr>
                    <w:jc w:val="center"/>
                    <w:rPr>
                      <w:color w:val="auto"/>
                      <w:szCs w:val="21"/>
                    </w:rPr>
                  </w:pPr>
                </w:p>
              </w:tc>
              <w:tc>
                <w:tcPr>
                  <w:tcW w:w="481" w:type="pct"/>
                  <w:vMerge w:val="continue"/>
                  <w:vAlign w:val="center"/>
                </w:tcPr>
                <w:p w14:paraId="1FA16513">
                  <w:pPr>
                    <w:jc w:val="center"/>
                    <w:rPr>
                      <w:color w:val="auto"/>
                      <w:szCs w:val="21"/>
                    </w:rPr>
                  </w:pPr>
                </w:p>
              </w:tc>
              <w:tc>
                <w:tcPr>
                  <w:tcW w:w="817" w:type="pct"/>
                  <w:vMerge w:val="continue"/>
                  <w:vAlign w:val="center"/>
                </w:tcPr>
                <w:p w14:paraId="0DAF5762">
                  <w:pPr>
                    <w:jc w:val="center"/>
                    <w:rPr>
                      <w:color w:val="auto"/>
                      <w:szCs w:val="21"/>
                    </w:rPr>
                  </w:pPr>
                </w:p>
              </w:tc>
            </w:tr>
          </w:tbl>
          <w:p w14:paraId="1E8CE319">
            <w:pPr>
              <w:pStyle w:val="164"/>
              <w:rPr>
                <w:color w:val="auto"/>
                <w:sz w:val="24"/>
                <w:szCs w:val="24"/>
              </w:rPr>
            </w:pPr>
            <w:r>
              <w:rPr>
                <w:color w:val="auto"/>
                <w:sz w:val="24"/>
                <w:szCs w:val="24"/>
              </w:rPr>
              <w:t>表</w:t>
            </w:r>
            <w:r>
              <w:rPr>
                <w:color w:val="auto"/>
                <w:sz w:val="24"/>
                <w:szCs w:val="24"/>
              </w:rPr>
              <w:fldChar w:fldCharType="begin"/>
            </w:r>
            <w:r>
              <w:rPr>
                <w:color w:val="auto"/>
                <w:sz w:val="24"/>
                <w:szCs w:val="24"/>
              </w:rPr>
              <w:instrText xml:space="preserve"> SEQ 表 \* ARABIC </w:instrText>
            </w:r>
            <w:r>
              <w:rPr>
                <w:color w:val="auto"/>
                <w:sz w:val="24"/>
                <w:szCs w:val="24"/>
              </w:rPr>
              <w:fldChar w:fldCharType="separate"/>
            </w:r>
            <w:r>
              <w:rPr>
                <w:color w:val="auto"/>
                <w:sz w:val="24"/>
                <w:szCs w:val="24"/>
              </w:rPr>
              <w:t>41</w:t>
            </w:r>
            <w:r>
              <w:rPr>
                <w:color w:val="auto"/>
                <w:sz w:val="24"/>
                <w:szCs w:val="24"/>
              </w:rPr>
              <w:fldChar w:fldCharType="end"/>
            </w:r>
            <w:r>
              <w:rPr>
                <w:color w:val="auto"/>
                <w:sz w:val="24"/>
                <w:szCs w:val="24"/>
              </w:rPr>
              <w:t xml:space="preserve"> 废水间接排放口基本情况表</w:t>
            </w:r>
          </w:p>
          <w:tbl>
            <w:tblPr>
              <w:tblStyle w:val="37"/>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33"/>
              <w:gridCol w:w="1347"/>
              <w:gridCol w:w="1505"/>
              <w:gridCol w:w="1318"/>
              <w:gridCol w:w="1370"/>
              <w:gridCol w:w="1111"/>
              <w:gridCol w:w="984"/>
              <w:gridCol w:w="1013"/>
              <w:gridCol w:w="1013"/>
              <w:gridCol w:w="1223"/>
              <w:gridCol w:w="1231"/>
            </w:tblGrid>
            <w:tr w14:paraId="7428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335" w:type="pct"/>
                  <w:vMerge w:val="restart"/>
                  <w:vAlign w:val="center"/>
                </w:tcPr>
                <w:p w14:paraId="1DF0ECDB">
                  <w:pPr>
                    <w:adjustRightInd w:val="0"/>
                    <w:snapToGrid w:val="0"/>
                    <w:jc w:val="center"/>
                    <w:rPr>
                      <w:b/>
                      <w:bCs/>
                      <w:color w:val="auto"/>
                      <w:szCs w:val="21"/>
                    </w:rPr>
                  </w:pPr>
                  <w:r>
                    <w:rPr>
                      <w:b/>
                      <w:bCs/>
                      <w:color w:val="auto"/>
                      <w:szCs w:val="21"/>
                    </w:rPr>
                    <w:t>序号</w:t>
                  </w:r>
                </w:p>
              </w:tc>
              <w:tc>
                <w:tcPr>
                  <w:tcW w:w="533" w:type="pct"/>
                  <w:vMerge w:val="restart"/>
                  <w:vAlign w:val="center"/>
                </w:tcPr>
                <w:p w14:paraId="3EBB5EEE">
                  <w:pPr>
                    <w:adjustRightInd w:val="0"/>
                    <w:snapToGrid w:val="0"/>
                    <w:jc w:val="center"/>
                    <w:rPr>
                      <w:b/>
                      <w:bCs/>
                      <w:color w:val="auto"/>
                      <w:szCs w:val="21"/>
                    </w:rPr>
                  </w:pPr>
                  <w:r>
                    <w:rPr>
                      <w:b/>
                      <w:bCs/>
                      <w:color w:val="auto"/>
                      <w:szCs w:val="21"/>
                    </w:rPr>
                    <w:t>排放口编号</w:t>
                  </w:r>
                </w:p>
              </w:tc>
              <w:tc>
                <w:tcPr>
                  <w:tcW w:w="971" w:type="pct"/>
                  <w:gridSpan w:val="2"/>
                  <w:vAlign w:val="center"/>
                </w:tcPr>
                <w:p w14:paraId="3535B457">
                  <w:pPr>
                    <w:adjustRightInd w:val="0"/>
                    <w:snapToGrid w:val="0"/>
                    <w:jc w:val="center"/>
                    <w:rPr>
                      <w:b/>
                      <w:bCs/>
                      <w:color w:val="auto"/>
                      <w:szCs w:val="21"/>
                    </w:rPr>
                  </w:pPr>
                  <w:r>
                    <w:rPr>
                      <w:b/>
                      <w:bCs/>
                      <w:color w:val="auto"/>
                      <w:szCs w:val="21"/>
                    </w:rPr>
                    <w:t>排放口地理坐标</w:t>
                  </w:r>
                </w:p>
              </w:tc>
              <w:tc>
                <w:tcPr>
                  <w:tcW w:w="542" w:type="pct"/>
                  <w:vMerge w:val="restart"/>
                  <w:vAlign w:val="center"/>
                </w:tcPr>
                <w:p w14:paraId="68544C50">
                  <w:pPr>
                    <w:adjustRightInd w:val="0"/>
                    <w:snapToGrid w:val="0"/>
                    <w:jc w:val="center"/>
                    <w:rPr>
                      <w:b/>
                      <w:bCs/>
                      <w:color w:val="auto"/>
                      <w:szCs w:val="21"/>
                    </w:rPr>
                  </w:pPr>
                  <w:r>
                    <w:rPr>
                      <w:b/>
                      <w:bCs/>
                      <w:color w:val="auto"/>
                      <w:szCs w:val="21"/>
                    </w:rPr>
                    <w:t>废水排放量</w:t>
                  </w:r>
                </w:p>
                <w:p w14:paraId="050089AF">
                  <w:pPr>
                    <w:adjustRightInd w:val="0"/>
                    <w:snapToGrid w:val="0"/>
                    <w:jc w:val="center"/>
                    <w:rPr>
                      <w:b/>
                      <w:bCs/>
                      <w:color w:val="auto"/>
                      <w:szCs w:val="21"/>
                    </w:rPr>
                  </w:pPr>
                  <w:r>
                    <w:rPr>
                      <w:b/>
                      <w:bCs/>
                      <w:color w:val="auto"/>
                      <w:szCs w:val="21"/>
                    </w:rPr>
                    <w:t>（万t/a）</w:t>
                  </w:r>
                </w:p>
              </w:tc>
              <w:tc>
                <w:tcPr>
                  <w:tcW w:w="442" w:type="pct"/>
                  <w:vMerge w:val="restart"/>
                  <w:vAlign w:val="center"/>
                </w:tcPr>
                <w:p w14:paraId="00AEB247">
                  <w:pPr>
                    <w:adjustRightInd w:val="0"/>
                    <w:snapToGrid w:val="0"/>
                    <w:jc w:val="center"/>
                    <w:rPr>
                      <w:b/>
                      <w:bCs/>
                      <w:color w:val="auto"/>
                      <w:szCs w:val="21"/>
                    </w:rPr>
                  </w:pPr>
                  <w:r>
                    <w:rPr>
                      <w:b/>
                      <w:bCs/>
                      <w:color w:val="auto"/>
                      <w:szCs w:val="21"/>
                    </w:rPr>
                    <w:t>排放</w:t>
                  </w:r>
                </w:p>
                <w:p w14:paraId="48FA0E02">
                  <w:pPr>
                    <w:adjustRightInd w:val="0"/>
                    <w:snapToGrid w:val="0"/>
                    <w:jc w:val="center"/>
                    <w:rPr>
                      <w:b/>
                      <w:bCs/>
                      <w:color w:val="auto"/>
                      <w:szCs w:val="21"/>
                    </w:rPr>
                  </w:pPr>
                  <w:r>
                    <w:rPr>
                      <w:b/>
                      <w:bCs/>
                      <w:color w:val="auto"/>
                      <w:szCs w:val="21"/>
                    </w:rPr>
                    <w:t>去向</w:t>
                  </w:r>
                </w:p>
              </w:tc>
              <w:tc>
                <w:tcPr>
                  <w:tcW w:w="393" w:type="pct"/>
                  <w:vMerge w:val="restart"/>
                  <w:vAlign w:val="center"/>
                </w:tcPr>
                <w:p w14:paraId="3BF82FC1">
                  <w:pPr>
                    <w:adjustRightInd w:val="0"/>
                    <w:snapToGrid w:val="0"/>
                    <w:jc w:val="center"/>
                    <w:rPr>
                      <w:b/>
                      <w:bCs/>
                      <w:color w:val="auto"/>
                      <w:szCs w:val="21"/>
                    </w:rPr>
                  </w:pPr>
                  <w:r>
                    <w:rPr>
                      <w:b/>
                      <w:bCs/>
                      <w:color w:val="auto"/>
                      <w:szCs w:val="21"/>
                    </w:rPr>
                    <w:t>排放</w:t>
                  </w:r>
                </w:p>
                <w:p w14:paraId="3B4CD9ED">
                  <w:pPr>
                    <w:adjustRightInd w:val="0"/>
                    <w:snapToGrid w:val="0"/>
                    <w:jc w:val="center"/>
                    <w:rPr>
                      <w:b/>
                      <w:bCs/>
                      <w:color w:val="auto"/>
                      <w:szCs w:val="21"/>
                    </w:rPr>
                  </w:pPr>
                  <w:r>
                    <w:rPr>
                      <w:b/>
                      <w:bCs/>
                      <w:color w:val="auto"/>
                      <w:szCs w:val="21"/>
                    </w:rPr>
                    <w:t>规律</w:t>
                  </w:r>
                </w:p>
              </w:tc>
              <w:tc>
                <w:tcPr>
                  <w:tcW w:w="404" w:type="pct"/>
                  <w:vMerge w:val="restart"/>
                  <w:vAlign w:val="center"/>
                </w:tcPr>
                <w:p w14:paraId="0E5138A2">
                  <w:pPr>
                    <w:adjustRightInd w:val="0"/>
                    <w:snapToGrid w:val="0"/>
                    <w:jc w:val="center"/>
                    <w:rPr>
                      <w:b/>
                      <w:bCs/>
                      <w:color w:val="auto"/>
                      <w:szCs w:val="21"/>
                    </w:rPr>
                  </w:pPr>
                  <w:r>
                    <w:rPr>
                      <w:b/>
                      <w:bCs/>
                      <w:color w:val="auto"/>
                      <w:szCs w:val="21"/>
                    </w:rPr>
                    <w:t>间歇排放时段</w:t>
                  </w:r>
                </w:p>
              </w:tc>
              <w:tc>
                <w:tcPr>
                  <w:tcW w:w="1377" w:type="pct"/>
                  <w:gridSpan w:val="3"/>
                  <w:vAlign w:val="center"/>
                </w:tcPr>
                <w:p w14:paraId="5CF66907">
                  <w:pPr>
                    <w:adjustRightInd w:val="0"/>
                    <w:snapToGrid w:val="0"/>
                    <w:jc w:val="center"/>
                    <w:rPr>
                      <w:b/>
                      <w:bCs/>
                      <w:color w:val="auto"/>
                      <w:szCs w:val="21"/>
                    </w:rPr>
                  </w:pPr>
                  <w:r>
                    <w:rPr>
                      <w:b/>
                      <w:bCs/>
                      <w:color w:val="auto"/>
                      <w:szCs w:val="21"/>
                    </w:rPr>
                    <w:t>受纳污水厂信息</w:t>
                  </w:r>
                </w:p>
              </w:tc>
            </w:tr>
            <w:tr w14:paraId="1DA6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335" w:type="pct"/>
                  <w:vMerge w:val="continue"/>
                  <w:vAlign w:val="center"/>
                </w:tcPr>
                <w:p w14:paraId="440689B3">
                  <w:pPr>
                    <w:adjustRightInd w:val="0"/>
                    <w:snapToGrid w:val="0"/>
                    <w:jc w:val="center"/>
                    <w:rPr>
                      <w:b/>
                      <w:bCs/>
                      <w:color w:val="auto"/>
                      <w:szCs w:val="21"/>
                    </w:rPr>
                  </w:pPr>
                </w:p>
              </w:tc>
              <w:tc>
                <w:tcPr>
                  <w:tcW w:w="533" w:type="pct"/>
                  <w:vMerge w:val="continue"/>
                  <w:vAlign w:val="center"/>
                </w:tcPr>
                <w:p w14:paraId="49DD64AE">
                  <w:pPr>
                    <w:adjustRightInd w:val="0"/>
                    <w:snapToGrid w:val="0"/>
                    <w:jc w:val="center"/>
                    <w:rPr>
                      <w:b/>
                      <w:bCs/>
                      <w:color w:val="auto"/>
                      <w:szCs w:val="21"/>
                    </w:rPr>
                  </w:pPr>
                </w:p>
              </w:tc>
              <w:tc>
                <w:tcPr>
                  <w:tcW w:w="485" w:type="pct"/>
                  <w:vAlign w:val="center"/>
                </w:tcPr>
                <w:p w14:paraId="4D6C3A15">
                  <w:pPr>
                    <w:adjustRightInd w:val="0"/>
                    <w:snapToGrid w:val="0"/>
                    <w:jc w:val="center"/>
                    <w:rPr>
                      <w:b/>
                      <w:bCs/>
                      <w:color w:val="auto"/>
                      <w:szCs w:val="21"/>
                    </w:rPr>
                  </w:pPr>
                  <w:r>
                    <w:rPr>
                      <w:b/>
                      <w:bCs/>
                      <w:color w:val="auto"/>
                      <w:szCs w:val="21"/>
                    </w:rPr>
                    <w:t>经度</w:t>
                  </w:r>
                </w:p>
              </w:tc>
              <w:tc>
                <w:tcPr>
                  <w:tcW w:w="486" w:type="pct"/>
                  <w:vAlign w:val="center"/>
                </w:tcPr>
                <w:p w14:paraId="4BFD0D6C">
                  <w:pPr>
                    <w:adjustRightInd w:val="0"/>
                    <w:snapToGrid w:val="0"/>
                    <w:jc w:val="center"/>
                    <w:rPr>
                      <w:b/>
                      <w:bCs/>
                      <w:color w:val="auto"/>
                      <w:szCs w:val="21"/>
                    </w:rPr>
                  </w:pPr>
                  <w:r>
                    <w:rPr>
                      <w:b/>
                      <w:bCs/>
                      <w:color w:val="auto"/>
                      <w:szCs w:val="21"/>
                    </w:rPr>
                    <w:t>纬度</w:t>
                  </w:r>
                </w:p>
              </w:tc>
              <w:tc>
                <w:tcPr>
                  <w:tcW w:w="542" w:type="pct"/>
                  <w:vMerge w:val="continue"/>
                  <w:vAlign w:val="center"/>
                </w:tcPr>
                <w:p w14:paraId="45F8C140">
                  <w:pPr>
                    <w:adjustRightInd w:val="0"/>
                    <w:snapToGrid w:val="0"/>
                    <w:jc w:val="center"/>
                    <w:rPr>
                      <w:b/>
                      <w:bCs/>
                      <w:color w:val="auto"/>
                      <w:szCs w:val="21"/>
                    </w:rPr>
                  </w:pPr>
                </w:p>
              </w:tc>
              <w:tc>
                <w:tcPr>
                  <w:tcW w:w="442" w:type="pct"/>
                  <w:vMerge w:val="continue"/>
                  <w:vAlign w:val="center"/>
                </w:tcPr>
                <w:p w14:paraId="731A85FE">
                  <w:pPr>
                    <w:adjustRightInd w:val="0"/>
                    <w:snapToGrid w:val="0"/>
                    <w:jc w:val="center"/>
                    <w:rPr>
                      <w:b/>
                      <w:bCs/>
                      <w:color w:val="auto"/>
                      <w:szCs w:val="21"/>
                    </w:rPr>
                  </w:pPr>
                </w:p>
              </w:tc>
              <w:tc>
                <w:tcPr>
                  <w:tcW w:w="393" w:type="pct"/>
                  <w:vMerge w:val="continue"/>
                  <w:vAlign w:val="center"/>
                </w:tcPr>
                <w:p w14:paraId="5B9367FE">
                  <w:pPr>
                    <w:adjustRightInd w:val="0"/>
                    <w:snapToGrid w:val="0"/>
                    <w:jc w:val="center"/>
                    <w:rPr>
                      <w:b/>
                      <w:bCs/>
                      <w:color w:val="auto"/>
                      <w:szCs w:val="21"/>
                    </w:rPr>
                  </w:pPr>
                </w:p>
              </w:tc>
              <w:tc>
                <w:tcPr>
                  <w:tcW w:w="404" w:type="pct"/>
                  <w:vMerge w:val="continue"/>
                  <w:vAlign w:val="center"/>
                </w:tcPr>
                <w:p w14:paraId="41096BE4">
                  <w:pPr>
                    <w:adjustRightInd w:val="0"/>
                    <w:snapToGrid w:val="0"/>
                    <w:jc w:val="center"/>
                    <w:rPr>
                      <w:b/>
                      <w:bCs/>
                      <w:color w:val="auto"/>
                      <w:szCs w:val="21"/>
                    </w:rPr>
                  </w:pPr>
                </w:p>
              </w:tc>
              <w:tc>
                <w:tcPr>
                  <w:tcW w:w="404" w:type="pct"/>
                  <w:vAlign w:val="center"/>
                </w:tcPr>
                <w:p w14:paraId="217CE3E5">
                  <w:pPr>
                    <w:adjustRightInd w:val="0"/>
                    <w:snapToGrid w:val="0"/>
                    <w:jc w:val="center"/>
                    <w:rPr>
                      <w:b/>
                      <w:bCs/>
                      <w:color w:val="auto"/>
                      <w:szCs w:val="21"/>
                    </w:rPr>
                  </w:pPr>
                  <w:r>
                    <w:rPr>
                      <w:b/>
                      <w:bCs/>
                      <w:color w:val="auto"/>
                      <w:szCs w:val="21"/>
                    </w:rPr>
                    <w:t>名称</w:t>
                  </w:r>
                </w:p>
              </w:tc>
              <w:tc>
                <w:tcPr>
                  <w:tcW w:w="485" w:type="pct"/>
                  <w:vAlign w:val="center"/>
                </w:tcPr>
                <w:p w14:paraId="4F3F8868">
                  <w:pPr>
                    <w:adjustRightInd w:val="0"/>
                    <w:snapToGrid w:val="0"/>
                    <w:jc w:val="center"/>
                    <w:rPr>
                      <w:b/>
                      <w:bCs/>
                      <w:color w:val="auto"/>
                      <w:szCs w:val="21"/>
                    </w:rPr>
                  </w:pPr>
                  <w:r>
                    <w:rPr>
                      <w:b/>
                      <w:bCs/>
                      <w:color w:val="auto"/>
                      <w:szCs w:val="21"/>
                    </w:rPr>
                    <w:t>污染物种类</w:t>
                  </w:r>
                </w:p>
              </w:tc>
              <w:tc>
                <w:tcPr>
                  <w:tcW w:w="488" w:type="pct"/>
                  <w:vAlign w:val="center"/>
                </w:tcPr>
                <w:p w14:paraId="5360CACF">
                  <w:pPr>
                    <w:adjustRightInd w:val="0"/>
                    <w:snapToGrid w:val="0"/>
                    <w:jc w:val="center"/>
                    <w:rPr>
                      <w:b/>
                      <w:bCs/>
                      <w:color w:val="auto"/>
                      <w:szCs w:val="21"/>
                    </w:rPr>
                  </w:pPr>
                  <w:r>
                    <w:rPr>
                      <w:b/>
                      <w:bCs/>
                      <w:color w:val="auto"/>
                      <w:szCs w:val="21"/>
                    </w:rPr>
                    <w:t>排放标准</w:t>
                  </w:r>
                </w:p>
                <w:p w14:paraId="4351368C">
                  <w:pPr>
                    <w:adjustRightInd w:val="0"/>
                    <w:snapToGrid w:val="0"/>
                    <w:jc w:val="center"/>
                    <w:rPr>
                      <w:b/>
                      <w:bCs/>
                      <w:color w:val="auto"/>
                      <w:szCs w:val="21"/>
                    </w:rPr>
                  </w:pPr>
                  <w:r>
                    <w:rPr>
                      <w:b/>
                      <w:bCs/>
                      <w:color w:val="auto"/>
                      <w:szCs w:val="21"/>
                    </w:rPr>
                    <w:t>mg/L</w:t>
                  </w:r>
                </w:p>
              </w:tc>
            </w:tr>
            <w:tr w14:paraId="4BD5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335" w:type="pct"/>
                  <w:vMerge w:val="restart"/>
                  <w:vAlign w:val="center"/>
                </w:tcPr>
                <w:p w14:paraId="17991709">
                  <w:pPr>
                    <w:adjustRightInd w:val="0"/>
                    <w:snapToGrid w:val="0"/>
                    <w:jc w:val="center"/>
                    <w:rPr>
                      <w:color w:val="auto"/>
                      <w:szCs w:val="21"/>
                    </w:rPr>
                  </w:pPr>
                  <w:r>
                    <w:rPr>
                      <w:color w:val="auto"/>
                      <w:szCs w:val="21"/>
                    </w:rPr>
                    <w:t>1</w:t>
                  </w:r>
                </w:p>
              </w:tc>
              <w:tc>
                <w:tcPr>
                  <w:tcW w:w="533" w:type="pct"/>
                  <w:vMerge w:val="restart"/>
                  <w:vAlign w:val="center"/>
                </w:tcPr>
                <w:p w14:paraId="67157468">
                  <w:pPr>
                    <w:adjustRightInd w:val="0"/>
                    <w:snapToGrid w:val="0"/>
                    <w:jc w:val="center"/>
                    <w:rPr>
                      <w:color w:val="auto"/>
                      <w:szCs w:val="21"/>
                    </w:rPr>
                  </w:pPr>
                  <w:r>
                    <w:rPr>
                      <w:color w:val="auto"/>
                      <w:szCs w:val="21"/>
                    </w:rPr>
                    <w:t>DW001</w:t>
                  </w:r>
                </w:p>
              </w:tc>
              <w:tc>
                <w:tcPr>
                  <w:tcW w:w="1279" w:type="dxa"/>
                  <w:vMerge w:val="restart"/>
                  <w:vAlign w:val="center"/>
                </w:tcPr>
                <w:p w14:paraId="3D1FA634">
                  <w:pPr>
                    <w:jc w:val="center"/>
                    <w:rPr>
                      <w:color w:val="auto"/>
                      <w:szCs w:val="21"/>
                    </w:rPr>
                  </w:pPr>
                  <w:r>
                    <w:rPr>
                      <w:color w:val="auto"/>
                      <w:kern w:val="44"/>
                      <w:szCs w:val="21"/>
                    </w:rPr>
                    <w:t>E113°24′12.897″</w:t>
                  </w:r>
                </w:p>
              </w:tc>
              <w:tc>
                <w:tcPr>
                  <w:tcW w:w="1282" w:type="dxa"/>
                  <w:vMerge w:val="restart"/>
                  <w:vAlign w:val="center"/>
                </w:tcPr>
                <w:p w14:paraId="0237EC5D">
                  <w:pPr>
                    <w:jc w:val="center"/>
                    <w:rPr>
                      <w:color w:val="auto"/>
                      <w:szCs w:val="21"/>
                    </w:rPr>
                  </w:pPr>
                  <w:r>
                    <w:rPr>
                      <w:color w:val="auto"/>
                      <w:kern w:val="44"/>
                      <w:szCs w:val="21"/>
                    </w:rPr>
                    <w:t>N25°8′49.043″</w:t>
                  </w:r>
                </w:p>
              </w:tc>
              <w:tc>
                <w:tcPr>
                  <w:tcW w:w="542" w:type="pct"/>
                  <w:vMerge w:val="restart"/>
                  <w:vAlign w:val="center"/>
                </w:tcPr>
                <w:p w14:paraId="36736C99">
                  <w:pPr>
                    <w:adjustRightInd w:val="0"/>
                    <w:snapToGrid w:val="0"/>
                    <w:jc w:val="center"/>
                    <w:rPr>
                      <w:color w:val="auto"/>
                      <w:szCs w:val="21"/>
                    </w:rPr>
                  </w:pPr>
                  <w:r>
                    <w:rPr>
                      <w:color w:val="auto"/>
                      <w:szCs w:val="21"/>
                    </w:rPr>
                    <w:t>0.0135</w:t>
                  </w:r>
                </w:p>
              </w:tc>
              <w:tc>
                <w:tcPr>
                  <w:tcW w:w="442" w:type="pct"/>
                  <w:vMerge w:val="restart"/>
                  <w:vAlign w:val="center"/>
                </w:tcPr>
                <w:p w14:paraId="051A07FF">
                  <w:pPr>
                    <w:adjustRightInd w:val="0"/>
                    <w:snapToGrid w:val="0"/>
                    <w:spacing w:before="120" w:beforeLines="50"/>
                    <w:jc w:val="center"/>
                    <w:rPr>
                      <w:color w:val="auto"/>
                      <w:szCs w:val="21"/>
                    </w:rPr>
                  </w:pPr>
                  <w:r>
                    <w:rPr>
                      <w:color w:val="auto"/>
                      <w:szCs w:val="21"/>
                    </w:rPr>
                    <w:t>进入工业污水处理厂</w:t>
                  </w:r>
                </w:p>
              </w:tc>
              <w:tc>
                <w:tcPr>
                  <w:tcW w:w="393" w:type="pct"/>
                  <w:vMerge w:val="restart"/>
                  <w:vAlign w:val="center"/>
                </w:tcPr>
                <w:p w14:paraId="52B18705">
                  <w:pPr>
                    <w:adjustRightInd w:val="0"/>
                    <w:snapToGrid w:val="0"/>
                    <w:spacing w:before="120" w:beforeLines="50"/>
                    <w:jc w:val="center"/>
                    <w:rPr>
                      <w:color w:val="auto"/>
                      <w:szCs w:val="21"/>
                    </w:rPr>
                  </w:pPr>
                  <w:r>
                    <w:rPr>
                      <w:color w:val="auto"/>
                      <w:szCs w:val="21"/>
                    </w:rPr>
                    <w:t>间歇排放，流量不稳定</w:t>
                  </w:r>
                </w:p>
              </w:tc>
              <w:tc>
                <w:tcPr>
                  <w:tcW w:w="404" w:type="pct"/>
                  <w:vMerge w:val="restart"/>
                  <w:vAlign w:val="center"/>
                </w:tcPr>
                <w:p w14:paraId="7F95AC4B">
                  <w:pPr>
                    <w:adjustRightInd w:val="0"/>
                    <w:snapToGrid w:val="0"/>
                    <w:jc w:val="center"/>
                    <w:rPr>
                      <w:color w:val="auto"/>
                      <w:szCs w:val="21"/>
                    </w:rPr>
                  </w:pPr>
                  <w:r>
                    <w:rPr>
                      <w:color w:val="auto"/>
                      <w:szCs w:val="21"/>
                    </w:rPr>
                    <w:t>/</w:t>
                  </w:r>
                </w:p>
              </w:tc>
              <w:tc>
                <w:tcPr>
                  <w:tcW w:w="404" w:type="pct"/>
                  <w:vMerge w:val="restart"/>
                  <w:vAlign w:val="center"/>
                </w:tcPr>
                <w:p w14:paraId="2BFFC583">
                  <w:pPr>
                    <w:adjustRightInd w:val="0"/>
                    <w:snapToGrid w:val="0"/>
                    <w:spacing w:before="120" w:beforeLines="50"/>
                    <w:jc w:val="center"/>
                    <w:rPr>
                      <w:color w:val="auto"/>
                      <w:szCs w:val="21"/>
                    </w:rPr>
                  </w:pPr>
                  <w:r>
                    <w:rPr>
                      <w:color w:val="auto"/>
                      <w:szCs w:val="21"/>
                    </w:rPr>
                    <w:t>园区污水处理</w:t>
                  </w:r>
                </w:p>
              </w:tc>
              <w:tc>
                <w:tcPr>
                  <w:tcW w:w="485" w:type="pct"/>
                  <w:vAlign w:val="center"/>
                </w:tcPr>
                <w:p w14:paraId="0E490DA2">
                  <w:pPr>
                    <w:adjustRightInd w:val="0"/>
                    <w:snapToGrid w:val="0"/>
                    <w:jc w:val="center"/>
                    <w:rPr>
                      <w:color w:val="auto"/>
                      <w:szCs w:val="21"/>
                    </w:rPr>
                  </w:pPr>
                  <w:r>
                    <w:rPr>
                      <w:color w:val="auto"/>
                      <w:szCs w:val="21"/>
                    </w:rPr>
                    <w:t>pH</w:t>
                  </w:r>
                </w:p>
              </w:tc>
              <w:tc>
                <w:tcPr>
                  <w:tcW w:w="488" w:type="pct"/>
                  <w:vAlign w:val="center"/>
                </w:tcPr>
                <w:p w14:paraId="239CA791">
                  <w:pPr>
                    <w:adjustRightInd w:val="0"/>
                    <w:snapToGrid w:val="0"/>
                    <w:jc w:val="center"/>
                    <w:rPr>
                      <w:color w:val="auto"/>
                      <w:szCs w:val="21"/>
                    </w:rPr>
                  </w:pPr>
                  <w:r>
                    <w:rPr>
                      <w:color w:val="auto"/>
                      <w:szCs w:val="21"/>
                    </w:rPr>
                    <w:t>6-9（无量纲）</w:t>
                  </w:r>
                </w:p>
              </w:tc>
            </w:tr>
            <w:tr w14:paraId="15BE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335" w:type="pct"/>
                  <w:vMerge w:val="continue"/>
                  <w:vAlign w:val="center"/>
                </w:tcPr>
                <w:p w14:paraId="4ABF6CFE">
                  <w:pPr>
                    <w:adjustRightInd w:val="0"/>
                    <w:snapToGrid w:val="0"/>
                    <w:jc w:val="center"/>
                    <w:rPr>
                      <w:color w:val="auto"/>
                      <w:szCs w:val="21"/>
                    </w:rPr>
                  </w:pPr>
                </w:p>
              </w:tc>
              <w:tc>
                <w:tcPr>
                  <w:tcW w:w="533" w:type="pct"/>
                  <w:vMerge w:val="continue"/>
                  <w:vAlign w:val="center"/>
                </w:tcPr>
                <w:p w14:paraId="2CC52C68">
                  <w:pPr>
                    <w:adjustRightInd w:val="0"/>
                    <w:snapToGrid w:val="0"/>
                    <w:jc w:val="center"/>
                    <w:rPr>
                      <w:color w:val="auto"/>
                      <w:szCs w:val="21"/>
                    </w:rPr>
                  </w:pPr>
                </w:p>
              </w:tc>
              <w:tc>
                <w:tcPr>
                  <w:tcW w:w="485" w:type="pct"/>
                  <w:vMerge w:val="continue"/>
                  <w:vAlign w:val="center"/>
                </w:tcPr>
                <w:p w14:paraId="23456D58">
                  <w:pPr>
                    <w:adjustRightInd w:val="0"/>
                    <w:snapToGrid w:val="0"/>
                    <w:jc w:val="center"/>
                    <w:rPr>
                      <w:color w:val="auto"/>
                      <w:szCs w:val="21"/>
                    </w:rPr>
                  </w:pPr>
                </w:p>
              </w:tc>
              <w:tc>
                <w:tcPr>
                  <w:tcW w:w="486" w:type="pct"/>
                  <w:vMerge w:val="continue"/>
                  <w:vAlign w:val="center"/>
                </w:tcPr>
                <w:p w14:paraId="3980A176">
                  <w:pPr>
                    <w:adjustRightInd w:val="0"/>
                    <w:snapToGrid w:val="0"/>
                    <w:jc w:val="center"/>
                    <w:rPr>
                      <w:color w:val="auto"/>
                      <w:szCs w:val="21"/>
                    </w:rPr>
                  </w:pPr>
                </w:p>
              </w:tc>
              <w:tc>
                <w:tcPr>
                  <w:tcW w:w="542" w:type="pct"/>
                  <w:vMerge w:val="continue"/>
                  <w:vAlign w:val="center"/>
                </w:tcPr>
                <w:p w14:paraId="16BEF334">
                  <w:pPr>
                    <w:adjustRightInd w:val="0"/>
                    <w:snapToGrid w:val="0"/>
                    <w:jc w:val="center"/>
                    <w:rPr>
                      <w:color w:val="auto"/>
                      <w:szCs w:val="21"/>
                    </w:rPr>
                  </w:pPr>
                </w:p>
              </w:tc>
              <w:tc>
                <w:tcPr>
                  <w:tcW w:w="442" w:type="pct"/>
                  <w:vMerge w:val="continue"/>
                  <w:vAlign w:val="center"/>
                </w:tcPr>
                <w:p w14:paraId="3684C25F">
                  <w:pPr>
                    <w:adjustRightInd w:val="0"/>
                    <w:snapToGrid w:val="0"/>
                    <w:spacing w:before="120" w:beforeLines="50"/>
                    <w:jc w:val="center"/>
                    <w:rPr>
                      <w:color w:val="auto"/>
                      <w:szCs w:val="21"/>
                    </w:rPr>
                  </w:pPr>
                </w:p>
              </w:tc>
              <w:tc>
                <w:tcPr>
                  <w:tcW w:w="393" w:type="pct"/>
                  <w:vMerge w:val="continue"/>
                  <w:vAlign w:val="center"/>
                </w:tcPr>
                <w:p w14:paraId="1E217DFF">
                  <w:pPr>
                    <w:adjustRightInd w:val="0"/>
                    <w:snapToGrid w:val="0"/>
                    <w:spacing w:before="120" w:beforeLines="50"/>
                    <w:jc w:val="center"/>
                    <w:rPr>
                      <w:color w:val="auto"/>
                      <w:szCs w:val="21"/>
                    </w:rPr>
                  </w:pPr>
                </w:p>
              </w:tc>
              <w:tc>
                <w:tcPr>
                  <w:tcW w:w="404" w:type="pct"/>
                  <w:vMerge w:val="continue"/>
                  <w:vAlign w:val="center"/>
                </w:tcPr>
                <w:p w14:paraId="05EB5E0E">
                  <w:pPr>
                    <w:adjustRightInd w:val="0"/>
                    <w:snapToGrid w:val="0"/>
                    <w:jc w:val="center"/>
                    <w:rPr>
                      <w:color w:val="auto"/>
                      <w:szCs w:val="21"/>
                    </w:rPr>
                  </w:pPr>
                </w:p>
              </w:tc>
              <w:tc>
                <w:tcPr>
                  <w:tcW w:w="404" w:type="pct"/>
                  <w:vMerge w:val="continue"/>
                  <w:vAlign w:val="center"/>
                </w:tcPr>
                <w:p w14:paraId="3183FE54">
                  <w:pPr>
                    <w:adjustRightInd w:val="0"/>
                    <w:snapToGrid w:val="0"/>
                    <w:spacing w:before="120" w:beforeLines="50"/>
                    <w:jc w:val="center"/>
                    <w:rPr>
                      <w:color w:val="auto"/>
                      <w:szCs w:val="21"/>
                    </w:rPr>
                  </w:pPr>
                </w:p>
              </w:tc>
              <w:tc>
                <w:tcPr>
                  <w:tcW w:w="485" w:type="pct"/>
                  <w:vAlign w:val="center"/>
                </w:tcPr>
                <w:p w14:paraId="2FC09BAE">
                  <w:pPr>
                    <w:adjustRightInd w:val="0"/>
                    <w:snapToGrid w:val="0"/>
                    <w:jc w:val="center"/>
                    <w:rPr>
                      <w:color w:val="auto"/>
                      <w:szCs w:val="21"/>
                    </w:rPr>
                  </w:pPr>
                  <w:r>
                    <w:rPr>
                      <w:color w:val="auto"/>
                      <w:szCs w:val="21"/>
                    </w:rPr>
                    <w:t>COD</w:t>
                  </w:r>
                  <w:r>
                    <w:rPr>
                      <w:color w:val="auto"/>
                      <w:position w:val="2"/>
                      <w:szCs w:val="21"/>
                      <w:vertAlign w:val="subscript"/>
                    </w:rPr>
                    <w:t>Cr</w:t>
                  </w:r>
                </w:p>
              </w:tc>
              <w:tc>
                <w:tcPr>
                  <w:tcW w:w="488" w:type="pct"/>
                  <w:vAlign w:val="center"/>
                </w:tcPr>
                <w:p w14:paraId="0B2140C6">
                  <w:pPr>
                    <w:adjustRightInd w:val="0"/>
                    <w:snapToGrid w:val="0"/>
                    <w:jc w:val="center"/>
                    <w:rPr>
                      <w:color w:val="auto"/>
                      <w:szCs w:val="21"/>
                    </w:rPr>
                  </w:pPr>
                  <w:r>
                    <w:rPr>
                      <w:color w:val="auto"/>
                      <w:szCs w:val="21"/>
                    </w:rPr>
                    <w:t>40</w:t>
                  </w:r>
                </w:p>
              </w:tc>
            </w:tr>
            <w:tr w14:paraId="1998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335" w:type="pct"/>
                  <w:vMerge w:val="continue"/>
                  <w:vAlign w:val="center"/>
                </w:tcPr>
                <w:p w14:paraId="4E495B31">
                  <w:pPr>
                    <w:adjustRightInd w:val="0"/>
                    <w:snapToGrid w:val="0"/>
                    <w:jc w:val="center"/>
                    <w:rPr>
                      <w:color w:val="auto"/>
                      <w:szCs w:val="21"/>
                    </w:rPr>
                  </w:pPr>
                </w:p>
              </w:tc>
              <w:tc>
                <w:tcPr>
                  <w:tcW w:w="533" w:type="pct"/>
                  <w:vMerge w:val="continue"/>
                  <w:vAlign w:val="center"/>
                </w:tcPr>
                <w:p w14:paraId="6F3C4CA0">
                  <w:pPr>
                    <w:adjustRightInd w:val="0"/>
                    <w:snapToGrid w:val="0"/>
                    <w:jc w:val="center"/>
                    <w:rPr>
                      <w:color w:val="auto"/>
                      <w:szCs w:val="21"/>
                    </w:rPr>
                  </w:pPr>
                </w:p>
              </w:tc>
              <w:tc>
                <w:tcPr>
                  <w:tcW w:w="485" w:type="pct"/>
                  <w:vMerge w:val="continue"/>
                  <w:vAlign w:val="center"/>
                </w:tcPr>
                <w:p w14:paraId="7754908E">
                  <w:pPr>
                    <w:adjustRightInd w:val="0"/>
                    <w:snapToGrid w:val="0"/>
                    <w:jc w:val="center"/>
                    <w:rPr>
                      <w:color w:val="auto"/>
                      <w:szCs w:val="21"/>
                    </w:rPr>
                  </w:pPr>
                </w:p>
              </w:tc>
              <w:tc>
                <w:tcPr>
                  <w:tcW w:w="486" w:type="pct"/>
                  <w:vMerge w:val="continue"/>
                  <w:vAlign w:val="center"/>
                </w:tcPr>
                <w:p w14:paraId="023A904D">
                  <w:pPr>
                    <w:adjustRightInd w:val="0"/>
                    <w:snapToGrid w:val="0"/>
                    <w:jc w:val="center"/>
                    <w:rPr>
                      <w:color w:val="auto"/>
                      <w:szCs w:val="21"/>
                    </w:rPr>
                  </w:pPr>
                </w:p>
              </w:tc>
              <w:tc>
                <w:tcPr>
                  <w:tcW w:w="542" w:type="pct"/>
                  <w:vMerge w:val="continue"/>
                  <w:vAlign w:val="center"/>
                </w:tcPr>
                <w:p w14:paraId="1BBE7F11">
                  <w:pPr>
                    <w:adjustRightInd w:val="0"/>
                    <w:snapToGrid w:val="0"/>
                    <w:spacing w:before="120" w:beforeLines="50"/>
                    <w:ind w:firstLine="420" w:firstLineChars="200"/>
                    <w:jc w:val="center"/>
                    <w:rPr>
                      <w:color w:val="auto"/>
                      <w:szCs w:val="21"/>
                    </w:rPr>
                  </w:pPr>
                </w:p>
              </w:tc>
              <w:tc>
                <w:tcPr>
                  <w:tcW w:w="442" w:type="pct"/>
                  <w:vMerge w:val="continue"/>
                  <w:vAlign w:val="center"/>
                </w:tcPr>
                <w:p w14:paraId="761D5F47">
                  <w:pPr>
                    <w:adjustRightInd w:val="0"/>
                    <w:snapToGrid w:val="0"/>
                    <w:spacing w:before="120" w:beforeLines="50"/>
                    <w:ind w:firstLine="420" w:firstLineChars="200"/>
                    <w:jc w:val="center"/>
                    <w:rPr>
                      <w:color w:val="auto"/>
                      <w:szCs w:val="21"/>
                    </w:rPr>
                  </w:pPr>
                </w:p>
              </w:tc>
              <w:tc>
                <w:tcPr>
                  <w:tcW w:w="393" w:type="pct"/>
                  <w:vMerge w:val="continue"/>
                  <w:vAlign w:val="center"/>
                </w:tcPr>
                <w:p w14:paraId="5FDD2F29">
                  <w:pPr>
                    <w:adjustRightInd w:val="0"/>
                    <w:snapToGrid w:val="0"/>
                    <w:spacing w:before="120" w:beforeLines="50"/>
                    <w:ind w:firstLine="420" w:firstLineChars="200"/>
                    <w:jc w:val="center"/>
                    <w:rPr>
                      <w:color w:val="auto"/>
                      <w:szCs w:val="21"/>
                    </w:rPr>
                  </w:pPr>
                </w:p>
              </w:tc>
              <w:tc>
                <w:tcPr>
                  <w:tcW w:w="404" w:type="pct"/>
                  <w:vMerge w:val="continue"/>
                  <w:vAlign w:val="center"/>
                </w:tcPr>
                <w:p w14:paraId="43672836">
                  <w:pPr>
                    <w:adjustRightInd w:val="0"/>
                    <w:snapToGrid w:val="0"/>
                    <w:spacing w:before="120" w:beforeLines="50"/>
                    <w:ind w:firstLine="420" w:firstLineChars="200"/>
                    <w:jc w:val="center"/>
                    <w:rPr>
                      <w:color w:val="auto"/>
                      <w:szCs w:val="21"/>
                    </w:rPr>
                  </w:pPr>
                </w:p>
              </w:tc>
              <w:tc>
                <w:tcPr>
                  <w:tcW w:w="404" w:type="pct"/>
                  <w:vMerge w:val="continue"/>
                  <w:vAlign w:val="center"/>
                </w:tcPr>
                <w:p w14:paraId="677E842B">
                  <w:pPr>
                    <w:adjustRightInd w:val="0"/>
                    <w:snapToGrid w:val="0"/>
                    <w:jc w:val="center"/>
                    <w:rPr>
                      <w:color w:val="auto"/>
                      <w:szCs w:val="21"/>
                    </w:rPr>
                  </w:pPr>
                </w:p>
              </w:tc>
              <w:tc>
                <w:tcPr>
                  <w:tcW w:w="485" w:type="pct"/>
                  <w:vAlign w:val="center"/>
                </w:tcPr>
                <w:p w14:paraId="7BA15CAE">
                  <w:pPr>
                    <w:adjustRightInd w:val="0"/>
                    <w:snapToGrid w:val="0"/>
                    <w:jc w:val="center"/>
                    <w:rPr>
                      <w:color w:val="auto"/>
                      <w:szCs w:val="21"/>
                    </w:rPr>
                  </w:pPr>
                  <w:r>
                    <w:rPr>
                      <w:color w:val="auto"/>
                      <w:szCs w:val="21"/>
                    </w:rPr>
                    <w:t>SS</w:t>
                  </w:r>
                </w:p>
              </w:tc>
              <w:tc>
                <w:tcPr>
                  <w:tcW w:w="488" w:type="pct"/>
                  <w:vAlign w:val="center"/>
                </w:tcPr>
                <w:p w14:paraId="786D7119">
                  <w:pPr>
                    <w:adjustRightInd w:val="0"/>
                    <w:snapToGrid w:val="0"/>
                    <w:jc w:val="center"/>
                    <w:rPr>
                      <w:color w:val="auto"/>
                      <w:szCs w:val="21"/>
                    </w:rPr>
                  </w:pPr>
                  <w:r>
                    <w:rPr>
                      <w:color w:val="auto"/>
                      <w:szCs w:val="21"/>
                    </w:rPr>
                    <w:t>10</w:t>
                  </w:r>
                </w:p>
              </w:tc>
            </w:tr>
            <w:tr w14:paraId="0238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335" w:type="pct"/>
                  <w:vMerge w:val="continue"/>
                  <w:vAlign w:val="center"/>
                </w:tcPr>
                <w:p w14:paraId="166BD810">
                  <w:pPr>
                    <w:adjustRightInd w:val="0"/>
                    <w:snapToGrid w:val="0"/>
                    <w:jc w:val="center"/>
                    <w:rPr>
                      <w:color w:val="auto"/>
                      <w:szCs w:val="21"/>
                    </w:rPr>
                  </w:pPr>
                </w:p>
              </w:tc>
              <w:tc>
                <w:tcPr>
                  <w:tcW w:w="533" w:type="pct"/>
                  <w:vMerge w:val="continue"/>
                  <w:vAlign w:val="center"/>
                </w:tcPr>
                <w:p w14:paraId="424C91D0">
                  <w:pPr>
                    <w:adjustRightInd w:val="0"/>
                    <w:snapToGrid w:val="0"/>
                    <w:jc w:val="center"/>
                    <w:rPr>
                      <w:color w:val="auto"/>
                      <w:szCs w:val="21"/>
                    </w:rPr>
                  </w:pPr>
                </w:p>
              </w:tc>
              <w:tc>
                <w:tcPr>
                  <w:tcW w:w="485" w:type="pct"/>
                  <w:vMerge w:val="continue"/>
                  <w:vAlign w:val="center"/>
                </w:tcPr>
                <w:p w14:paraId="0E82B4A7">
                  <w:pPr>
                    <w:adjustRightInd w:val="0"/>
                    <w:snapToGrid w:val="0"/>
                    <w:jc w:val="center"/>
                    <w:rPr>
                      <w:color w:val="auto"/>
                      <w:szCs w:val="21"/>
                    </w:rPr>
                  </w:pPr>
                </w:p>
              </w:tc>
              <w:tc>
                <w:tcPr>
                  <w:tcW w:w="486" w:type="pct"/>
                  <w:vMerge w:val="continue"/>
                  <w:vAlign w:val="center"/>
                </w:tcPr>
                <w:p w14:paraId="47592736">
                  <w:pPr>
                    <w:adjustRightInd w:val="0"/>
                    <w:snapToGrid w:val="0"/>
                    <w:jc w:val="center"/>
                    <w:rPr>
                      <w:color w:val="auto"/>
                      <w:szCs w:val="21"/>
                    </w:rPr>
                  </w:pPr>
                </w:p>
              </w:tc>
              <w:tc>
                <w:tcPr>
                  <w:tcW w:w="542" w:type="pct"/>
                  <w:vMerge w:val="continue"/>
                  <w:vAlign w:val="center"/>
                </w:tcPr>
                <w:p w14:paraId="42421377">
                  <w:pPr>
                    <w:adjustRightInd w:val="0"/>
                    <w:snapToGrid w:val="0"/>
                    <w:spacing w:before="120" w:beforeLines="50"/>
                    <w:ind w:firstLine="420" w:firstLineChars="200"/>
                    <w:rPr>
                      <w:color w:val="auto"/>
                      <w:szCs w:val="21"/>
                    </w:rPr>
                  </w:pPr>
                </w:p>
              </w:tc>
              <w:tc>
                <w:tcPr>
                  <w:tcW w:w="442" w:type="pct"/>
                  <w:vMerge w:val="continue"/>
                  <w:vAlign w:val="center"/>
                </w:tcPr>
                <w:p w14:paraId="7BF195B1">
                  <w:pPr>
                    <w:adjustRightInd w:val="0"/>
                    <w:snapToGrid w:val="0"/>
                    <w:spacing w:before="120" w:beforeLines="50"/>
                    <w:ind w:firstLine="420" w:firstLineChars="200"/>
                    <w:jc w:val="center"/>
                    <w:rPr>
                      <w:color w:val="auto"/>
                      <w:szCs w:val="21"/>
                    </w:rPr>
                  </w:pPr>
                </w:p>
              </w:tc>
              <w:tc>
                <w:tcPr>
                  <w:tcW w:w="393" w:type="pct"/>
                  <w:vMerge w:val="continue"/>
                  <w:vAlign w:val="center"/>
                </w:tcPr>
                <w:p w14:paraId="7E08A2DB">
                  <w:pPr>
                    <w:adjustRightInd w:val="0"/>
                    <w:snapToGrid w:val="0"/>
                    <w:spacing w:before="120" w:beforeLines="50"/>
                    <w:ind w:firstLine="420" w:firstLineChars="200"/>
                    <w:jc w:val="center"/>
                    <w:rPr>
                      <w:color w:val="auto"/>
                      <w:szCs w:val="21"/>
                    </w:rPr>
                  </w:pPr>
                </w:p>
              </w:tc>
              <w:tc>
                <w:tcPr>
                  <w:tcW w:w="404" w:type="pct"/>
                  <w:vMerge w:val="continue"/>
                  <w:vAlign w:val="center"/>
                </w:tcPr>
                <w:p w14:paraId="2C5C99A1">
                  <w:pPr>
                    <w:adjustRightInd w:val="0"/>
                    <w:snapToGrid w:val="0"/>
                    <w:spacing w:before="120" w:beforeLines="50"/>
                    <w:ind w:firstLine="420" w:firstLineChars="200"/>
                    <w:jc w:val="center"/>
                    <w:rPr>
                      <w:color w:val="auto"/>
                      <w:szCs w:val="21"/>
                    </w:rPr>
                  </w:pPr>
                </w:p>
              </w:tc>
              <w:tc>
                <w:tcPr>
                  <w:tcW w:w="404" w:type="pct"/>
                  <w:vMerge w:val="continue"/>
                  <w:vAlign w:val="center"/>
                </w:tcPr>
                <w:p w14:paraId="777E88E1">
                  <w:pPr>
                    <w:adjustRightInd w:val="0"/>
                    <w:snapToGrid w:val="0"/>
                    <w:jc w:val="center"/>
                    <w:rPr>
                      <w:color w:val="auto"/>
                      <w:szCs w:val="21"/>
                    </w:rPr>
                  </w:pPr>
                </w:p>
              </w:tc>
              <w:tc>
                <w:tcPr>
                  <w:tcW w:w="485" w:type="pct"/>
                  <w:vAlign w:val="center"/>
                </w:tcPr>
                <w:p w14:paraId="4C56264F">
                  <w:pPr>
                    <w:adjustRightInd w:val="0"/>
                    <w:snapToGrid w:val="0"/>
                    <w:jc w:val="center"/>
                    <w:rPr>
                      <w:color w:val="auto"/>
                      <w:szCs w:val="21"/>
                    </w:rPr>
                  </w:pPr>
                  <w:r>
                    <w:rPr>
                      <w:color w:val="auto"/>
                      <w:szCs w:val="21"/>
                    </w:rPr>
                    <w:t>氨氮</w:t>
                  </w:r>
                </w:p>
              </w:tc>
              <w:tc>
                <w:tcPr>
                  <w:tcW w:w="488" w:type="pct"/>
                  <w:vAlign w:val="center"/>
                </w:tcPr>
                <w:p w14:paraId="2008873B">
                  <w:pPr>
                    <w:adjustRightInd w:val="0"/>
                    <w:snapToGrid w:val="0"/>
                    <w:jc w:val="center"/>
                    <w:rPr>
                      <w:color w:val="auto"/>
                      <w:szCs w:val="21"/>
                    </w:rPr>
                  </w:pPr>
                  <w:r>
                    <w:rPr>
                      <w:color w:val="auto"/>
                      <w:szCs w:val="21"/>
                    </w:rPr>
                    <w:t>5</w:t>
                  </w:r>
                </w:p>
              </w:tc>
            </w:tr>
            <w:tr w14:paraId="5BA4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335" w:type="pct"/>
                  <w:vMerge w:val="continue"/>
                  <w:vAlign w:val="center"/>
                </w:tcPr>
                <w:p w14:paraId="54C9C48B">
                  <w:pPr>
                    <w:adjustRightInd w:val="0"/>
                    <w:snapToGrid w:val="0"/>
                    <w:jc w:val="center"/>
                    <w:rPr>
                      <w:color w:val="auto"/>
                      <w:szCs w:val="21"/>
                    </w:rPr>
                  </w:pPr>
                </w:p>
              </w:tc>
              <w:tc>
                <w:tcPr>
                  <w:tcW w:w="533" w:type="pct"/>
                  <w:vMerge w:val="continue"/>
                  <w:vAlign w:val="center"/>
                </w:tcPr>
                <w:p w14:paraId="5B85DBD1">
                  <w:pPr>
                    <w:adjustRightInd w:val="0"/>
                    <w:snapToGrid w:val="0"/>
                    <w:jc w:val="center"/>
                    <w:rPr>
                      <w:color w:val="auto"/>
                      <w:szCs w:val="21"/>
                    </w:rPr>
                  </w:pPr>
                </w:p>
              </w:tc>
              <w:tc>
                <w:tcPr>
                  <w:tcW w:w="485" w:type="pct"/>
                  <w:vMerge w:val="continue"/>
                  <w:vAlign w:val="center"/>
                </w:tcPr>
                <w:p w14:paraId="394ED12B">
                  <w:pPr>
                    <w:adjustRightInd w:val="0"/>
                    <w:snapToGrid w:val="0"/>
                    <w:jc w:val="center"/>
                    <w:rPr>
                      <w:color w:val="auto"/>
                      <w:szCs w:val="21"/>
                    </w:rPr>
                  </w:pPr>
                </w:p>
              </w:tc>
              <w:tc>
                <w:tcPr>
                  <w:tcW w:w="486" w:type="pct"/>
                  <w:vMerge w:val="continue"/>
                  <w:vAlign w:val="center"/>
                </w:tcPr>
                <w:p w14:paraId="1FBB3C35">
                  <w:pPr>
                    <w:adjustRightInd w:val="0"/>
                    <w:snapToGrid w:val="0"/>
                    <w:jc w:val="center"/>
                    <w:rPr>
                      <w:color w:val="auto"/>
                      <w:szCs w:val="21"/>
                    </w:rPr>
                  </w:pPr>
                </w:p>
              </w:tc>
              <w:tc>
                <w:tcPr>
                  <w:tcW w:w="542" w:type="pct"/>
                  <w:vMerge w:val="continue"/>
                  <w:vAlign w:val="center"/>
                </w:tcPr>
                <w:p w14:paraId="6D019212">
                  <w:pPr>
                    <w:adjustRightInd w:val="0"/>
                    <w:snapToGrid w:val="0"/>
                    <w:spacing w:before="120" w:beforeLines="50"/>
                    <w:ind w:firstLine="420" w:firstLineChars="200"/>
                    <w:jc w:val="center"/>
                    <w:rPr>
                      <w:color w:val="auto"/>
                      <w:szCs w:val="21"/>
                    </w:rPr>
                  </w:pPr>
                </w:p>
              </w:tc>
              <w:tc>
                <w:tcPr>
                  <w:tcW w:w="442" w:type="pct"/>
                  <w:vMerge w:val="continue"/>
                  <w:vAlign w:val="center"/>
                </w:tcPr>
                <w:p w14:paraId="704DAE0E">
                  <w:pPr>
                    <w:adjustRightInd w:val="0"/>
                    <w:snapToGrid w:val="0"/>
                    <w:spacing w:before="120" w:beforeLines="50"/>
                    <w:ind w:firstLine="420" w:firstLineChars="200"/>
                    <w:jc w:val="center"/>
                    <w:rPr>
                      <w:color w:val="auto"/>
                      <w:szCs w:val="21"/>
                    </w:rPr>
                  </w:pPr>
                </w:p>
              </w:tc>
              <w:tc>
                <w:tcPr>
                  <w:tcW w:w="393" w:type="pct"/>
                  <w:vMerge w:val="continue"/>
                  <w:vAlign w:val="center"/>
                </w:tcPr>
                <w:p w14:paraId="6F1B301E">
                  <w:pPr>
                    <w:adjustRightInd w:val="0"/>
                    <w:snapToGrid w:val="0"/>
                    <w:spacing w:before="120" w:beforeLines="50"/>
                    <w:ind w:firstLine="420" w:firstLineChars="200"/>
                    <w:jc w:val="center"/>
                    <w:rPr>
                      <w:color w:val="auto"/>
                      <w:szCs w:val="21"/>
                    </w:rPr>
                  </w:pPr>
                </w:p>
              </w:tc>
              <w:tc>
                <w:tcPr>
                  <w:tcW w:w="404" w:type="pct"/>
                  <w:vMerge w:val="continue"/>
                  <w:vAlign w:val="center"/>
                </w:tcPr>
                <w:p w14:paraId="0111D16F">
                  <w:pPr>
                    <w:adjustRightInd w:val="0"/>
                    <w:snapToGrid w:val="0"/>
                    <w:spacing w:before="120" w:beforeLines="50"/>
                    <w:ind w:firstLine="420" w:firstLineChars="200"/>
                    <w:jc w:val="center"/>
                    <w:rPr>
                      <w:color w:val="auto"/>
                      <w:szCs w:val="21"/>
                    </w:rPr>
                  </w:pPr>
                </w:p>
              </w:tc>
              <w:tc>
                <w:tcPr>
                  <w:tcW w:w="404" w:type="pct"/>
                  <w:vMerge w:val="continue"/>
                  <w:vAlign w:val="center"/>
                </w:tcPr>
                <w:p w14:paraId="239C3D68">
                  <w:pPr>
                    <w:adjustRightInd w:val="0"/>
                    <w:snapToGrid w:val="0"/>
                    <w:jc w:val="center"/>
                    <w:rPr>
                      <w:color w:val="auto"/>
                      <w:szCs w:val="21"/>
                    </w:rPr>
                  </w:pPr>
                </w:p>
              </w:tc>
              <w:tc>
                <w:tcPr>
                  <w:tcW w:w="485" w:type="pct"/>
                  <w:vAlign w:val="center"/>
                </w:tcPr>
                <w:p w14:paraId="3BEC8D75">
                  <w:pPr>
                    <w:adjustRightInd w:val="0"/>
                    <w:snapToGrid w:val="0"/>
                    <w:jc w:val="center"/>
                    <w:rPr>
                      <w:color w:val="auto"/>
                      <w:szCs w:val="21"/>
                    </w:rPr>
                  </w:pPr>
                  <w:r>
                    <w:rPr>
                      <w:color w:val="auto"/>
                      <w:szCs w:val="21"/>
                    </w:rPr>
                    <w:t>BOD</w:t>
                  </w:r>
                  <w:r>
                    <w:rPr>
                      <w:color w:val="auto"/>
                      <w:szCs w:val="21"/>
                      <w:vertAlign w:val="subscript"/>
                    </w:rPr>
                    <w:t>5</w:t>
                  </w:r>
                </w:p>
              </w:tc>
              <w:tc>
                <w:tcPr>
                  <w:tcW w:w="488" w:type="pct"/>
                  <w:vAlign w:val="center"/>
                </w:tcPr>
                <w:p w14:paraId="7CFB9C34">
                  <w:pPr>
                    <w:adjustRightInd w:val="0"/>
                    <w:snapToGrid w:val="0"/>
                    <w:jc w:val="center"/>
                    <w:rPr>
                      <w:color w:val="auto"/>
                      <w:szCs w:val="21"/>
                    </w:rPr>
                  </w:pPr>
                  <w:r>
                    <w:rPr>
                      <w:color w:val="auto"/>
                      <w:szCs w:val="21"/>
                    </w:rPr>
                    <w:t>10</w:t>
                  </w:r>
                </w:p>
              </w:tc>
            </w:tr>
          </w:tbl>
          <w:p w14:paraId="4BE4AEA5">
            <w:pPr>
              <w:pStyle w:val="164"/>
              <w:rPr>
                <w:color w:val="auto"/>
                <w:sz w:val="24"/>
                <w:szCs w:val="24"/>
              </w:rPr>
            </w:pPr>
            <w:r>
              <w:rPr>
                <w:color w:val="auto"/>
                <w:sz w:val="24"/>
                <w:szCs w:val="24"/>
              </w:rPr>
              <w:t>表</w:t>
            </w:r>
            <w:r>
              <w:rPr>
                <w:color w:val="auto"/>
                <w:sz w:val="24"/>
                <w:szCs w:val="24"/>
              </w:rPr>
              <w:fldChar w:fldCharType="begin"/>
            </w:r>
            <w:r>
              <w:rPr>
                <w:color w:val="auto"/>
                <w:sz w:val="24"/>
                <w:szCs w:val="24"/>
              </w:rPr>
              <w:instrText xml:space="preserve"> SEQ 表 \* ARABIC </w:instrText>
            </w:r>
            <w:r>
              <w:rPr>
                <w:color w:val="auto"/>
                <w:sz w:val="24"/>
                <w:szCs w:val="24"/>
              </w:rPr>
              <w:fldChar w:fldCharType="separate"/>
            </w:r>
            <w:r>
              <w:rPr>
                <w:color w:val="auto"/>
                <w:sz w:val="24"/>
                <w:szCs w:val="24"/>
              </w:rPr>
              <w:t>42</w:t>
            </w:r>
            <w:r>
              <w:rPr>
                <w:color w:val="auto"/>
                <w:sz w:val="24"/>
                <w:szCs w:val="24"/>
              </w:rPr>
              <w:fldChar w:fldCharType="end"/>
            </w:r>
            <w:r>
              <w:rPr>
                <w:color w:val="auto"/>
                <w:sz w:val="24"/>
                <w:szCs w:val="24"/>
              </w:rPr>
              <w:t>建设项目废水污染物排放信息表</w:t>
            </w:r>
          </w:p>
          <w:tbl>
            <w:tblPr>
              <w:tblStyle w:val="3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7"/>
              <w:gridCol w:w="2180"/>
              <w:gridCol w:w="2284"/>
              <w:gridCol w:w="4733"/>
              <w:gridCol w:w="2294"/>
            </w:tblGrid>
            <w:tr w14:paraId="2D46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66" w:type="pct"/>
                  <w:vAlign w:val="center"/>
                </w:tcPr>
                <w:p w14:paraId="1F0CD399">
                  <w:pPr>
                    <w:spacing w:line="20" w:lineRule="atLeast"/>
                    <w:jc w:val="center"/>
                    <w:rPr>
                      <w:b/>
                      <w:bCs/>
                      <w:color w:val="auto"/>
                      <w:szCs w:val="21"/>
                    </w:rPr>
                  </w:pPr>
                  <w:r>
                    <w:rPr>
                      <w:b/>
                      <w:bCs/>
                      <w:color w:val="auto"/>
                      <w:szCs w:val="21"/>
                    </w:rPr>
                    <w:t>序号</w:t>
                  </w:r>
                </w:p>
              </w:tc>
              <w:tc>
                <w:tcPr>
                  <w:tcW w:w="841" w:type="pct"/>
                  <w:vAlign w:val="center"/>
                </w:tcPr>
                <w:p w14:paraId="4A1E5E63">
                  <w:pPr>
                    <w:spacing w:line="20" w:lineRule="atLeast"/>
                    <w:jc w:val="center"/>
                    <w:rPr>
                      <w:b/>
                      <w:bCs/>
                      <w:color w:val="auto"/>
                      <w:szCs w:val="21"/>
                    </w:rPr>
                  </w:pPr>
                  <w:r>
                    <w:rPr>
                      <w:b/>
                      <w:bCs/>
                      <w:color w:val="auto"/>
                      <w:szCs w:val="21"/>
                    </w:rPr>
                    <w:t>排放口编号</w:t>
                  </w:r>
                </w:p>
              </w:tc>
              <w:tc>
                <w:tcPr>
                  <w:tcW w:w="881" w:type="pct"/>
                  <w:vAlign w:val="center"/>
                </w:tcPr>
                <w:p w14:paraId="0A17D296">
                  <w:pPr>
                    <w:spacing w:line="20" w:lineRule="atLeast"/>
                    <w:jc w:val="center"/>
                    <w:rPr>
                      <w:b/>
                      <w:bCs/>
                      <w:color w:val="auto"/>
                      <w:szCs w:val="21"/>
                    </w:rPr>
                  </w:pPr>
                  <w:r>
                    <w:rPr>
                      <w:b/>
                      <w:bCs/>
                      <w:color w:val="auto"/>
                      <w:szCs w:val="21"/>
                    </w:rPr>
                    <w:t>污染物种类</w:t>
                  </w:r>
                </w:p>
              </w:tc>
              <w:tc>
                <w:tcPr>
                  <w:tcW w:w="1825" w:type="pct"/>
                  <w:vAlign w:val="center"/>
                </w:tcPr>
                <w:p w14:paraId="6042B851">
                  <w:pPr>
                    <w:spacing w:line="20" w:lineRule="atLeast"/>
                    <w:jc w:val="center"/>
                    <w:rPr>
                      <w:b/>
                      <w:bCs/>
                      <w:color w:val="auto"/>
                      <w:szCs w:val="21"/>
                    </w:rPr>
                  </w:pPr>
                  <w:r>
                    <w:rPr>
                      <w:b/>
                      <w:bCs/>
                      <w:color w:val="auto"/>
                      <w:szCs w:val="21"/>
                    </w:rPr>
                    <w:t>全厂日排放量（kg/d）</w:t>
                  </w:r>
                </w:p>
              </w:tc>
              <w:tc>
                <w:tcPr>
                  <w:tcW w:w="885" w:type="pct"/>
                  <w:vAlign w:val="center"/>
                </w:tcPr>
                <w:p w14:paraId="488B9103">
                  <w:pPr>
                    <w:spacing w:line="20" w:lineRule="atLeast"/>
                    <w:jc w:val="center"/>
                    <w:rPr>
                      <w:b/>
                      <w:bCs/>
                      <w:color w:val="auto"/>
                      <w:szCs w:val="21"/>
                    </w:rPr>
                  </w:pPr>
                  <w:r>
                    <w:rPr>
                      <w:b/>
                      <w:bCs/>
                      <w:color w:val="auto"/>
                      <w:szCs w:val="21"/>
                    </w:rPr>
                    <w:t>全厂年排放量（t/a）</w:t>
                  </w:r>
                </w:p>
              </w:tc>
            </w:tr>
            <w:tr w14:paraId="0EF2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66" w:type="pct"/>
                  <w:vMerge w:val="restart"/>
                  <w:vAlign w:val="center"/>
                </w:tcPr>
                <w:p w14:paraId="156802B9">
                  <w:pPr>
                    <w:spacing w:line="20" w:lineRule="atLeast"/>
                    <w:jc w:val="center"/>
                    <w:rPr>
                      <w:color w:val="auto"/>
                      <w:szCs w:val="21"/>
                    </w:rPr>
                  </w:pPr>
                  <w:r>
                    <w:rPr>
                      <w:color w:val="auto"/>
                      <w:szCs w:val="21"/>
                    </w:rPr>
                    <w:t>1</w:t>
                  </w:r>
                </w:p>
              </w:tc>
              <w:tc>
                <w:tcPr>
                  <w:tcW w:w="841" w:type="pct"/>
                  <w:vMerge w:val="restart"/>
                  <w:vAlign w:val="center"/>
                </w:tcPr>
                <w:p w14:paraId="523D3D9C">
                  <w:pPr>
                    <w:spacing w:line="20" w:lineRule="atLeast"/>
                    <w:jc w:val="center"/>
                    <w:rPr>
                      <w:color w:val="auto"/>
                      <w:szCs w:val="21"/>
                    </w:rPr>
                  </w:pPr>
                  <w:r>
                    <w:rPr>
                      <w:color w:val="auto"/>
                      <w:szCs w:val="21"/>
                    </w:rPr>
                    <w:t>DW001</w:t>
                  </w:r>
                </w:p>
              </w:tc>
              <w:tc>
                <w:tcPr>
                  <w:tcW w:w="881" w:type="pct"/>
                  <w:vAlign w:val="center"/>
                </w:tcPr>
                <w:p w14:paraId="127171AD">
                  <w:pPr>
                    <w:pStyle w:val="16"/>
                    <w:jc w:val="center"/>
                    <w:rPr>
                      <w:rFonts w:ascii="Times New Roman" w:hAnsi="Times New Roman" w:eastAsia="宋体"/>
                      <w:color w:val="auto"/>
                      <w:sz w:val="21"/>
                      <w:szCs w:val="21"/>
                    </w:rPr>
                  </w:pPr>
                  <w:r>
                    <w:rPr>
                      <w:rFonts w:ascii="Times New Roman" w:hAnsi="Times New Roman" w:eastAsia="宋体"/>
                      <w:color w:val="auto"/>
                      <w:sz w:val="21"/>
                      <w:szCs w:val="21"/>
                    </w:rPr>
                    <w:t>CODcr</w:t>
                  </w:r>
                </w:p>
              </w:tc>
              <w:tc>
                <w:tcPr>
                  <w:tcW w:w="1825" w:type="pct"/>
                  <w:vAlign w:val="center"/>
                </w:tcPr>
                <w:p w14:paraId="3F0C9311">
                  <w:pPr>
                    <w:widowControl/>
                    <w:jc w:val="center"/>
                    <w:textAlignment w:val="center"/>
                    <w:rPr>
                      <w:color w:val="auto"/>
                      <w:szCs w:val="21"/>
                    </w:rPr>
                  </w:pPr>
                  <w:r>
                    <w:rPr>
                      <w:color w:val="auto"/>
                      <w:kern w:val="0"/>
                      <w:szCs w:val="21"/>
                      <w:lang w:bidi="ar"/>
                    </w:rPr>
                    <w:t>0.088</w:t>
                  </w:r>
                </w:p>
              </w:tc>
              <w:tc>
                <w:tcPr>
                  <w:tcW w:w="885" w:type="pct"/>
                  <w:vAlign w:val="center"/>
                </w:tcPr>
                <w:p w14:paraId="2C8F4264">
                  <w:pPr>
                    <w:widowControl/>
                    <w:jc w:val="center"/>
                    <w:textAlignment w:val="center"/>
                    <w:rPr>
                      <w:color w:val="auto"/>
                      <w:szCs w:val="21"/>
                    </w:rPr>
                  </w:pPr>
                  <w:r>
                    <w:rPr>
                      <w:color w:val="auto"/>
                      <w:kern w:val="0"/>
                      <w:szCs w:val="21"/>
                      <w:lang w:bidi="ar"/>
                    </w:rPr>
                    <w:t>0.023</w:t>
                  </w:r>
                </w:p>
              </w:tc>
            </w:tr>
            <w:tr w14:paraId="1A49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66" w:type="pct"/>
                  <w:vMerge w:val="continue"/>
                  <w:vAlign w:val="center"/>
                </w:tcPr>
                <w:p w14:paraId="0F210D3C">
                  <w:pPr>
                    <w:spacing w:before="120" w:beforeLines="50" w:line="20" w:lineRule="atLeast"/>
                    <w:ind w:firstLine="420" w:firstLineChars="200"/>
                    <w:jc w:val="center"/>
                    <w:rPr>
                      <w:color w:val="auto"/>
                      <w:szCs w:val="21"/>
                    </w:rPr>
                  </w:pPr>
                </w:p>
              </w:tc>
              <w:tc>
                <w:tcPr>
                  <w:tcW w:w="841" w:type="pct"/>
                  <w:vMerge w:val="continue"/>
                  <w:vAlign w:val="center"/>
                </w:tcPr>
                <w:p w14:paraId="02056E9F">
                  <w:pPr>
                    <w:spacing w:line="20" w:lineRule="atLeast"/>
                    <w:jc w:val="center"/>
                    <w:rPr>
                      <w:color w:val="auto"/>
                      <w:szCs w:val="21"/>
                    </w:rPr>
                  </w:pPr>
                </w:p>
              </w:tc>
              <w:tc>
                <w:tcPr>
                  <w:tcW w:w="881" w:type="pct"/>
                  <w:vAlign w:val="center"/>
                </w:tcPr>
                <w:p w14:paraId="2571899A">
                  <w:pPr>
                    <w:pStyle w:val="16"/>
                    <w:jc w:val="center"/>
                    <w:rPr>
                      <w:rFonts w:ascii="Times New Roman" w:hAnsi="Times New Roman" w:eastAsia="宋体"/>
                      <w:color w:val="auto"/>
                      <w:sz w:val="21"/>
                      <w:szCs w:val="21"/>
                    </w:rPr>
                  </w:pPr>
                  <w:r>
                    <w:rPr>
                      <w:rFonts w:ascii="Times New Roman" w:hAnsi="Times New Roman" w:eastAsia="宋体"/>
                      <w:color w:val="auto"/>
                      <w:sz w:val="21"/>
                      <w:szCs w:val="21"/>
                    </w:rPr>
                    <w:t>BOD</w:t>
                  </w:r>
                  <w:r>
                    <w:rPr>
                      <w:rFonts w:ascii="Times New Roman" w:hAnsi="Times New Roman" w:eastAsia="宋体"/>
                      <w:color w:val="auto"/>
                      <w:sz w:val="21"/>
                      <w:szCs w:val="21"/>
                      <w:vertAlign w:val="subscript"/>
                    </w:rPr>
                    <w:t>5</w:t>
                  </w:r>
                </w:p>
              </w:tc>
              <w:tc>
                <w:tcPr>
                  <w:tcW w:w="1825" w:type="pct"/>
                  <w:vAlign w:val="center"/>
                </w:tcPr>
                <w:p w14:paraId="3A4B41BB">
                  <w:pPr>
                    <w:widowControl/>
                    <w:jc w:val="center"/>
                    <w:textAlignment w:val="center"/>
                    <w:rPr>
                      <w:color w:val="auto"/>
                      <w:szCs w:val="21"/>
                    </w:rPr>
                  </w:pPr>
                  <w:r>
                    <w:rPr>
                      <w:color w:val="auto"/>
                      <w:kern w:val="0"/>
                      <w:szCs w:val="21"/>
                      <w:lang w:bidi="ar"/>
                    </w:rPr>
                    <w:t>0.058</w:t>
                  </w:r>
                </w:p>
              </w:tc>
              <w:tc>
                <w:tcPr>
                  <w:tcW w:w="885" w:type="pct"/>
                  <w:vAlign w:val="center"/>
                </w:tcPr>
                <w:p w14:paraId="5D9AE4D1">
                  <w:pPr>
                    <w:widowControl/>
                    <w:jc w:val="center"/>
                    <w:textAlignment w:val="center"/>
                    <w:rPr>
                      <w:color w:val="auto"/>
                      <w:szCs w:val="21"/>
                    </w:rPr>
                  </w:pPr>
                  <w:r>
                    <w:rPr>
                      <w:color w:val="auto"/>
                      <w:kern w:val="0"/>
                      <w:szCs w:val="21"/>
                      <w:lang w:bidi="ar"/>
                    </w:rPr>
                    <w:t>0.015</w:t>
                  </w:r>
                </w:p>
              </w:tc>
            </w:tr>
            <w:tr w14:paraId="4A1F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66" w:type="pct"/>
                  <w:vMerge w:val="continue"/>
                  <w:vAlign w:val="center"/>
                </w:tcPr>
                <w:p w14:paraId="7D9FD2D6">
                  <w:pPr>
                    <w:spacing w:line="20" w:lineRule="atLeast"/>
                    <w:jc w:val="center"/>
                    <w:rPr>
                      <w:color w:val="auto"/>
                      <w:szCs w:val="21"/>
                    </w:rPr>
                  </w:pPr>
                </w:p>
              </w:tc>
              <w:tc>
                <w:tcPr>
                  <w:tcW w:w="841" w:type="pct"/>
                  <w:vMerge w:val="continue"/>
                  <w:vAlign w:val="center"/>
                </w:tcPr>
                <w:p w14:paraId="776860E3">
                  <w:pPr>
                    <w:spacing w:line="20" w:lineRule="atLeast"/>
                    <w:jc w:val="center"/>
                    <w:rPr>
                      <w:color w:val="auto"/>
                      <w:szCs w:val="21"/>
                    </w:rPr>
                  </w:pPr>
                </w:p>
              </w:tc>
              <w:tc>
                <w:tcPr>
                  <w:tcW w:w="881" w:type="pct"/>
                  <w:vAlign w:val="center"/>
                </w:tcPr>
                <w:p w14:paraId="7A59DC1F">
                  <w:pPr>
                    <w:pStyle w:val="16"/>
                    <w:jc w:val="center"/>
                    <w:rPr>
                      <w:rFonts w:ascii="Times New Roman" w:hAnsi="Times New Roman" w:eastAsia="宋体"/>
                      <w:color w:val="auto"/>
                      <w:sz w:val="21"/>
                      <w:szCs w:val="21"/>
                    </w:rPr>
                  </w:pPr>
                  <w:r>
                    <w:rPr>
                      <w:rFonts w:ascii="Times New Roman" w:hAnsi="Times New Roman" w:eastAsia="宋体"/>
                      <w:color w:val="auto"/>
                      <w:sz w:val="21"/>
                      <w:szCs w:val="21"/>
                    </w:rPr>
                    <w:t>SS</w:t>
                  </w:r>
                </w:p>
              </w:tc>
              <w:tc>
                <w:tcPr>
                  <w:tcW w:w="1825" w:type="pct"/>
                  <w:vAlign w:val="center"/>
                </w:tcPr>
                <w:p w14:paraId="1B780E8C">
                  <w:pPr>
                    <w:widowControl/>
                    <w:jc w:val="center"/>
                    <w:textAlignment w:val="center"/>
                    <w:rPr>
                      <w:color w:val="auto"/>
                      <w:szCs w:val="21"/>
                    </w:rPr>
                  </w:pPr>
                  <w:r>
                    <w:rPr>
                      <w:color w:val="auto"/>
                      <w:kern w:val="0"/>
                      <w:szCs w:val="21"/>
                      <w:lang w:bidi="ar"/>
                    </w:rPr>
                    <w:t>0.042</w:t>
                  </w:r>
                </w:p>
              </w:tc>
              <w:tc>
                <w:tcPr>
                  <w:tcW w:w="885" w:type="pct"/>
                  <w:vAlign w:val="center"/>
                </w:tcPr>
                <w:p w14:paraId="1F8B9D55">
                  <w:pPr>
                    <w:widowControl/>
                    <w:jc w:val="center"/>
                    <w:textAlignment w:val="center"/>
                    <w:rPr>
                      <w:color w:val="auto"/>
                      <w:szCs w:val="21"/>
                    </w:rPr>
                  </w:pPr>
                  <w:r>
                    <w:rPr>
                      <w:color w:val="auto"/>
                      <w:kern w:val="0"/>
                      <w:szCs w:val="21"/>
                      <w:lang w:bidi="ar"/>
                    </w:rPr>
                    <w:t>0.011</w:t>
                  </w:r>
                </w:p>
              </w:tc>
            </w:tr>
            <w:tr w14:paraId="2A1B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66" w:type="pct"/>
                  <w:vMerge w:val="continue"/>
                  <w:vAlign w:val="center"/>
                </w:tcPr>
                <w:p w14:paraId="3905D59D">
                  <w:pPr>
                    <w:spacing w:line="20" w:lineRule="atLeast"/>
                    <w:jc w:val="center"/>
                    <w:rPr>
                      <w:color w:val="auto"/>
                      <w:szCs w:val="21"/>
                    </w:rPr>
                  </w:pPr>
                </w:p>
              </w:tc>
              <w:tc>
                <w:tcPr>
                  <w:tcW w:w="841" w:type="pct"/>
                  <w:vMerge w:val="continue"/>
                  <w:vAlign w:val="center"/>
                </w:tcPr>
                <w:p w14:paraId="2FE0B643">
                  <w:pPr>
                    <w:spacing w:line="20" w:lineRule="atLeast"/>
                    <w:jc w:val="center"/>
                    <w:rPr>
                      <w:color w:val="auto"/>
                      <w:szCs w:val="21"/>
                    </w:rPr>
                  </w:pPr>
                </w:p>
              </w:tc>
              <w:tc>
                <w:tcPr>
                  <w:tcW w:w="881" w:type="pct"/>
                  <w:vAlign w:val="center"/>
                </w:tcPr>
                <w:p w14:paraId="5ABCF417">
                  <w:pPr>
                    <w:pStyle w:val="16"/>
                    <w:jc w:val="center"/>
                    <w:rPr>
                      <w:rFonts w:ascii="Times New Roman" w:hAnsi="Times New Roman" w:eastAsia="宋体"/>
                      <w:color w:val="auto"/>
                      <w:sz w:val="21"/>
                      <w:szCs w:val="21"/>
                    </w:rPr>
                  </w:pPr>
                  <w:r>
                    <w:rPr>
                      <w:rFonts w:ascii="Times New Roman" w:hAnsi="Times New Roman"/>
                      <w:color w:val="auto"/>
                      <w:sz w:val="21"/>
                      <w:szCs w:val="21"/>
                    </w:rPr>
                    <w:t>NH</w:t>
                  </w:r>
                  <w:r>
                    <w:rPr>
                      <w:rFonts w:ascii="Times New Roman" w:hAnsi="Times New Roman"/>
                      <w:color w:val="auto"/>
                      <w:sz w:val="21"/>
                      <w:szCs w:val="21"/>
                      <w:vertAlign w:val="subscript"/>
                    </w:rPr>
                    <w:t>3</w:t>
                  </w:r>
                  <w:r>
                    <w:rPr>
                      <w:rFonts w:ascii="Times New Roman" w:hAnsi="Times New Roman"/>
                      <w:color w:val="auto"/>
                      <w:sz w:val="21"/>
                      <w:szCs w:val="21"/>
                    </w:rPr>
                    <w:t>-N</w:t>
                  </w:r>
                </w:p>
              </w:tc>
              <w:tc>
                <w:tcPr>
                  <w:tcW w:w="1825" w:type="pct"/>
                  <w:vAlign w:val="center"/>
                </w:tcPr>
                <w:p w14:paraId="2973758C">
                  <w:pPr>
                    <w:widowControl/>
                    <w:jc w:val="center"/>
                    <w:textAlignment w:val="center"/>
                    <w:rPr>
                      <w:color w:val="auto"/>
                      <w:szCs w:val="21"/>
                    </w:rPr>
                  </w:pPr>
                  <w:r>
                    <w:rPr>
                      <w:color w:val="auto"/>
                      <w:kern w:val="0"/>
                      <w:szCs w:val="21"/>
                      <w:lang w:bidi="ar"/>
                    </w:rPr>
                    <w:t>0.015</w:t>
                  </w:r>
                </w:p>
              </w:tc>
              <w:tc>
                <w:tcPr>
                  <w:tcW w:w="885" w:type="pct"/>
                  <w:vAlign w:val="center"/>
                </w:tcPr>
                <w:p w14:paraId="0F256EE2">
                  <w:pPr>
                    <w:widowControl/>
                    <w:jc w:val="center"/>
                    <w:textAlignment w:val="center"/>
                    <w:rPr>
                      <w:color w:val="auto"/>
                      <w:szCs w:val="21"/>
                    </w:rPr>
                  </w:pPr>
                  <w:r>
                    <w:rPr>
                      <w:color w:val="auto"/>
                      <w:kern w:val="0"/>
                      <w:szCs w:val="21"/>
                      <w:lang w:bidi="ar"/>
                    </w:rPr>
                    <w:t>0.004</w:t>
                  </w:r>
                </w:p>
              </w:tc>
            </w:tr>
            <w:tr w14:paraId="6293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66" w:type="pct"/>
                  <w:vMerge w:val="restart"/>
                  <w:vAlign w:val="center"/>
                </w:tcPr>
                <w:p w14:paraId="00B681B4">
                  <w:pPr>
                    <w:spacing w:line="20" w:lineRule="atLeast"/>
                    <w:jc w:val="center"/>
                    <w:rPr>
                      <w:color w:val="auto"/>
                      <w:szCs w:val="21"/>
                    </w:rPr>
                  </w:pPr>
                  <w:r>
                    <w:rPr>
                      <w:color w:val="auto"/>
                      <w:szCs w:val="21"/>
                    </w:rPr>
                    <w:t>全厂排放口合计（t/a）</w:t>
                  </w:r>
                </w:p>
              </w:tc>
              <w:tc>
                <w:tcPr>
                  <w:tcW w:w="3548" w:type="pct"/>
                  <w:gridSpan w:val="3"/>
                  <w:vAlign w:val="center"/>
                </w:tcPr>
                <w:p w14:paraId="749A8FA2">
                  <w:pPr>
                    <w:pStyle w:val="16"/>
                    <w:jc w:val="center"/>
                    <w:rPr>
                      <w:rFonts w:ascii="Times New Roman" w:hAnsi="Times New Roman"/>
                      <w:color w:val="auto"/>
                      <w:szCs w:val="21"/>
                    </w:rPr>
                  </w:pPr>
                  <w:r>
                    <w:rPr>
                      <w:rFonts w:ascii="Times New Roman" w:hAnsi="Times New Roman" w:eastAsia="宋体"/>
                      <w:color w:val="auto"/>
                      <w:sz w:val="21"/>
                      <w:szCs w:val="21"/>
                    </w:rPr>
                    <w:t>CODcr</w:t>
                  </w:r>
                </w:p>
              </w:tc>
              <w:tc>
                <w:tcPr>
                  <w:tcW w:w="885" w:type="pct"/>
                  <w:vAlign w:val="center"/>
                </w:tcPr>
                <w:p w14:paraId="58C3975F">
                  <w:pPr>
                    <w:widowControl/>
                    <w:jc w:val="center"/>
                    <w:textAlignment w:val="center"/>
                    <w:rPr>
                      <w:color w:val="auto"/>
                      <w:kern w:val="0"/>
                      <w:szCs w:val="21"/>
                      <w:lang w:bidi="ar"/>
                    </w:rPr>
                  </w:pPr>
                  <w:r>
                    <w:rPr>
                      <w:color w:val="auto"/>
                      <w:kern w:val="0"/>
                      <w:szCs w:val="21"/>
                      <w:lang w:bidi="ar"/>
                    </w:rPr>
                    <w:t>0.023</w:t>
                  </w:r>
                </w:p>
              </w:tc>
            </w:tr>
            <w:tr w14:paraId="513E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66" w:type="pct"/>
                  <w:vMerge w:val="continue"/>
                  <w:vAlign w:val="center"/>
                </w:tcPr>
                <w:p w14:paraId="3DBA1368">
                  <w:pPr>
                    <w:spacing w:line="20" w:lineRule="atLeast"/>
                    <w:jc w:val="center"/>
                    <w:rPr>
                      <w:color w:val="auto"/>
                      <w:szCs w:val="21"/>
                    </w:rPr>
                  </w:pPr>
                </w:p>
              </w:tc>
              <w:tc>
                <w:tcPr>
                  <w:tcW w:w="3548" w:type="pct"/>
                  <w:gridSpan w:val="3"/>
                  <w:vAlign w:val="center"/>
                </w:tcPr>
                <w:p w14:paraId="26874EC1">
                  <w:pPr>
                    <w:pStyle w:val="16"/>
                    <w:jc w:val="center"/>
                    <w:rPr>
                      <w:rFonts w:ascii="Times New Roman" w:hAnsi="Times New Roman"/>
                      <w:color w:val="auto"/>
                      <w:szCs w:val="21"/>
                    </w:rPr>
                  </w:pPr>
                  <w:r>
                    <w:rPr>
                      <w:rFonts w:ascii="Times New Roman" w:hAnsi="Times New Roman" w:eastAsia="宋体"/>
                      <w:color w:val="auto"/>
                      <w:sz w:val="21"/>
                      <w:szCs w:val="21"/>
                    </w:rPr>
                    <w:t>BOD</w:t>
                  </w:r>
                  <w:r>
                    <w:rPr>
                      <w:rFonts w:ascii="Times New Roman" w:hAnsi="Times New Roman" w:eastAsia="宋体"/>
                      <w:color w:val="auto"/>
                      <w:sz w:val="21"/>
                      <w:szCs w:val="21"/>
                      <w:vertAlign w:val="subscript"/>
                    </w:rPr>
                    <w:t>5</w:t>
                  </w:r>
                </w:p>
              </w:tc>
              <w:tc>
                <w:tcPr>
                  <w:tcW w:w="885" w:type="pct"/>
                  <w:vAlign w:val="center"/>
                </w:tcPr>
                <w:p w14:paraId="01CA8433">
                  <w:pPr>
                    <w:widowControl/>
                    <w:jc w:val="center"/>
                    <w:textAlignment w:val="center"/>
                    <w:rPr>
                      <w:color w:val="auto"/>
                      <w:kern w:val="0"/>
                      <w:szCs w:val="21"/>
                      <w:lang w:bidi="ar"/>
                    </w:rPr>
                  </w:pPr>
                  <w:r>
                    <w:rPr>
                      <w:color w:val="auto"/>
                      <w:kern w:val="0"/>
                      <w:szCs w:val="21"/>
                      <w:lang w:bidi="ar"/>
                    </w:rPr>
                    <w:t>0.015</w:t>
                  </w:r>
                </w:p>
              </w:tc>
            </w:tr>
            <w:tr w14:paraId="2EF2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66" w:type="pct"/>
                  <w:vMerge w:val="continue"/>
                  <w:vAlign w:val="center"/>
                </w:tcPr>
                <w:p w14:paraId="5C13A9C3">
                  <w:pPr>
                    <w:spacing w:line="20" w:lineRule="atLeast"/>
                    <w:jc w:val="center"/>
                    <w:rPr>
                      <w:color w:val="auto"/>
                      <w:szCs w:val="21"/>
                    </w:rPr>
                  </w:pPr>
                </w:p>
              </w:tc>
              <w:tc>
                <w:tcPr>
                  <w:tcW w:w="3548" w:type="pct"/>
                  <w:gridSpan w:val="3"/>
                  <w:vAlign w:val="center"/>
                </w:tcPr>
                <w:p w14:paraId="79649007">
                  <w:pPr>
                    <w:pStyle w:val="16"/>
                    <w:jc w:val="center"/>
                    <w:rPr>
                      <w:rFonts w:ascii="Times New Roman" w:hAnsi="Times New Roman"/>
                      <w:color w:val="auto"/>
                      <w:szCs w:val="21"/>
                    </w:rPr>
                  </w:pPr>
                  <w:r>
                    <w:rPr>
                      <w:rFonts w:ascii="Times New Roman" w:hAnsi="Times New Roman" w:eastAsia="宋体"/>
                      <w:color w:val="auto"/>
                      <w:sz w:val="21"/>
                      <w:szCs w:val="21"/>
                    </w:rPr>
                    <w:t>SS</w:t>
                  </w:r>
                </w:p>
              </w:tc>
              <w:tc>
                <w:tcPr>
                  <w:tcW w:w="885" w:type="pct"/>
                  <w:vAlign w:val="center"/>
                </w:tcPr>
                <w:p w14:paraId="02486909">
                  <w:pPr>
                    <w:widowControl/>
                    <w:jc w:val="center"/>
                    <w:textAlignment w:val="center"/>
                    <w:rPr>
                      <w:color w:val="auto"/>
                      <w:kern w:val="0"/>
                      <w:szCs w:val="21"/>
                      <w:lang w:bidi="ar"/>
                    </w:rPr>
                  </w:pPr>
                  <w:r>
                    <w:rPr>
                      <w:color w:val="auto"/>
                      <w:kern w:val="0"/>
                      <w:szCs w:val="21"/>
                      <w:lang w:bidi="ar"/>
                    </w:rPr>
                    <w:t>0.011</w:t>
                  </w:r>
                </w:p>
              </w:tc>
            </w:tr>
            <w:tr w14:paraId="16414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66" w:type="pct"/>
                  <w:vMerge w:val="continue"/>
                  <w:vAlign w:val="center"/>
                </w:tcPr>
                <w:p w14:paraId="1CB8DA92">
                  <w:pPr>
                    <w:spacing w:line="20" w:lineRule="atLeast"/>
                    <w:jc w:val="center"/>
                    <w:rPr>
                      <w:color w:val="auto"/>
                      <w:szCs w:val="21"/>
                    </w:rPr>
                  </w:pPr>
                </w:p>
              </w:tc>
              <w:tc>
                <w:tcPr>
                  <w:tcW w:w="3548" w:type="pct"/>
                  <w:gridSpan w:val="3"/>
                  <w:vAlign w:val="center"/>
                </w:tcPr>
                <w:p w14:paraId="7AA5E0E3">
                  <w:pPr>
                    <w:pStyle w:val="16"/>
                    <w:jc w:val="center"/>
                    <w:rPr>
                      <w:rFonts w:ascii="Times New Roman" w:hAnsi="Times New Roman"/>
                      <w:color w:val="auto"/>
                      <w:szCs w:val="21"/>
                    </w:rPr>
                  </w:pPr>
                  <w:r>
                    <w:rPr>
                      <w:rFonts w:ascii="Times New Roman" w:hAnsi="Times New Roman"/>
                      <w:color w:val="auto"/>
                      <w:sz w:val="21"/>
                      <w:szCs w:val="21"/>
                    </w:rPr>
                    <w:t>NH</w:t>
                  </w:r>
                  <w:r>
                    <w:rPr>
                      <w:rFonts w:ascii="Times New Roman" w:hAnsi="Times New Roman"/>
                      <w:color w:val="auto"/>
                      <w:sz w:val="21"/>
                      <w:szCs w:val="21"/>
                      <w:vertAlign w:val="subscript"/>
                    </w:rPr>
                    <w:t>3</w:t>
                  </w:r>
                  <w:r>
                    <w:rPr>
                      <w:rFonts w:ascii="Times New Roman" w:hAnsi="Times New Roman"/>
                      <w:color w:val="auto"/>
                      <w:sz w:val="21"/>
                      <w:szCs w:val="21"/>
                    </w:rPr>
                    <w:t>-N</w:t>
                  </w:r>
                </w:p>
              </w:tc>
              <w:tc>
                <w:tcPr>
                  <w:tcW w:w="885" w:type="pct"/>
                  <w:vAlign w:val="center"/>
                </w:tcPr>
                <w:p w14:paraId="56DA782D">
                  <w:pPr>
                    <w:widowControl/>
                    <w:jc w:val="center"/>
                    <w:textAlignment w:val="center"/>
                    <w:rPr>
                      <w:color w:val="auto"/>
                      <w:kern w:val="0"/>
                      <w:szCs w:val="21"/>
                      <w:lang w:bidi="ar"/>
                    </w:rPr>
                  </w:pPr>
                  <w:r>
                    <w:rPr>
                      <w:color w:val="auto"/>
                      <w:kern w:val="0"/>
                      <w:szCs w:val="21"/>
                      <w:lang w:bidi="ar"/>
                    </w:rPr>
                    <w:t>0.004</w:t>
                  </w:r>
                </w:p>
              </w:tc>
            </w:tr>
          </w:tbl>
          <w:p w14:paraId="60BF7221">
            <w:pPr>
              <w:adjustRightInd w:val="0"/>
              <w:snapToGrid w:val="0"/>
              <w:spacing w:line="360" w:lineRule="auto"/>
              <w:ind w:firstLine="442" w:firstLineChars="200"/>
              <w:rPr>
                <w:b/>
                <w:color w:val="auto"/>
                <w:spacing w:val="-10"/>
                <w:sz w:val="24"/>
                <w:szCs w:val="24"/>
              </w:rPr>
            </w:pPr>
            <w:r>
              <w:rPr>
                <w:b/>
                <w:color w:val="auto"/>
                <w:spacing w:val="-10"/>
                <w:sz w:val="24"/>
                <w:szCs w:val="24"/>
              </w:rPr>
              <w:t>5、废水环境影响分析结论</w:t>
            </w:r>
          </w:p>
          <w:p w14:paraId="2B8A4CAF">
            <w:pPr>
              <w:adjustRightInd w:val="0"/>
              <w:snapToGrid w:val="0"/>
              <w:spacing w:line="360" w:lineRule="auto"/>
              <w:ind w:firstLine="480" w:firstLineChars="200"/>
              <w:rPr>
                <w:color w:val="auto"/>
                <w:sz w:val="24"/>
                <w:szCs w:val="24"/>
              </w:rPr>
            </w:pPr>
            <w:r>
              <w:rPr>
                <w:bCs/>
                <w:color w:val="auto"/>
                <w:sz w:val="24"/>
                <w:szCs w:val="24"/>
                <w:lang w:bidi="ar"/>
              </w:rPr>
              <w:t>根据《韶关市生态环境状况公报（2024年）》，2024 年，韶关市11条主要江河（北江、武江、浈江、南水河、墨江、锦江、马坝河、滃江、新丰江、横石水和大潭河）34个市考以上手工监测断面水质优良率为 100%，</w:t>
            </w:r>
            <w:r>
              <w:rPr>
                <w:color w:val="auto"/>
                <w:sz w:val="24"/>
                <w:szCs w:val="24"/>
              </w:rPr>
              <w:t>本项目纳污水体</w:t>
            </w:r>
            <w:r>
              <w:rPr>
                <w:bCs/>
                <w:color w:val="auto"/>
                <w:sz w:val="24"/>
                <w:szCs w:val="24"/>
                <w:lang w:bidi="ar"/>
              </w:rPr>
              <w:t>武江（乐昌城-犁市）</w:t>
            </w:r>
            <w:r>
              <w:rPr>
                <w:color w:val="auto"/>
                <w:sz w:val="24"/>
                <w:szCs w:val="24"/>
              </w:rPr>
              <w:t>为达标区，水质能达到《地表水环境质量标准》（GB3838-2002）中的</w:t>
            </w:r>
            <w:r>
              <w:rPr>
                <w:rFonts w:hint="eastAsia" w:ascii="宋体" w:hAnsi="宋体" w:cs="宋体"/>
                <w:bCs/>
                <w:color w:val="auto"/>
                <w:sz w:val="24"/>
                <w:szCs w:val="24"/>
                <w:lang w:bidi="ar"/>
              </w:rPr>
              <w:t>Ⅲ</w:t>
            </w:r>
            <w:r>
              <w:rPr>
                <w:bCs/>
                <w:color w:val="auto"/>
                <w:sz w:val="24"/>
                <w:szCs w:val="24"/>
                <w:lang w:bidi="ar"/>
              </w:rPr>
              <w:t>类标准</w:t>
            </w:r>
            <w:r>
              <w:rPr>
                <w:color w:val="auto"/>
                <w:sz w:val="24"/>
                <w:szCs w:val="24"/>
              </w:rPr>
              <w:t>，地表水水质状况较好。项目排放废水预处理达标后排入乐昌产业转移工业园污水处理厂进一步处理，项目水污染控制和水环境影响减缓措施有效，废水治理设施可行，外排废水指标均能满足相应排放标准要求，污染物最终排放量不大，对水环境影响较小，其对地表水环境影响在可接受范围内，不会改变纳污水体评价河段水质类别。</w:t>
            </w:r>
          </w:p>
          <w:p w14:paraId="73AC903E">
            <w:pPr>
              <w:adjustRightInd w:val="0"/>
              <w:snapToGrid w:val="0"/>
              <w:spacing w:line="360" w:lineRule="auto"/>
              <w:ind w:firstLine="442" w:firstLineChars="200"/>
              <w:rPr>
                <w:b/>
                <w:color w:val="auto"/>
                <w:spacing w:val="-10"/>
                <w:sz w:val="24"/>
                <w:szCs w:val="24"/>
              </w:rPr>
            </w:pPr>
            <w:r>
              <w:rPr>
                <w:b/>
                <w:color w:val="auto"/>
                <w:spacing w:val="-10"/>
                <w:sz w:val="24"/>
                <w:szCs w:val="24"/>
              </w:rPr>
              <w:t>6、废水自行监测计划</w:t>
            </w:r>
          </w:p>
          <w:p w14:paraId="3E267CFB">
            <w:pPr>
              <w:adjustRightInd w:val="0"/>
              <w:snapToGrid w:val="0"/>
              <w:spacing w:line="360" w:lineRule="auto"/>
              <w:ind w:firstLine="480" w:firstLineChars="200"/>
              <w:rPr>
                <w:color w:val="auto"/>
                <w:sz w:val="24"/>
                <w:szCs w:val="24"/>
              </w:rPr>
            </w:pPr>
            <w:r>
              <w:rPr>
                <w:color w:val="auto"/>
                <w:sz w:val="24"/>
                <w:szCs w:val="24"/>
              </w:rPr>
              <w:t>根据《排污单位自行监测技术指南 总则》（HJ819-2017）、《排污许可证申请与核发技术规范 农药制造工业》（HJ 862-2017）、《排污单位自行监测技术指南 农药制造工业》（HJ 987-2018），废水监测计划如下表所示。</w:t>
            </w:r>
          </w:p>
          <w:p w14:paraId="659576BB">
            <w:pPr>
              <w:pStyle w:val="164"/>
              <w:rPr>
                <w:color w:val="auto"/>
                <w:sz w:val="24"/>
                <w:szCs w:val="24"/>
              </w:rPr>
            </w:pPr>
            <w:r>
              <w:rPr>
                <w:color w:val="auto"/>
                <w:sz w:val="24"/>
                <w:szCs w:val="24"/>
              </w:rPr>
              <w:t>表</w:t>
            </w:r>
            <w:r>
              <w:rPr>
                <w:color w:val="auto"/>
                <w:sz w:val="24"/>
                <w:szCs w:val="24"/>
              </w:rPr>
              <w:fldChar w:fldCharType="begin"/>
            </w:r>
            <w:r>
              <w:rPr>
                <w:color w:val="auto"/>
                <w:sz w:val="24"/>
                <w:szCs w:val="24"/>
              </w:rPr>
              <w:instrText xml:space="preserve"> SEQ 表 \* ARABIC </w:instrText>
            </w:r>
            <w:r>
              <w:rPr>
                <w:color w:val="auto"/>
                <w:sz w:val="24"/>
                <w:szCs w:val="24"/>
              </w:rPr>
              <w:fldChar w:fldCharType="separate"/>
            </w:r>
            <w:r>
              <w:rPr>
                <w:color w:val="auto"/>
                <w:sz w:val="24"/>
                <w:szCs w:val="24"/>
              </w:rPr>
              <w:t>43</w:t>
            </w:r>
            <w:r>
              <w:rPr>
                <w:color w:val="auto"/>
                <w:sz w:val="24"/>
                <w:szCs w:val="24"/>
              </w:rPr>
              <w:fldChar w:fldCharType="end"/>
            </w:r>
            <w:r>
              <w:rPr>
                <w:color w:val="auto"/>
                <w:sz w:val="24"/>
                <w:szCs w:val="24"/>
              </w:rPr>
              <w:t xml:space="preserve">  废水监测指标及监测计划一览表</w:t>
            </w:r>
          </w:p>
          <w:tbl>
            <w:tblPr>
              <w:tblStyle w:val="3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4"/>
              <w:gridCol w:w="2863"/>
              <w:gridCol w:w="3304"/>
              <w:gridCol w:w="1463"/>
              <w:gridCol w:w="3682"/>
            </w:tblGrid>
            <w:tr w14:paraId="359D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34" w:type="pct"/>
                  <w:vAlign w:val="center"/>
                </w:tcPr>
                <w:p w14:paraId="31F8E410">
                  <w:pPr>
                    <w:adjustRightInd w:val="0"/>
                    <w:snapToGrid w:val="0"/>
                    <w:jc w:val="center"/>
                    <w:rPr>
                      <w:b/>
                      <w:bCs/>
                      <w:color w:val="auto"/>
                      <w:szCs w:val="21"/>
                    </w:rPr>
                  </w:pPr>
                  <w:r>
                    <w:rPr>
                      <w:b/>
                      <w:bCs/>
                      <w:color w:val="auto"/>
                      <w:szCs w:val="21"/>
                    </w:rPr>
                    <w:t>项目</w:t>
                  </w:r>
                </w:p>
              </w:tc>
              <w:tc>
                <w:tcPr>
                  <w:tcW w:w="1104" w:type="pct"/>
                  <w:vAlign w:val="center"/>
                </w:tcPr>
                <w:p w14:paraId="34520484">
                  <w:pPr>
                    <w:adjustRightInd w:val="0"/>
                    <w:snapToGrid w:val="0"/>
                    <w:jc w:val="center"/>
                    <w:rPr>
                      <w:b/>
                      <w:bCs/>
                      <w:color w:val="auto"/>
                      <w:szCs w:val="21"/>
                    </w:rPr>
                  </w:pPr>
                  <w:r>
                    <w:rPr>
                      <w:b/>
                      <w:bCs/>
                      <w:color w:val="auto"/>
                      <w:szCs w:val="21"/>
                    </w:rPr>
                    <w:t>监测点位</w:t>
                  </w:r>
                </w:p>
              </w:tc>
              <w:tc>
                <w:tcPr>
                  <w:tcW w:w="1274" w:type="pct"/>
                  <w:vAlign w:val="center"/>
                </w:tcPr>
                <w:p w14:paraId="49841977">
                  <w:pPr>
                    <w:adjustRightInd w:val="0"/>
                    <w:snapToGrid w:val="0"/>
                    <w:jc w:val="center"/>
                    <w:rPr>
                      <w:b/>
                      <w:bCs/>
                      <w:color w:val="auto"/>
                      <w:szCs w:val="21"/>
                    </w:rPr>
                  </w:pPr>
                  <w:r>
                    <w:rPr>
                      <w:b/>
                      <w:bCs/>
                      <w:color w:val="auto"/>
                      <w:szCs w:val="21"/>
                    </w:rPr>
                    <w:t>监测指标</w:t>
                  </w:r>
                </w:p>
              </w:tc>
              <w:tc>
                <w:tcPr>
                  <w:tcW w:w="564" w:type="pct"/>
                  <w:vAlign w:val="center"/>
                </w:tcPr>
                <w:p w14:paraId="6BD1B814">
                  <w:pPr>
                    <w:adjustRightInd w:val="0"/>
                    <w:snapToGrid w:val="0"/>
                    <w:jc w:val="center"/>
                    <w:rPr>
                      <w:b/>
                      <w:bCs/>
                      <w:color w:val="auto"/>
                      <w:szCs w:val="21"/>
                    </w:rPr>
                  </w:pPr>
                  <w:r>
                    <w:rPr>
                      <w:b/>
                      <w:bCs/>
                      <w:color w:val="auto"/>
                      <w:szCs w:val="21"/>
                    </w:rPr>
                    <w:t>监测</w:t>
                  </w:r>
                </w:p>
                <w:p w14:paraId="678FCCE7">
                  <w:pPr>
                    <w:adjustRightInd w:val="0"/>
                    <w:snapToGrid w:val="0"/>
                    <w:jc w:val="center"/>
                    <w:rPr>
                      <w:b/>
                      <w:bCs/>
                      <w:color w:val="auto"/>
                      <w:szCs w:val="21"/>
                    </w:rPr>
                  </w:pPr>
                  <w:r>
                    <w:rPr>
                      <w:b/>
                      <w:bCs/>
                      <w:color w:val="auto"/>
                      <w:szCs w:val="21"/>
                    </w:rPr>
                    <w:t>频次</w:t>
                  </w:r>
                </w:p>
              </w:tc>
              <w:tc>
                <w:tcPr>
                  <w:tcW w:w="1420" w:type="pct"/>
                  <w:vAlign w:val="center"/>
                </w:tcPr>
                <w:p w14:paraId="12B49AA7">
                  <w:pPr>
                    <w:adjustRightInd w:val="0"/>
                    <w:snapToGrid w:val="0"/>
                    <w:jc w:val="center"/>
                    <w:rPr>
                      <w:b/>
                      <w:bCs/>
                      <w:color w:val="auto"/>
                      <w:szCs w:val="21"/>
                    </w:rPr>
                  </w:pPr>
                  <w:r>
                    <w:rPr>
                      <w:b/>
                      <w:bCs/>
                      <w:color w:val="auto"/>
                      <w:szCs w:val="21"/>
                    </w:rPr>
                    <w:t>排放执行标准</w:t>
                  </w:r>
                </w:p>
              </w:tc>
            </w:tr>
            <w:tr w14:paraId="0901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634" w:type="pct"/>
                  <w:vMerge w:val="restart"/>
                  <w:vAlign w:val="center"/>
                </w:tcPr>
                <w:p w14:paraId="7FBED822">
                  <w:pPr>
                    <w:adjustRightInd w:val="0"/>
                    <w:snapToGrid w:val="0"/>
                    <w:jc w:val="center"/>
                    <w:rPr>
                      <w:color w:val="auto"/>
                      <w:szCs w:val="21"/>
                    </w:rPr>
                  </w:pPr>
                  <w:r>
                    <w:rPr>
                      <w:color w:val="auto"/>
                      <w:szCs w:val="21"/>
                    </w:rPr>
                    <w:t>生活污水</w:t>
                  </w:r>
                </w:p>
              </w:tc>
              <w:tc>
                <w:tcPr>
                  <w:tcW w:w="1104" w:type="pct"/>
                  <w:vMerge w:val="restart"/>
                  <w:vAlign w:val="center"/>
                </w:tcPr>
                <w:p w14:paraId="5776810B">
                  <w:pPr>
                    <w:adjustRightInd w:val="0"/>
                    <w:snapToGrid w:val="0"/>
                    <w:jc w:val="center"/>
                    <w:rPr>
                      <w:color w:val="auto"/>
                      <w:szCs w:val="21"/>
                    </w:rPr>
                  </w:pPr>
                  <w:r>
                    <w:rPr>
                      <w:color w:val="auto"/>
                      <w:szCs w:val="21"/>
                    </w:rPr>
                    <w:t>废水排放口DW001</w:t>
                  </w:r>
                </w:p>
              </w:tc>
              <w:tc>
                <w:tcPr>
                  <w:tcW w:w="1274" w:type="pct"/>
                  <w:vAlign w:val="center"/>
                </w:tcPr>
                <w:p w14:paraId="78416406">
                  <w:pPr>
                    <w:adjustRightInd w:val="0"/>
                    <w:snapToGrid w:val="0"/>
                    <w:jc w:val="center"/>
                    <w:rPr>
                      <w:color w:val="auto"/>
                      <w:szCs w:val="21"/>
                    </w:rPr>
                  </w:pPr>
                  <w:r>
                    <w:rPr>
                      <w:rFonts w:hint="eastAsia"/>
                      <w:color w:val="auto"/>
                      <w:szCs w:val="21"/>
                      <w:lang w:val="en-US" w:eastAsia="zh-CN"/>
                    </w:rPr>
                    <w:t>流量、</w:t>
                  </w:r>
                  <w:r>
                    <w:rPr>
                      <w:color w:val="auto"/>
                      <w:szCs w:val="21"/>
                    </w:rPr>
                    <w:t>pH、COD</w:t>
                  </w:r>
                  <w:r>
                    <w:rPr>
                      <w:color w:val="auto"/>
                      <w:szCs w:val="21"/>
                      <w:vertAlign w:val="subscript"/>
                    </w:rPr>
                    <w:t>Cr</w:t>
                  </w:r>
                  <w:r>
                    <w:rPr>
                      <w:color w:val="auto"/>
                      <w:szCs w:val="21"/>
                    </w:rPr>
                    <w:t>、NH</w:t>
                  </w:r>
                  <w:r>
                    <w:rPr>
                      <w:color w:val="auto"/>
                      <w:szCs w:val="21"/>
                      <w:vertAlign w:val="subscript"/>
                    </w:rPr>
                    <w:t>3</w:t>
                  </w:r>
                  <w:r>
                    <w:rPr>
                      <w:color w:val="auto"/>
                      <w:szCs w:val="21"/>
                    </w:rPr>
                    <w:t>-N</w:t>
                  </w:r>
                </w:p>
              </w:tc>
              <w:tc>
                <w:tcPr>
                  <w:tcW w:w="564" w:type="pct"/>
                  <w:vAlign w:val="center"/>
                </w:tcPr>
                <w:p w14:paraId="7FA742FF">
                  <w:pPr>
                    <w:pStyle w:val="18"/>
                    <w:adjustRightInd w:val="0"/>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1次/</w:t>
                  </w:r>
                  <w:r>
                    <w:rPr>
                      <w:rFonts w:hint="eastAsia" w:ascii="Times New Roman" w:hAnsi="Times New Roman" w:eastAsia="宋体" w:cs="Times New Roman"/>
                      <w:color w:val="auto"/>
                      <w:sz w:val="21"/>
                      <w:szCs w:val="21"/>
                      <w:lang w:val="en-US" w:eastAsia="zh-CN"/>
                    </w:rPr>
                    <w:t>月</w:t>
                  </w:r>
                </w:p>
              </w:tc>
              <w:tc>
                <w:tcPr>
                  <w:tcW w:w="1420" w:type="pct"/>
                  <w:vMerge w:val="restart"/>
                  <w:vAlign w:val="center"/>
                </w:tcPr>
                <w:p w14:paraId="4EC2248D">
                  <w:pPr>
                    <w:adjustRightInd w:val="0"/>
                    <w:snapToGrid w:val="0"/>
                    <w:jc w:val="center"/>
                    <w:rPr>
                      <w:color w:val="auto"/>
                      <w:szCs w:val="21"/>
                    </w:rPr>
                  </w:pPr>
                  <w:r>
                    <w:rPr>
                      <w:color w:val="auto"/>
                      <w:szCs w:val="21"/>
                    </w:rPr>
                    <w:t>广东省地方标准《水污染物排放限值》（DB44/26-2001）第二时段三级标准以及园区污水处理厂接管水质要求两者较严值</w:t>
                  </w:r>
                </w:p>
              </w:tc>
            </w:tr>
            <w:tr w14:paraId="498A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634" w:type="pct"/>
                  <w:vMerge w:val="continue"/>
                  <w:vAlign w:val="center"/>
                </w:tcPr>
                <w:p w14:paraId="7DDAAD3A">
                  <w:pPr>
                    <w:pStyle w:val="18"/>
                    <w:adjustRightInd w:val="0"/>
                    <w:snapToGrid w:val="0"/>
                    <w:jc w:val="center"/>
                    <w:rPr>
                      <w:color w:val="auto"/>
                    </w:rPr>
                  </w:pPr>
                </w:p>
              </w:tc>
              <w:tc>
                <w:tcPr>
                  <w:tcW w:w="1104" w:type="pct"/>
                  <w:vMerge w:val="continue"/>
                  <w:vAlign w:val="center"/>
                </w:tcPr>
                <w:p w14:paraId="56FC4FA7">
                  <w:pPr>
                    <w:pStyle w:val="18"/>
                    <w:adjustRightInd w:val="0"/>
                    <w:snapToGrid w:val="0"/>
                    <w:jc w:val="center"/>
                    <w:rPr>
                      <w:color w:val="auto"/>
                    </w:rPr>
                  </w:pPr>
                </w:p>
              </w:tc>
              <w:tc>
                <w:tcPr>
                  <w:tcW w:w="1274" w:type="pct"/>
                  <w:vAlign w:val="center"/>
                </w:tcPr>
                <w:p w14:paraId="2C8D19EC">
                  <w:pPr>
                    <w:pStyle w:val="18"/>
                    <w:adjustRightInd w:val="0"/>
                    <w:snapToGrid w:val="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BOD</w:t>
                  </w:r>
                  <w:r>
                    <w:rPr>
                      <w:rFonts w:hint="eastAsia" w:ascii="Times New Roman" w:hAnsi="Times New Roman" w:eastAsia="宋体" w:cs="Times New Roman"/>
                      <w:color w:val="auto"/>
                      <w:kern w:val="2"/>
                      <w:sz w:val="21"/>
                      <w:szCs w:val="21"/>
                      <w:vertAlign w:val="subscript"/>
                      <w:lang w:val="en-US" w:eastAsia="zh-CN" w:bidi="ar-SA"/>
                    </w:rPr>
                    <w:t>5</w:t>
                  </w:r>
                  <w:r>
                    <w:rPr>
                      <w:rFonts w:ascii="Times New Roman" w:hAnsi="Times New Roman" w:eastAsia="宋体" w:cs="Times New Roman"/>
                      <w:color w:val="auto"/>
                      <w:kern w:val="2"/>
                      <w:sz w:val="21"/>
                      <w:szCs w:val="21"/>
                      <w:lang w:val="en-US" w:eastAsia="zh-CN" w:bidi="ar-SA"/>
                    </w:rPr>
                    <w:t>、SS</w:t>
                  </w:r>
                  <w:r>
                    <w:rPr>
                      <w:rFonts w:hint="eastAsia" w:ascii="Times New Roman" w:hAnsi="Times New Roman" w:eastAsia="宋体" w:cs="Times New Roman"/>
                      <w:color w:val="auto"/>
                      <w:kern w:val="2"/>
                      <w:sz w:val="21"/>
                      <w:szCs w:val="21"/>
                      <w:lang w:val="en-US" w:eastAsia="zh-CN" w:bidi="ar-SA"/>
                    </w:rPr>
                    <w:t>、总氮</w:t>
                  </w:r>
                </w:p>
              </w:tc>
              <w:tc>
                <w:tcPr>
                  <w:tcW w:w="564" w:type="pct"/>
                  <w:vAlign w:val="center"/>
                </w:tcPr>
                <w:p w14:paraId="7CA2392C">
                  <w:pPr>
                    <w:pStyle w:val="18"/>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1次/季度</w:t>
                  </w:r>
                </w:p>
              </w:tc>
              <w:tc>
                <w:tcPr>
                  <w:tcW w:w="1420" w:type="pct"/>
                  <w:vMerge w:val="continue"/>
                  <w:vAlign w:val="center"/>
                </w:tcPr>
                <w:p w14:paraId="1DFC6536">
                  <w:pPr>
                    <w:pStyle w:val="18"/>
                    <w:adjustRightInd w:val="0"/>
                    <w:snapToGrid w:val="0"/>
                    <w:jc w:val="center"/>
                    <w:rPr>
                      <w:color w:val="auto"/>
                      <w:szCs w:val="21"/>
                    </w:rPr>
                  </w:pPr>
                </w:p>
              </w:tc>
            </w:tr>
          </w:tbl>
          <w:p w14:paraId="046425EF">
            <w:pPr>
              <w:adjustRightInd w:val="0"/>
              <w:snapToGrid w:val="0"/>
              <w:spacing w:line="360" w:lineRule="auto"/>
              <w:rPr>
                <w:color w:val="auto"/>
                <w:szCs w:val="21"/>
              </w:rPr>
            </w:pPr>
          </w:p>
        </w:tc>
      </w:tr>
    </w:tbl>
    <w:p w14:paraId="2EE2FE62">
      <w:pPr>
        <w:pStyle w:val="48"/>
        <w:rPr>
          <w:rFonts w:ascii="Times New Roman"/>
          <w:color w:val="auto"/>
        </w:rPr>
        <w:sectPr>
          <w:pgSz w:w="16838" w:h="11906" w:orient="landscape"/>
          <w:pgMar w:top="1531" w:right="1701" w:bottom="1531" w:left="1701" w:header="851" w:footer="1191" w:gutter="0"/>
          <w:cols w:space="720" w:num="1"/>
          <w:docGrid w:linePitch="312" w:charSpace="0"/>
        </w:sectPr>
      </w:pPr>
    </w:p>
    <w:tbl>
      <w:tblPr>
        <w:tblStyle w:val="37"/>
        <w:tblW w:w="4999"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36"/>
        <w:gridCol w:w="8586"/>
      </w:tblGrid>
      <w:tr w14:paraId="698378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27" w:hRule="atLeast"/>
        </w:trPr>
        <w:tc>
          <w:tcPr>
            <w:tcW w:w="134" w:type="pct"/>
            <w:tcMar>
              <w:left w:w="28" w:type="dxa"/>
              <w:right w:w="28" w:type="dxa"/>
            </w:tcMar>
            <w:vAlign w:val="center"/>
          </w:tcPr>
          <w:p w14:paraId="5545C9BF">
            <w:pPr>
              <w:adjustRightInd w:val="0"/>
              <w:snapToGrid w:val="0"/>
              <w:jc w:val="center"/>
              <w:rPr>
                <w:bCs/>
                <w:color w:val="auto"/>
                <w:szCs w:val="21"/>
              </w:rPr>
            </w:pPr>
          </w:p>
        </w:tc>
        <w:tc>
          <w:tcPr>
            <w:tcW w:w="4865" w:type="pct"/>
          </w:tcPr>
          <w:p w14:paraId="71597D8C">
            <w:pPr>
              <w:pStyle w:val="91"/>
              <w:adjustRightInd w:val="0"/>
              <w:snapToGrid w:val="0"/>
              <w:ind w:firstLine="0" w:firstLineChars="0"/>
              <w:rPr>
                <w:rFonts w:ascii="Times New Roman" w:hAnsi="Times New Roman"/>
                <w:b/>
                <w:color w:val="auto"/>
                <w:sz w:val="24"/>
                <w:szCs w:val="24"/>
              </w:rPr>
            </w:pPr>
            <w:r>
              <w:rPr>
                <w:rFonts w:ascii="Times New Roman" w:hAnsi="Times New Roman"/>
                <w:b/>
                <w:color w:val="auto"/>
                <w:sz w:val="24"/>
                <w:szCs w:val="24"/>
              </w:rPr>
              <w:t>三、噪声</w:t>
            </w:r>
          </w:p>
          <w:p w14:paraId="113269E9">
            <w:pPr>
              <w:spacing w:line="360" w:lineRule="auto"/>
              <w:ind w:firstLine="480" w:firstLineChars="200"/>
              <w:contextualSpacing/>
              <w:rPr>
                <w:bCs/>
                <w:color w:val="auto"/>
                <w:sz w:val="24"/>
                <w:szCs w:val="24"/>
              </w:rPr>
            </w:pPr>
            <w:r>
              <w:rPr>
                <w:bCs/>
                <w:color w:val="auto"/>
                <w:sz w:val="24"/>
                <w:szCs w:val="24"/>
              </w:rPr>
              <w:t>项目生产区域位于厂房4层区域，</w:t>
            </w:r>
            <w:r>
              <w:rPr>
                <w:color w:val="auto"/>
                <w:sz w:val="24"/>
                <w:szCs w:val="24"/>
              </w:rPr>
              <w:t>噪声源主要为搅拌机、蚊香自动生产线等设备</w:t>
            </w:r>
            <w:r>
              <w:rPr>
                <w:bCs/>
                <w:color w:val="auto"/>
                <w:sz w:val="24"/>
                <w:szCs w:val="24"/>
              </w:rPr>
              <w:t>，噪声声级范围在65-75dB(A)之间，设备均放置在车间厂房内，通过减振等降噪措施降低噪声的影响，建议建设单位合理布局，选用低噪声设备，在设备上安装减震垫等措施降低噪声，项目噪声源强核算情况详见下表。</w:t>
            </w:r>
          </w:p>
          <w:p w14:paraId="5615C179">
            <w:pPr>
              <w:pStyle w:val="164"/>
              <w:spacing w:line="360" w:lineRule="auto"/>
              <w:rPr>
                <w:color w:val="auto"/>
                <w:sz w:val="24"/>
                <w:szCs w:val="24"/>
              </w:rPr>
            </w:pPr>
            <w:r>
              <w:rPr>
                <w:color w:val="auto"/>
                <w:sz w:val="24"/>
                <w:szCs w:val="24"/>
              </w:rPr>
              <w:t>表</w:t>
            </w:r>
            <w:r>
              <w:rPr>
                <w:color w:val="auto"/>
                <w:sz w:val="24"/>
                <w:szCs w:val="24"/>
              </w:rPr>
              <w:fldChar w:fldCharType="begin"/>
            </w:r>
            <w:r>
              <w:rPr>
                <w:color w:val="auto"/>
                <w:sz w:val="24"/>
                <w:szCs w:val="24"/>
              </w:rPr>
              <w:instrText xml:space="preserve"> SEQ 表 \* ARABIC </w:instrText>
            </w:r>
            <w:r>
              <w:rPr>
                <w:color w:val="auto"/>
                <w:sz w:val="24"/>
                <w:szCs w:val="24"/>
              </w:rPr>
              <w:fldChar w:fldCharType="separate"/>
            </w:r>
            <w:r>
              <w:rPr>
                <w:color w:val="auto"/>
                <w:sz w:val="24"/>
                <w:szCs w:val="24"/>
              </w:rPr>
              <w:t>44</w:t>
            </w:r>
            <w:r>
              <w:rPr>
                <w:color w:val="auto"/>
                <w:sz w:val="24"/>
                <w:szCs w:val="24"/>
              </w:rPr>
              <w:fldChar w:fldCharType="end"/>
            </w:r>
            <w:r>
              <w:rPr>
                <w:color w:val="auto"/>
                <w:sz w:val="24"/>
                <w:szCs w:val="24"/>
              </w:rPr>
              <w:t xml:space="preserve">  项目噪声源情况</w:t>
            </w:r>
          </w:p>
          <w:tbl>
            <w:tblPr>
              <w:tblStyle w:val="37"/>
              <w:tblW w:w="498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839"/>
              <w:gridCol w:w="667"/>
              <w:gridCol w:w="822"/>
              <w:gridCol w:w="831"/>
              <w:gridCol w:w="659"/>
              <w:gridCol w:w="612"/>
              <w:gridCol w:w="613"/>
              <w:gridCol w:w="613"/>
              <w:gridCol w:w="563"/>
              <w:gridCol w:w="563"/>
              <w:gridCol w:w="563"/>
              <w:gridCol w:w="563"/>
            </w:tblGrid>
            <w:tr w14:paraId="261A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9" w:type="dxa"/>
                  <w:vMerge w:val="restart"/>
                  <w:shd w:val="clear" w:color="auto" w:fill="auto"/>
                  <w:vAlign w:val="center"/>
                </w:tcPr>
                <w:p w14:paraId="1BAC10C8">
                  <w:pPr>
                    <w:jc w:val="center"/>
                    <w:rPr>
                      <w:b/>
                      <w:bCs/>
                      <w:color w:val="auto"/>
                      <w:szCs w:val="21"/>
                    </w:rPr>
                  </w:pPr>
                  <w:r>
                    <w:rPr>
                      <w:b/>
                      <w:bCs/>
                      <w:color w:val="auto"/>
                      <w:szCs w:val="21"/>
                    </w:rPr>
                    <w:t>建筑物名称</w:t>
                  </w:r>
                </w:p>
              </w:tc>
              <w:tc>
                <w:tcPr>
                  <w:tcW w:w="839" w:type="dxa"/>
                  <w:vMerge w:val="restart"/>
                  <w:shd w:val="clear" w:color="auto" w:fill="auto"/>
                  <w:vAlign w:val="center"/>
                </w:tcPr>
                <w:p w14:paraId="330C899F">
                  <w:pPr>
                    <w:jc w:val="center"/>
                    <w:rPr>
                      <w:b/>
                      <w:bCs/>
                      <w:color w:val="auto"/>
                      <w:szCs w:val="21"/>
                    </w:rPr>
                  </w:pPr>
                  <w:r>
                    <w:rPr>
                      <w:b/>
                      <w:bCs/>
                      <w:color w:val="auto"/>
                      <w:szCs w:val="21"/>
                    </w:rPr>
                    <w:t>声源名称</w:t>
                  </w:r>
                </w:p>
              </w:tc>
              <w:tc>
                <w:tcPr>
                  <w:tcW w:w="667" w:type="dxa"/>
                  <w:vMerge w:val="restart"/>
                  <w:shd w:val="clear" w:color="auto" w:fill="auto"/>
                  <w:vAlign w:val="center"/>
                </w:tcPr>
                <w:p w14:paraId="03085EC0">
                  <w:pPr>
                    <w:jc w:val="center"/>
                    <w:rPr>
                      <w:b/>
                      <w:bCs/>
                      <w:color w:val="auto"/>
                      <w:szCs w:val="21"/>
                    </w:rPr>
                  </w:pPr>
                  <w:r>
                    <w:rPr>
                      <w:b/>
                      <w:bCs/>
                      <w:color w:val="auto"/>
                      <w:szCs w:val="21"/>
                    </w:rPr>
                    <w:t>数量(台)</w:t>
                  </w:r>
                </w:p>
              </w:tc>
              <w:tc>
                <w:tcPr>
                  <w:tcW w:w="822" w:type="dxa"/>
                  <w:vMerge w:val="restart"/>
                  <w:shd w:val="clear" w:color="auto" w:fill="auto"/>
                  <w:vAlign w:val="center"/>
                </w:tcPr>
                <w:p w14:paraId="732791E3">
                  <w:pPr>
                    <w:jc w:val="center"/>
                    <w:rPr>
                      <w:b/>
                      <w:bCs/>
                      <w:color w:val="auto"/>
                      <w:szCs w:val="21"/>
                    </w:rPr>
                  </w:pPr>
                  <w:r>
                    <w:rPr>
                      <w:b/>
                      <w:bCs/>
                      <w:color w:val="auto"/>
                      <w:szCs w:val="21"/>
                    </w:rPr>
                    <w:t>单台声源源强声功率级/dB(A)</w:t>
                  </w:r>
                </w:p>
              </w:tc>
              <w:tc>
                <w:tcPr>
                  <w:tcW w:w="831" w:type="dxa"/>
                  <w:vMerge w:val="restart"/>
                  <w:shd w:val="clear" w:color="auto" w:fill="auto"/>
                  <w:vAlign w:val="center"/>
                </w:tcPr>
                <w:p w14:paraId="50149CC4">
                  <w:pPr>
                    <w:jc w:val="center"/>
                    <w:rPr>
                      <w:b/>
                      <w:bCs/>
                      <w:color w:val="auto"/>
                      <w:szCs w:val="21"/>
                    </w:rPr>
                  </w:pPr>
                  <w:r>
                    <w:rPr>
                      <w:b/>
                      <w:bCs/>
                      <w:color w:val="auto"/>
                      <w:szCs w:val="21"/>
                    </w:rPr>
                    <w:t>噪声源强叠加值/dB(A)</w:t>
                  </w:r>
                </w:p>
              </w:tc>
              <w:tc>
                <w:tcPr>
                  <w:tcW w:w="659" w:type="dxa"/>
                  <w:vMerge w:val="restart"/>
                  <w:shd w:val="clear" w:color="auto" w:fill="auto"/>
                  <w:vAlign w:val="center"/>
                </w:tcPr>
                <w:p w14:paraId="41CED9F4">
                  <w:pPr>
                    <w:jc w:val="center"/>
                    <w:rPr>
                      <w:b/>
                      <w:bCs/>
                      <w:color w:val="auto"/>
                      <w:szCs w:val="21"/>
                    </w:rPr>
                  </w:pPr>
                  <w:r>
                    <w:rPr>
                      <w:b/>
                      <w:bCs/>
                      <w:color w:val="auto"/>
                      <w:szCs w:val="21"/>
                    </w:rPr>
                    <w:t>声源控制措施</w:t>
                  </w:r>
                </w:p>
              </w:tc>
              <w:tc>
                <w:tcPr>
                  <w:tcW w:w="1838" w:type="dxa"/>
                  <w:gridSpan w:val="3"/>
                  <w:shd w:val="clear" w:color="auto" w:fill="auto"/>
                  <w:vAlign w:val="center"/>
                </w:tcPr>
                <w:p w14:paraId="378C3BCF">
                  <w:pPr>
                    <w:jc w:val="center"/>
                    <w:rPr>
                      <w:b/>
                      <w:bCs/>
                      <w:color w:val="auto"/>
                      <w:szCs w:val="21"/>
                    </w:rPr>
                  </w:pPr>
                  <w:r>
                    <w:rPr>
                      <w:b/>
                      <w:bCs/>
                      <w:color w:val="auto"/>
                      <w:szCs w:val="21"/>
                    </w:rPr>
                    <w:t>空间相对位置/m</w:t>
                  </w:r>
                </w:p>
              </w:tc>
              <w:tc>
                <w:tcPr>
                  <w:tcW w:w="2252" w:type="dxa"/>
                  <w:gridSpan w:val="4"/>
                  <w:shd w:val="clear" w:color="auto" w:fill="auto"/>
                  <w:vAlign w:val="center"/>
                </w:tcPr>
                <w:p w14:paraId="19DF49B2">
                  <w:pPr>
                    <w:jc w:val="center"/>
                    <w:rPr>
                      <w:b/>
                      <w:bCs/>
                      <w:color w:val="auto"/>
                      <w:szCs w:val="21"/>
                    </w:rPr>
                  </w:pPr>
                  <w:r>
                    <w:rPr>
                      <w:b/>
                      <w:bCs/>
                      <w:color w:val="auto"/>
                      <w:szCs w:val="21"/>
                    </w:rPr>
                    <w:t>距室内边界距离/m</w:t>
                  </w:r>
                </w:p>
              </w:tc>
            </w:tr>
            <w:tr w14:paraId="556B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9" w:type="dxa"/>
                  <w:vMerge w:val="continue"/>
                  <w:vAlign w:val="center"/>
                </w:tcPr>
                <w:p w14:paraId="72483710">
                  <w:pPr>
                    <w:jc w:val="center"/>
                    <w:rPr>
                      <w:color w:val="auto"/>
                      <w:szCs w:val="21"/>
                    </w:rPr>
                  </w:pPr>
                </w:p>
              </w:tc>
              <w:tc>
                <w:tcPr>
                  <w:tcW w:w="839" w:type="dxa"/>
                  <w:vMerge w:val="continue"/>
                  <w:vAlign w:val="center"/>
                </w:tcPr>
                <w:p w14:paraId="57756609">
                  <w:pPr>
                    <w:jc w:val="center"/>
                    <w:rPr>
                      <w:color w:val="auto"/>
                      <w:szCs w:val="21"/>
                    </w:rPr>
                  </w:pPr>
                </w:p>
              </w:tc>
              <w:tc>
                <w:tcPr>
                  <w:tcW w:w="667" w:type="dxa"/>
                  <w:vMerge w:val="continue"/>
                  <w:vAlign w:val="center"/>
                </w:tcPr>
                <w:p w14:paraId="4DD83F9C">
                  <w:pPr>
                    <w:jc w:val="center"/>
                    <w:rPr>
                      <w:color w:val="auto"/>
                      <w:szCs w:val="21"/>
                    </w:rPr>
                  </w:pPr>
                </w:p>
              </w:tc>
              <w:tc>
                <w:tcPr>
                  <w:tcW w:w="822" w:type="dxa"/>
                  <w:vMerge w:val="continue"/>
                  <w:shd w:val="clear" w:color="auto" w:fill="auto"/>
                  <w:vAlign w:val="center"/>
                </w:tcPr>
                <w:p w14:paraId="7C0D236D">
                  <w:pPr>
                    <w:jc w:val="center"/>
                    <w:rPr>
                      <w:color w:val="auto"/>
                      <w:szCs w:val="21"/>
                    </w:rPr>
                  </w:pPr>
                </w:p>
              </w:tc>
              <w:tc>
                <w:tcPr>
                  <w:tcW w:w="831" w:type="dxa"/>
                  <w:vMerge w:val="continue"/>
                  <w:vAlign w:val="center"/>
                </w:tcPr>
                <w:p w14:paraId="1F15120C">
                  <w:pPr>
                    <w:jc w:val="center"/>
                    <w:rPr>
                      <w:color w:val="auto"/>
                      <w:szCs w:val="21"/>
                    </w:rPr>
                  </w:pPr>
                </w:p>
              </w:tc>
              <w:tc>
                <w:tcPr>
                  <w:tcW w:w="659" w:type="dxa"/>
                  <w:vMerge w:val="continue"/>
                  <w:vAlign w:val="center"/>
                </w:tcPr>
                <w:p w14:paraId="06621D2C">
                  <w:pPr>
                    <w:jc w:val="center"/>
                    <w:rPr>
                      <w:color w:val="auto"/>
                      <w:szCs w:val="21"/>
                    </w:rPr>
                  </w:pPr>
                </w:p>
              </w:tc>
              <w:tc>
                <w:tcPr>
                  <w:tcW w:w="612" w:type="dxa"/>
                  <w:shd w:val="clear" w:color="auto" w:fill="auto"/>
                  <w:vAlign w:val="center"/>
                </w:tcPr>
                <w:p w14:paraId="7D05C70B">
                  <w:pPr>
                    <w:jc w:val="center"/>
                    <w:rPr>
                      <w:b/>
                      <w:bCs/>
                      <w:color w:val="auto"/>
                      <w:szCs w:val="21"/>
                    </w:rPr>
                  </w:pPr>
                  <w:r>
                    <w:rPr>
                      <w:b/>
                      <w:bCs/>
                      <w:color w:val="auto"/>
                      <w:szCs w:val="21"/>
                    </w:rPr>
                    <w:t>X</w:t>
                  </w:r>
                </w:p>
              </w:tc>
              <w:tc>
                <w:tcPr>
                  <w:tcW w:w="613" w:type="dxa"/>
                  <w:shd w:val="clear" w:color="auto" w:fill="auto"/>
                  <w:noWrap/>
                  <w:vAlign w:val="center"/>
                </w:tcPr>
                <w:p w14:paraId="61B1FBB0">
                  <w:pPr>
                    <w:jc w:val="center"/>
                    <w:rPr>
                      <w:b/>
                      <w:bCs/>
                      <w:color w:val="auto"/>
                      <w:szCs w:val="21"/>
                    </w:rPr>
                  </w:pPr>
                  <w:r>
                    <w:rPr>
                      <w:b/>
                      <w:bCs/>
                      <w:color w:val="auto"/>
                      <w:szCs w:val="21"/>
                    </w:rPr>
                    <w:t>Y</w:t>
                  </w:r>
                </w:p>
              </w:tc>
              <w:tc>
                <w:tcPr>
                  <w:tcW w:w="613" w:type="dxa"/>
                  <w:shd w:val="clear" w:color="auto" w:fill="auto"/>
                  <w:noWrap/>
                  <w:vAlign w:val="center"/>
                </w:tcPr>
                <w:p w14:paraId="0411712C">
                  <w:pPr>
                    <w:jc w:val="center"/>
                    <w:rPr>
                      <w:b/>
                      <w:bCs/>
                      <w:color w:val="auto"/>
                      <w:szCs w:val="21"/>
                    </w:rPr>
                  </w:pPr>
                  <w:r>
                    <w:rPr>
                      <w:b/>
                      <w:bCs/>
                      <w:color w:val="auto"/>
                      <w:szCs w:val="21"/>
                    </w:rPr>
                    <w:t>Z</w:t>
                  </w:r>
                </w:p>
              </w:tc>
              <w:tc>
                <w:tcPr>
                  <w:tcW w:w="563" w:type="dxa"/>
                  <w:shd w:val="clear" w:color="auto" w:fill="auto"/>
                  <w:vAlign w:val="center"/>
                </w:tcPr>
                <w:p w14:paraId="2C2F5D7B">
                  <w:pPr>
                    <w:jc w:val="center"/>
                    <w:rPr>
                      <w:b/>
                      <w:bCs/>
                      <w:color w:val="auto"/>
                      <w:szCs w:val="21"/>
                    </w:rPr>
                  </w:pPr>
                  <w:r>
                    <w:rPr>
                      <w:b/>
                      <w:bCs/>
                      <w:color w:val="auto"/>
                      <w:szCs w:val="21"/>
                    </w:rPr>
                    <w:t>东边界</w:t>
                  </w:r>
                </w:p>
              </w:tc>
              <w:tc>
                <w:tcPr>
                  <w:tcW w:w="563" w:type="dxa"/>
                  <w:shd w:val="clear" w:color="auto" w:fill="auto"/>
                  <w:vAlign w:val="center"/>
                </w:tcPr>
                <w:p w14:paraId="30220FE0">
                  <w:pPr>
                    <w:jc w:val="center"/>
                    <w:rPr>
                      <w:b/>
                      <w:bCs/>
                      <w:color w:val="auto"/>
                      <w:szCs w:val="21"/>
                    </w:rPr>
                  </w:pPr>
                  <w:r>
                    <w:rPr>
                      <w:b/>
                      <w:bCs/>
                      <w:color w:val="auto"/>
                      <w:szCs w:val="21"/>
                    </w:rPr>
                    <w:t>南边界</w:t>
                  </w:r>
                </w:p>
              </w:tc>
              <w:tc>
                <w:tcPr>
                  <w:tcW w:w="563" w:type="dxa"/>
                  <w:shd w:val="clear" w:color="auto" w:fill="auto"/>
                  <w:vAlign w:val="center"/>
                </w:tcPr>
                <w:p w14:paraId="25C7D633">
                  <w:pPr>
                    <w:jc w:val="center"/>
                    <w:rPr>
                      <w:b/>
                      <w:bCs/>
                      <w:color w:val="auto"/>
                      <w:szCs w:val="21"/>
                    </w:rPr>
                  </w:pPr>
                  <w:r>
                    <w:rPr>
                      <w:b/>
                      <w:bCs/>
                      <w:color w:val="auto"/>
                      <w:szCs w:val="21"/>
                    </w:rPr>
                    <w:t>西边界</w:t>
                  </w:r>
                </w:p>
              </w:tc>
              <w:tc>
                <w:tcPr>
                  <w:tcW w:w="563" w:type="dxa"/>
                  <w:shd w:val="clear" w:color="auto" w:fill="auto"/>
                  <w:vAlign w:val="center"/>
                </w:tcPr>
                <w:p w14:paraId="7E71237D">
                  <w:pPr>
                    <w:jc w:val="center"/>
                    <w:rPr>
                      <w:b/>
                      <w:bCs/>
                      <w:color w:val="auto"/>
                      <w:szCs w:val="21"/>
                    </w:rPr>
                  </w:pPr>
                  <w:r>
                    <w:rPr>
                      <w:b/>
                      <w:bCs/>
                      <w:color w:val="auto"/>
                      <w:szCs w:val="21"/>
                    </w:rPr>
                    <w:t>北边界</w:t>
                  </w:r>
                </w:p>
              </w:tc>
            </w:tr>
            <w:tr w14:paraId="6498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9" w:type="dxa"/>
                  <w:vMerge w:val="restart"/>
                  <w:shd w:val="clear" w:color="auto" w:fill="auto"/>
                  <w:vAlign w:val="center"/>
                </w:tcPr>
                <w:p w14:paraId="131F0522">
                  <w:pPr>
                    <w:jc w:val="center"/>
                    <w:rPr>
                      <w:color w:val="auto"/>
                      <w:szCs w:val="21"/>
                    </w:rPr>
                  </w:pPr>
                  <w:r>
                    <w:rPr>
                      <w:color w:val="auto"/>
                      <w:szCs w:val="21"/>
                    </w:rPr>
                    <w:t>4层</w:t>
                  </w:r>
                </w:p>
                <w:p w14:paraId="281495DC">
                  <w:pPr>
                    <w:jc w:val="center"/>
                    <w:rPr>
                      <w:color w:val="auto"/>
                      <w:szCs w:val="21"/>
                    </w:rPr>
                  </w:pPr>
                </w:p>
              </w:tc>
              <w:tc>
                <w:tcPr>
                  <w:tcW w:w="839" w:type="dxa"/>
                  <w:shd w:val="clear" w:color="auto" w:fill="auto"/>
                  <w:vAlign w:val="center"/>
                </w:tcPr>
                <w:p w14:paraId="38C5EEB7">
                  <w:pPr>
                    <w:widowControl/>
                    <w:adjustRightInd w:val="0"/>
                    <w:jc w:val="center"/>
                    <w:textAlignment w:val="center"/>
                    <w:rPr>
                      <w:color w:val="auto"/>
                      <w:szCs w:val="21"/>
                    </w:rPr>
                  </w:pPr>
                  <w:r>
                    <w:rPr>
                      <w:color w:val="auto"/>
                      <w:szCs w:val="21"/>
                    </w:rPr>
                    <w:t>搅拌锅</w:t>
                  </w:r>
                </w:p>
              </w:tc>
              <w:tc>
                <w:tcPr>
                  <w:tcW w:w="667" w:type="dxa"/>
                  <w:shd w:val="clear" w:color="auto" w:fill="auto"/>
                  <w:vAlign w:val="center"/>
                </w:tcPr>
                <w:p w14:paraId="1C63BB7F">
                  <w:pPr>
                    <w:jc w:val="center"/>
                    <w:rPr>
                      <w:color w:val="auto"/>
                      <w:szCs w:val="21"/>
                    </w:rPr>
                  </w:pPr>
                  <w:r>
                    <w:rPr>
                      <w:color w:val="auto"/>
                      <w:szCs w:val="21"/>
                    </w:rPr>
                    <w:t>1</w:t>
                  </w:r>
                </w:p>
              </w:tc>
              <w:tc>
                <w:tcPr>
                  <w:tcW w:w="822" w:type="dxa"/>
                  <w:shd w:val="clear" w:color="auto" w:fill="auto"/>
                  <w:vAlign w:val="center"/>
                </w:tcPr>
                <w:p w14:paraId="391CC8E2">
                  <w:pPr>
                    <w:jc w:val="center"/>
                    <w:rPr>
                      <w:color w:val="auto"/>
                      <w:szCs w:val="21"/>
                    </w:rPr>
                  </w:pPr>
                  <w:r>
                    <w:rPr>
                      <w:color w:val="auto"/>
                      <w:szCs w:val="21"/>
                    </w:rPr>
                    <w:t>75</w:t>
                  </w:r>
                </w:p>
              </w:tc>
              <w:tc>
                <w:tcPr>
                  <w:tcW w:w="831" w:type="dxa"/>
                  <w:shd w:val="clear" w:color="auto" w:fill="auto"/>
                  <w:vAlign w:val="center"/>
                </w:tcPr>
                <w:p w14:paraId="20536676">
                  <w:pPr>
                    <w:jc w:val="center"/>
                    <w:rPr>
                      <w:color w:val="auto"/>
                      <w:szCs w:val="21"/>
                    </w:rPr>
                  </w:pPr>
                  <w:r>
                    <w:rPr>
                      <w:color w:val="auto"/>
                      <w:szCs w:val="21"/>
                    </w:rPr>
                    <w:t>75</w:t>
                  </w:r>
                </w:p>
              </w:tc>
              <w:tc>
                <w:tcPr>
                  <w:tcW w:w="659" w:type="dxa"/>
                  <w:vMerge w:val="restart"/>
                  <w:shd w:val="clear" w:color="auto" w:fill="auto"/>
                  <w:vAlign w:val="center"/>
                </w:tcPr>
                <w:p w14:paraId="3A8E86F9">
                  <w:pPr>
                    <w:jc w:val="center"/>
                    <w:rPr>
                      <w:color w:val="auto"/>
                      <w:szCs w:val="21"/>
                    </w:rPr>
                  </w:pPr>
                  <w:r>
                    <w:rPr>
                      <w:color w:val="auto"/>
                      <w:szCs w:val="21"/>
                    </w:rPr>
                    <w:t>合理布局，选用低噪声设备，减震措施等</w:t>
                  </w:r>
                </w:p>
              </w:tc>
              <w:tc>
                <w:tcPr>
                  <w:tcW w:w="612" w:type="dxa"/>
                  <w:shd w:val="clear" w:color="auto" w:fill="auto"/>
                  <w:noWrap/>
                  <w:vAlign w:val="center"/>
                </w:tcPr>
                <w:p w14:paraId="08DCCA96">
                  <w:pPr>
                    <w:jc w:val="center"/>
                    <w:rPr>
                      <w:color w:val="auto"/>
                      <w:szCs w:val="21"/>
                    </w:rPr>
                  </w:pPr>
                  <w:r>
                    <w:rPr>
                      <w:color w:val="auto"/>
                      <w:szCs w:val="21"/>
                    </w:rPr>
                    <w:t>65</w:t>
                  </w:r>
                </w:p>
              </w:tc>
              <w:tc>
                <w:tcPr>
                  <w:tcW w:w="613" w:type="dxa"/>
                  <w:shd w:val="clear" w:color="auto" w:fill="auto"/>
                  <w:noWrap/>
                  <w:vAlign w:val="center"/>
                </w:tcPr>
                <w:p w14:paraId="1954A4F3">
                  <w:pPr>
                    <w:jc w:val="center"/>
                    <w:rPr>
                      <w:color w:val="auto"/>
                      <w:szCs w:val="21"/>
                    </w:rPr>
                  </w:pPr>
                  <w:r>
                    <w:rPr>
                      <w:color w:val="auto"/>
                      <w:szCs w:val="21"/>
                    </w:rPr>
                    <w:t>10</w:t>
                  </w:r>
                </w:p>
              </w:tc>
              <w:tc>
                <w:tcPr>
                  <w:tcW w:w="613" w:type="dxa"/>
                  <w:shd w:val="clear" w:color="auto" w:fill="auto"/>
                  <w:noWrap/>
                  <w:vAlign w:val="center"/>
                </w:tcPr>
                <w:p w14:paraId="5F48CA8E">
                  <w:pPr>
                    <w:jc w:val="center"/>
                    <w:rPr>
                      <w:color w:val="auto"/>
                      <w:szCs w:val="21"/>
                    </w:rPr>
                  </w:pPr>
                  <w:r>
                    <w:rPr>
                      <w:color w:val="auto"/>
                      <w:szCs w:val="21"/>
                    </w:rPr>
                    <w:t>20</w:t>
                  </w:r>
                </w:p>
              </w:tc>
              <w:tc>
                <w:tcPr>
                  <w:tcW w:w="563" w:type="dxa"/>
                  <w:shd w:val="clear" w:color="auto" w:fill="auto"/>
                  <w:vAlign w:val="center"/>
                </w:tcPr>
                <w:p w14:paraId="068F7FFB">
                  <w:pPr>
                    <w:jc w:val="center"/>
                    <w:rPr>
                      <w:color w:val="auto"/>
                      <w:szCs w:val="21"/>
                    </w:rPr>
                  </w:pPr>
                  <w:r>
                    <w:rPr>
                      <w:color w:val="auto"/>
                      <w:szCs w:val="21"/>
                    </w:rPr>
                    <w:t>5</w:t>
                  </w:r>
                </w:p>
              </w:tc>
              <w:tc>
                <w:tcPr>
                  <w:tcW w:w="563" w:type="dxa"/>
                  <w:shd w:val="clear" w:color="auto" w:fill="auto"/>
                  <w:vAlign w:val="center"/>
                </w:tcPr>
                <w:p w14:paraId="4A2D8438">
                  <w:pPr>
                    <w:jc w:val="center"/>
                    <w:rPr>
                      <w:color w:val="auto"/>
                      <w:szCs w:val="21"/>
                    </w:rPr>
                  </w:pPr>
                  <w:r>
                    <w:rPr>
                      <w:color w:val="auto"/>
                      <w:szCs w:val="21"/>
                    </w:rPr>
                    <w:t>10</w:t>
                  </w:r>
                </w:p>
              </w:tc>
              <w:tc>
                <w:tcPr>
                  <w:tcW w:w="563" w:type="dxa"/>
                  <w:shd w:val="clear" w:color="auto" w:fill="auto"/>
                  <w:vAlign w:val="center"/>
                </w:tcPr>
                <w:p w14:paraId="4F362F7C">
                  <w:pPr>
                    <w:jc w:val="center"/>
                    <w:rPr>
                      <w:color w:val="auto"/>
                      <w:szCs w:val="21"/>
                    </w:rPr>
                  </w:pPr>
                  <w:r>
                    <w:rPr>
                      <w:color w:val="auto"/>
                      <w:szCs w:val="21"/>
                    </w:rPr>
                    <w:t>65</w:t>
                  </w:r>
                </w:p>
              </w:tc>
              <w:tc>
                <w:tcPr>
                  <w:tcW w:w="563" w:type="dxa"/>
                  <w:shd w:val="clear" w:color="auto" w:fill="auto"/>
                  <w:vAlign w:val="center"/>
                </w:tcPr>
                <w:p w14:paraId="6CC88B66">
                  <w:pPr>
                    <w:jc w:val="center"/>
                    <w:rPr>
                      <w:color w:val="auto"/>
                      <w:szCs w:val="21"/>
                    </w:rPr>
                  </w:pPr>
                  <w:r>
                    <w:rPr>
                      <w:color w:val="auto"/>
                      <w:szCs w:val="21"/>
                    </w:rPr>
                    <w:t>9</w:t>
                  </w:r>
                </w:p>
              </w:tc>
            </w:tr>
            <w:tr w14:paraId="0E65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9" w:type="dxa"/>
                  <w:vMerge w:val="continue"/>
                  <w:vAlign w:val="center"/>
                </w:tcPr>
                <w:p w14:paraId="5372A74B">
                  <w:pPr>
                    <w:jc w:val="center"/>
                    <w:rPr>
                      <w:color w:val="auto"/>
                      <w:szCs w:val="21"/>
                    </w:rPr>
                  </w:pPr>
                </w:p>
              </w:tc>
              <w:tc>
                <w:tcPr>
                  <w:tcW w:w="839" w:type="dxa"/>
                  <w:shd w:val="clear" w:color="auto" w:fill="auto"/>
                  <w:noWrap/>
                  <w:vAlign w:val="center"/>
                </w:tcPr>
                <w:p w14:paraId="7088C6A7">
                  <w:pPr>
                    <w:widowControl/>
                    <w:adjustRightInd w:val="0"/>
                    <w:jc w:val="center"/>
                    <w:textAlignment w:val="center"/>
                    <w:rPr>
                      <w:color w:val="auto"/>
                      <w:szCs w:val="21"/>
                    </w:rPr>
                  </w:pPr>
                  <w:r>
                    <w:rPr>
                      <w:color w:val="auto"/>
                      <w:szCs w:val="21"/>
                    </w:rPr>
                    <w:t>蚊香自动包装机</w:t>
                  </w:r>
                </w:p>
              </w:tc>
              <w:tc>
                <w:tcPr>
                  <w:tcW w:w="667" w:type="dxa"/>
                  <w:shd w:val="clear" w:color="auto" w:fill="auto"/>
                  <w:vAlign w:val="center"/>
                </w:tcPr>
                <w:p w14:paraId="4A39EFC6">
                  <w:pPr>
                    <w:jc w:val="center"/>
                    <w:rPr>
                      <w:color w:val="auto"/>
                      <w:szCs w:val="21"/>
                    </w:rPr>
                  </w:pPr>
                  <w:r>
                    <w:rPr>
                      <w:color w:val="auto"/>
                      <w:szCs w:val="21"/>
                    </w:rPr>
                    <w:t>1</w:t>
                  </w:r>
                </w:p>
              </w:tc>
              <w:tc>
                <w:tcPr>
                  <w:tcW w:w="822" w:type="dxa"/>
                  <w:shd w:val="clear" w:color="auto" w:fill="auto"/>
                  <w:vAlign w:val="center"/>
                </w:tcPr>
                <w:p w14:paraId="2BB0698E">
                  <w:pPr>
                    <w:jc w:val="center"/>
                    <w:rPr>
                      <w:color w:val="auto"/>
                      <w:szCs w:val="21"/>
                    </w:rPr>
                  </w:pPr>
                  <w:r>
                    <w:rPr>
                      <w:color w:val="auto"/>
                      <w:szCs w:val="21"/>
                    </w:rPr>
                    <w:t>70</w:t>
                  </w:r>
                </w:p>
              </w:tc>
              <w:tc>
                <w:tcPr>
                  <w:tcW w:w="831" w:type="dxa"/>
                  <w:shd w:val="clear" w:color="auto" w:fill="auto"/>
                  <w:vAlign w:val="center"/>
                </w:tcPr>
                <w:p w14:paraId="29CE3245">
                  <w:pPr>
                    <w:jc w:val="center"/>
                    <w:rPr>
                      <w:color w:val="auto"/>
                      <w:szCs w:val="21"/>
                    </w:rPr>
                  </w:pPr>
                  <w:r>
                    <w:rPr>
                      <w:color w:val="auto"/>
                      <w:szCs w:val="21"/>
                    </w:rPr>
                    <w:t>70</w:t>
                  </w:r>
                </w:p>
              </w:tc>
              <w:tc>
                <w:tcPr>
                  <w:tcW w:w="659" w:type="dxa"/>
                  <w:vMerge w:val="continue"/>
                  <w:vAlign w:val="center"/>
                </w:tcPr>
                <w:p w14:paraId="666B580E">
                  <w:pPr>
                    <w:jc w:val="center"/>
                    <w:rPr>
                      <w:color w:val="auto"/>
                      <w:szCs w:val="21"/>
                    </w:rPr>
                  </w:pPr>
                </w:p>
              </w:tc>
              <w:tc>
                <w:tcPr>
                  <w:tcW w:w="612" w:type="dxa"/>
                  <w:shd w:val="clear" w:color="auto" w:fill="auto"/>
                  <w:noWrap/>
                  <w:vAlign w:val="center"/>
                </w:tcPr>
                <w:p w14:paraId="3F1E0CDE">
                  <w:pPr>
                    <w:jc w:val="center"/>
                    <w:rPr>
                      <w:color w:val="auto"/>
                      <w:szCs w:val="21"/>
                    </w:rPr>
                  </w:pPr>
                  <w:r>
                    <w:rPr>
                      <w:color w:val="auto"/>
                      <w:szCs w:val="21"/>
                    </w:rPr>
                    <w:t>22</w:t>
                  </w:r>
                </w:p>
              </w:tc>
              <w:tc>
                <w:tcPr>
                  <w:tcW w:w="613" w:type="dxa"/>
                  <w:shd w:val="clear" w:color="auto" w:fill="auto"/>
                  <w:noWrap/>
                  <w:vAlign w:val="center"/>
                </w:tcPr>
                <w:p w14:paraId="7EE07D2E">
                  <w:pPr>
                    <w:jc w:val="center"/>
                    <w:rPr>
                      <w:color w:val="auto"/>
                      <w:szCs w:val="21"/>
                    </w:rPr>
                  </w:pPr>
                  <w:r>
                    <w:rPr>
                      <w:color w:val="auto"/>
                      <w:szCs w:val="21"/>
                    </w:rPr>
                    <w:t>7.5</w:t>
                  </w:r>
                </w:p>
              </w:tc>
              <w:tc>
                <w:tcPr>
                  <w:tcW w:w="613" w:type="dxa"/>
                  <w:shd w:val="clear" w:color="auto" w:fill="auto"/>
                  <w:noWrap/>
                  <w:vAlign w:val="center"/>
                </w:tcPr>
                <w:p w14:paraId="052F5A6E">
                  <w:pPr>
                    <w:jc w:val="center"/>
                    <w:rPr>
                      <w:color w:val="auto"/>
                      <w:szCs w:val="21"/>
                    </w:rPr>
                  </w:pPr>
                  <w:r>
                    <w:rPr>
                      <w:color w:val="auto"/>
                      <w:szCs w:val="21"/>
                    </w:rPr>
                    <w:t>18.5</w:t>
                  </w:r>
                </w:p>
              </w:tc>
              <w:tc>
                <w:tcPr>
                  <w:tcW w:w="563" w:type="dxa"/>
                  <w:shd w:val="clear" w:color="auto" w:fill="auto"/>
                  <w:vAlign w:val="center"/>
                </w:tcPr>
                <w:p w14:paraId="04ACE63C">
                  <w:pPr>
                    <w:jc w:val="center"/>
                    <w:rPr>
                      <w:color w:val="auto"/>
                      <w:szCs w:val="21"/>
                    </w:rPr>
                  </w:pPr>
                  <w:r>
                    <w:rPr>
                      <w:color w:val="auto"/>
                      <w:szCs w:val="21"/>
                    </w:rPr>
                    <w:t>48</w:t>
                  </w:r>
                </w:p>
              </w:tc>
              <w:tc>
                <w:tcPr>
                  <w:tcW w:w="563" w:type="dxa"/>
                  <w:shd w:val="clear" w:color="auto" w:fill="auto"/>
                  <w:vAlign w:val="center"/>
                </w:tcPr>
                <w:p w14:paraId="78094F14">
                  <w:pPr>
                    <w:jc w:val="center"/>
                    <w:rPr>
                      <w:color w:val="auto"/>
                      <w:szCs w:val="21"/>
                    </w:rPr>
                  </w:pPr>
                  <w:r>
                    <w:rPr>
                      <w:color w:val="auto"/>
                      <w:szCs w:val="21"/>
                    </w:rPr>
                    <w:t>8</w:t>
                  </w:r>
                </w:p>
              </w:tc>
              <w:tc>
                <w:tcPr>
                  <w:tcW w:w="563" w:type="dxa"/>
                  <w:shd w:val="clear" w:color="auto" w:fill="auto"/>
                  <w:vAlign w:val="center"/>
                </w:tcPr>
                <w:p w14:paraId="182BB6D1">
                  <w:pPr>
                    <w:jc w:val="center"/>
                    <w:rPr>
                      <w:color w:val="auto"/>
                      <w:szCs w:val="21"/>
                    </w:rPr>
                  </w:pPr>
                  <w:r>
                    <w:rPr>
                      <w:color w:val="auto"/>
                      <w:szCs w:val="21"/>
                    </w:rPr>
                    <w:t>22</w:t>
                  </w:r>
                </w:p>
              </w:tc>
              <w:tc>
                <w:tcPr>
                  <w:tcW w:w="563" w:type="dxa"/>
                  <w:shd w:val="clear" w:color="auto" w:fill="auto"/>
                  <w:vAlign w:val="center"/>
                </w:tcPr>
                <w:p w14:paraId="60112FD7">
                  <w:pPr>
                    <w:jc w:val="center"/>
                    <w:rPr>
                      <w:color w:val="auto"/>
                      <w:szCs w:val="21"/>
                    </w:rPr>
                  </w:pPr>
                  <w:r>
                    <w:rPr>
                      <w:color w:val="auto"/>
                      <w:szCs w:val="21"/>
                    </w:rPr>
                    <w:t>11</w:t>
                  </w:r>
                </w:p>
              </w:tc>
            </w:tr>
            <w:tr w14:paraId="313E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9" w:type="dxa"/>
                  <w:vMerge w:val="continue"/>
                  <w:vAlign w:val="center"/>
                </w:tcPr>
                <w:p w14:paraId="0B0EFDC7">
                  <w:pPr>
                    <w:jc w:val="center"/>
                    <w:rPr>
                      <w:color w:val="auto"/>
                      <w:szCs w:val="21"/>
                    </w:rPr>
                  </w:pPr>
                </w:p>
              </w:tc>
              <w:tc>
                <w:tcPr>
                  <w:tcW w:w="839" w:type="dxa"/>
                  <w:shd w:val="clear" w:color="auto" w:fill="auto"/>
                  <w:noWrap/>
                  <w:vAlign w:val="center"/>
                </w:tcPr>
                <w:p w14:paraId="592A6554">
                  <w:pPr>
                    <w:widowControl/>
                    <w:adjustRightInd w:val="0"/>
                    <w:jc w:val="center"/>
                    <w:textAlignment w:val="center"/>
                    <w:rPr>
                      <w:color w:val="auto"/>
                      <w:szCs w:val="21"/>
                    </w:rPr>
                  </w:pPr>
                  <w:r>
                    <w:rPr>
                      <w:color w:val="auto"/>
                      <w:szCs w:val="21"/>
                    </w:rPr>
                    <w:t>封箱机</w:t>
                  </w:r>
                </w:p>
              </w:tc>
              <w:tc>
                <w:tcPr>
                  <w:tcW w:w="667" w:type="dxa"/>
                  <w:shd w:val="clear" w:color="auto" w:fill="auto"/>
                  <w:noWrap/>
                  <w:vAlign w:val="center"/>
                </w:tcPr>
                <w:p w14:paraId="4A7E1D88">
                  <w:pPr>
                    <w:jc w:val="center"/>
                    <w:rPr>
                      <w:color w:val="auto"/>
                      <w:szCs w:val="21"/>
                    </w:rPr>
                  </w:pPr>
                  <w:r>
                    <w:rPr>
                      <w:color w:val="auto"/>
                      <w:szCs w:val="21"/>
                    </w:rPr>
                    <w:t>1</w:t>
                  </w:r>
                </w:p>
              </w:tc>
              <w:tc>
                <w:tcPr>
                  <w:tcW w:w="822" w:type="dxa"/>
                  <w:shd w:val="clear" w:color="auto" w:fill="auto"/>
                  <w:noWrap/>
                  <w:vAlign w:val="center"/>
                </w:tcPr>
                <w:p w14:paraId="633FD853">
                  <w:pPr>
                    <w:jc w:val="center"/>
                    <w:rPr>
                      <w:color w:val="auto"/>
                      <w:szCs w:val="21"/>
                    </w:rPr>
                  </w:pPr>
                  <w:r>
                    <w:rPr>
                      <w:color w:val="auto"/>
                      <w:szCs w:val="21"/>
                    </w:rPr>
                    <w:t>65</w:t>
                  </w:r>
                </w:p>
              </w:tc>
              <w:tc>
                <w:tcPr>
                  <w:tcW w:w="831" w:type="dxa"/>
                  <w:shd w:val="clear" w:color="auto" w:fill="auto"/>
                  <w:vAlign w:val="center"/>
                </w:tcPr>
                <w:p w14:paraId="235AD3E7">
                  <w:pPr>
                    <w:jc w:val="center"/>
                    <w:rPr>
                      <w:color w:val="auto"/>
                      <w:szCs w:val="21"/>
                    </w:rPr>
                  </w:pPr>
                  <w:r>
                    <w:rPr>
                      <w:color w:val="auto"/>
                      <w:szCs w:val="21"/>
                    </w:rPr>
                    <w:t>65</w:t>
                  </w:r>
                </w:p>
              </w:tc>
              <w:tc>
                <w:tcPr>
                  <w:tcW w:w="659" w:type="dxa"/>
                  <w:vMerge w:val="continue"/>
                  <w:vAlign w:val="center"/>
                </w:tcPr>
                <w:p w14:paraId="6E800009">
                  <w:pPr>
                    <w:jc w:val="center"/>
                    <w:rPr>
                      <w:color w:val="auto"/>
                      <w:szCs w:val="21"/>
                    </w:rPr>
                  </w:pPr>
                </w:p>
              </w:tc>
              <w:tc>
                <w:tcPr>
                  <w:tcW w:w="612" w:type="dxa"/>
                  <w:shd w:val="clear" w:color="auto" w:fill="auto"/>
                  <w:noWrap/>
                  <w:vAlign w:val="center"/>
                </w:tcPr>
                <w:p w14:paraId="3F8E3F2C">
                  <w:pPr>
                    <w:jc w:val="center"/>
                    <w:rPr>
                      <w:color w:val="auto"/>
                      <w:szCs w:val="21"/>
                    </w:rPr>
                  </w:pPr>
                  <w:r>
                    <w:rPr>
                      <w:color w:val="auto"/>
                      <w:szCs w:val="21"/>
                    </w:rPr>
                    <w:t>13</w:t>
                  </w:r>
                </w:p>
              </w:tc>
              <w:tc>
                <w:tcPr>
                  <w:tcW w:w="613" w:type="dxa"/>
                  <w:shd w:val="clear" w:color="auto" w:fill="auto"/>
                  <w:noWrap/>
                  <w:vAlign w:val="center"/>
                </w:tcPr>
                <w:p w14:paraId="4F1A5606">
                  <w:pPr>
                    <w:jc w:val="center"/>
                    <w:rPr>
                      <w:color w:val="auto"/>
                      <w:szCs w:val="21"/>
                    </w:rPr>
                  </w:pPr>
                  <w:r>
                    <w:rPr>
                      <w:color w:val="auto"/>
                      <w:szCs w:val="21"/>
                    </w:rPr>
                    <w:t>7.5</w:t>
                  </w:r>
                </w:p>
              </w:tc>
              <w:tc>
                <w:tcPr>
                  <w:tcW w:w="613" w:type="dxa"/>
                  <w:shd w:val="clear" w:color="auto" w:fill="auto"/>
                  <w:noWrap/>
                  <w:vAlign w:val="center"/>
                </w:tcPr>
                <w:p w14:paraId="4062F241">
                  <w:pPr>
                    <w:jc w:val="center"/>
                    <w:rPr>
                      <w:color w:val="auto"/>
                      <w:szCs w:val="21"/>
                    </w:rPr>
                  </w:pPr>
                  <w:r>
                    <w:rPr>
                      <w:color w:val="auto"/>
                      <w:szCs w:val="21"/>
                    </w:rPr>
                    <w:t>18.5</w:t>
                  </w:r>
                </w:p>
              </w:tc>
              <w:tc>
                <w:tcPr>
                  <w:tcW w:w="563" w:type="dxa"/>
                  <w:shd w:val="clear" w:color="auto" w:fill="auto"/>
                  <w:vAlign w:val="center"/>
                </w:tcPr>
                <w:p w14:paraId="2EF48BCB">
                  <w:pPr>
                    <w:jc w:val="center"/>
                    <w:rPr>
                      <w:color w:val="auto"/>
                      <w:szCs w:val="21"/>
                    </w:rPr>
                  </w:pPr>
                  <w:r>
                    <w:rPr>
                      <w:color w:val="auto"/>
                      <w:szCs w:val="21"/>
                    </w:rPr>
                    <w:t>57</w:t>
                  </w:r>
                </w:p>
              </w:tc>
              <w:tc>
                <w:tcPr>
                  <w:tcW w:w="563" w:type="dxa"/>
                  <w:shd w:val="clear" w:color="auto" w:fill="auto"/>
                  <w:vAlign w:val="center"/>
                </w:tcPr>
                <w:p w14:paraId="76A3BEF6">
                  <w:pPr>
                    <w:jc w:val="center"/>
                    <w:rPr>
                      <w:color w:val="auto"/>
                      <w:szCs w:val="21"/>
                    </w:rPr>
                  </w:pPr>
                  <w:r>
                    <w:rPr>
                      <w:color w:val="auto"/>
                      <w:szCs w:val="21"/>
                    </w:rPr>
                    <w:t>8</w:t>
                  </w:r>
                </w:p>
              </w:tc>
              <w:tc>
                <w:tcPr>
                  <w:tcW w:w="563" w:type="dxa"/>
                  <w:shd w:val="clear" w:color="auto" w:fill="auto"/>
                  <w:vAlign w:val="center"/>
                </w:tcPr>
                <w:p w14:paraId="02E1E9DE">
                  <w:pPr>
                    <w:jc w:val="center"/>
                    <w:rPr>
                      <w:color w:val="auto"/>
                      <w:szCs w:val="21"/>
                    </w:rPr>
                  </w:pPr>
                  <w:r>
                    <w:rPr>
                      <w:color w:val="auto"/>
                      <w:szCs w:val="21"/>
                    </w:rPr>
                    <w:t>13</w:t>
                  </w:r>
                </w:p>
              </w:tc>
              <w:tc>
                <w:tcPr>
                  <w:tcW w:w="563" w:type="dxa"/>
                  <w:shd w:val="clear" w:color="auto" w:fill="auto"/>
                  <w:vAlign w:val="center"/>
                </w:tcPr>
                <w:p w14:paraId="2FD59EEC">
                  <w:pPr>
                    <w:jc w:val="center"/>
                    <w:rPr>
                      <w:color w:val="auto"/>
                      <w:szCs w:val="21"/>
                    </w:rPr>
                  </w:pPr>
                  <w:r>
                    <w:rPr>
                      <w:color w:val="auto"/>
                      <w:szCs w:val="21"/>
                    </w:rPr>
                    <w:t>11</w:t>
                  </w:r>
                </w:p>
              </w:tc>
            </w:tr>
            <w:tr w14:paraId="18E4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9" w:type="dxa"/>
                  <w:vMerge w:val="continue"/>
                  <w:shd w:val="clear" w:color="auto" w:fill="auto"/>
                  <w:vAlign w:val="center"/>
                </w:tcPr>
                <w:p w14:paraId="4B078F61">
                  <w:pPr>
                    <w:jc w:val="center"/>
                    <w:rPr>
                      <w:color w:val="auto"/>
                      <w:szCs w:val="21"/>
                    </w:rPr>
                  </w:pPr>
                </w:p>
              </w:tc>
              <w:tc>
                <w:tcPr>
                  <w:tcW w:w="839" w:type="dxa"/>
                  <w:shd w:val="clear" w:color="auto" w:fill="auto"/>
                  <w:vAlign w:val="center"/>
                </w:tcPr>
                <w:p w14:paraId="7C144A63">
                  <w:pPr>
                    <w:widowControl/>
                    <w:adjustRightInd w:val="0"/>
                    <w:jc w:val="center"/>
                    <w:textAlignment w:val="center"/>
                    <w:rPr>
                      <w:color w:val="auto"/>
                      <w:szCs w:val="21"/>
                    </w:rPr>
                  </w:pPr>
                  <w:r>
                    <w:rPr>
                      <w:color w:val="auto"/>
                      <w:szCs w:val="21"/>
                    </w:rPr>
                    <w:t>药液搅拌机</w:t>
                  </w:r>
                </w:p>
              </w:tc>
              <w:tc>
                <w:tcPr>
                  <w:tcW w:w="667" w:type="dxa"/>
                  <w:shd w:val="clear" w:color="auto" w:fill="auto"/>
                  <w:noWrap/>
                  <w:vAlign w:val="center"/>
                </w:tcPr>
                <w:p w14:paraId="3176A31D">
                  <w:pPr>
                    <w:jc w:val="center"/>
                    <w:rPr>
                      <w:color w:val="auto"/>
                      <w:szCs w:val="21"/>
                    </w:rPr>
                  </w:pPr>
                  <w:r>
                    <w:rPr>
                      <w:color w:val="auto"/>
                      <w:szCs w:val="21"/>
                    </w:rPr>
                    <w:t>1</w:t>
                  </w:r>
                </w:p>
              </w:tc>
              <w:tc>
                <w:tcPr>
                  <w:tcW w:w="822" w:type="dxa"/>
                  <w:shd w:val="clear" w:color="auto" w:fill="auto"/>
                  <w:noWrap/>
                  <w:vAlign w:val="center"/>
                </w:tcPr>
                <w:p w14:paraId="2F5C5FC9">
                  <w:pPr>
                    <w:jc w:val="center"/>
                    <w:rPr>
                      <w:color w:val="auto"/>
                      <w:szCs w:val="21"/>
                    </w:rPr>
                  </w:pPr>
                  <w:r>
                    <w:rPr>
                      <w:color w:val="auto"/>
                      <w:szCs w:val="21"/>
                    </w:rPr>
                    <w:t>70</w:t>
                  </w:r>
                </w:p>
              </w:tc>
              <w:tc>
                <w:tcPr>
                  <w:tcW w:w="831" w:type="dxa"/>
                  <w:shd w:val="clear" w:color="auto" w:fill="auto"/>
                  <w:vAlign w:val="center"/>
                </w:tcPr>
                <w:p w14:paraId="05D36A1B">
                  <w:pPr>
                    <w:jc w:val="center"/>
                    <w:rPr>
                      <w:color w:val="auto"/>
                      <w:szCs w:val="21"/>
                    </w:rPr>
                  </w:pPr>
                  <w:r>
                    <w:rPr>
                      <w:color w:val="auto"/>
                      <w:szCs w:val="21"/>
                    </w:rPr>
                    <w:t>70</w:t>
                  </w:r>
                </w:p>
              </w:tc>
              <w:tc>
                <w:tcPr>
                  <w:tcW w:w="659" w:type="dxa"/>
                  <w:vMerge w:val="continue"/>
                  <w:vAlign w:val="center"/>
                </w:tcPr>
                <w:p w14:paraId="1A9A373F">
                  <w:pPr>
                    <w:jc w:val="center"/>
                    <w:rPr>
                      <w:color w:val="auto"/>
                      <w:szCs w:val="21"/>
                    </w:rPr>
                  </w:pPr>
                </w:p>
              </w:tc>
              <w:tc>
                <w:tcPr>
                  <w:tcW w:w="612" w:type="dxa"/>
                  <w:shd w:val="clear" w:color="auto" w:fill="auto"/>
                  <w:noWrap/>
                  <w:vAlign w:val="center"/>
                </w:tcPr>
                <w:p w14:paraId="29463086">
                  <w:pPr>
                    <w:jc w:val="center"/>
                    <w:rPr>
                      <w:color w:val="auto"/>
                      <w:szCs w:val="21"/>
                    </w:rPr>
                  </w:pPr>
                  <w:r>
                    <w:rPr>
                      <w:color w:val="auto"/>
                      <w:szCs w:val="21"/>
                    </w:rPr>
                    <w:t>63</w:t>
                  </w:r>
                </w:p>
              </w:tc>
              <w:tc>
                <w:tcPr>
                  <w:tcW w:w="613" w:type="dxa"/>
                  <w:shd w:val="clear" w:color="auto" w:fill="auto"/>
                  <w:noWrap/>
                  <w:vAlign w:val="center"/>
                </w:tcPr>
                <w:p w14:paraId="04C046D8">
                  <w:pPr>
                    <w:jc w:val="center"/>
                    <w:rPr>
                      <w:color w:val="auto"/>
                      <w:szCs w:val="21"/>
                    </w:rPr>
                  </w:pPr>
                  <w:r>
                    <w:rPr>
                      <w:color w:val="auto"/>
                      <w:szCs w:val="21"/>
                    </w:rPr>
                    <w:t>10</w:t>
                  </w:r>
                </w:p>
              </w:tc>
              <w:tc>
                <w:tcPr>
                  <w:tcW w:w="613" w:type="dxa"/>
                  <w:shd w:val="clear" w:color="auto" w:fill="auto"/>
                  <w:noWrap/>
                  <w:vAlign w:val="center"/>
                </w:tcPr>
                <w:p w14:paraId="5F6A8EDB">
                  <w:pPr>
                    <w:jc w:val="center"/>
                    <w:rPr>
                      <w:color w:val="auto"/>
                      <w:szCs w:val="21"/>
                    </w:rPr>
                  </w:pPr>
                  <w:r>
                    <w:rPr>
                      <w:color w:val="auto"/>
                      <w:szCs w:val="21"/>
                    </w:rPr>
                    <w:t>19.5</w:t>
                  </w:r>
                </w:p>
              </w:tc>
              <w:tc>
                <w:tcPr>
                  <w:tcW w:w="563" w:type="dxa"/>
                  <w:shd w:val="clear" w:color="auto" w:fill="auto"/>
                  <w:vAlign w:val="center"/>
                </w:tcPr>
                <w:p w14:paraId="15F73EDA">
                  <w:pPr>
                    <w:jc w:val="center"/>
                    <w:rPr>
                      <w:color w:val="auto"/>
                      <w:szCs w:val="21"/>
                    </w:rPr>
                  </w:pPr>
                  <w:r>
                    <w:rPr>
                      <w:color w:val="auto"/>
                      <w:szCs w:val="21"/>
                    </w:rPr>
                    <w:t>7</w:t>
                  </w:r>
                </w:p>
              </w:tc>
              <w:tc>
                <w:tcPr>
                  <w:tcW w:w="563" w:type="dxa"/>
                  <w:shd w:val="clear" w:color="auto" w:fill="auto"/>
                  <w:vAlign w:val="center"/>
                </w:tcPr>
                <w:p w14:paraId="4932FC20">
                  <w:pPr>
                    <w:jc w:val="center"/>
                    <w:rPr>
                      <w:color w:val="auto"/>
                      <w:szCs w:val="21"/>
                    </w:rPr>
                  </w:pPr>
                  <w:r>
                    <w:rPr>
                      <w:color w:val="auto"/>
                      <w:szCs w:val="21"/>
                    </w:rPr>
                    <w:t>10</w:t>
                  </w:r>
                </w:p>
              </w:tc>
              <w:tc>
                <w:tcPr>
                  <w:tcW w:w="563" w:type="dxa"/>
                  <w:shd w:val="clear" w:color="auto" w:fill="auto"/>
                  <w:vAlign w:val="center"/>
                </w:tcPr>
                <w:p w14:paraId="43FF23AD">
                  <w:pPr>
                    <w:jc w:val="center"/>
                    <w:rPr>
                      <w:color w:val="auto"/>
                      <w:szCs w:val="21"/>
                    </w:rPr>
                  </w:pPr>
                  <w:r>
                    <w:rPr>
                      <w:color w:val="auto"/>
                      <w:szCs w:val="21"/>
                    </w:rPr>
                    <w:t>63</w:t>
                  </w:r>
                </w:p>
              </w:tc>
              <w:tc>
                <w:tcPr>
                  <w:tcW w:w="563" w:type="dxa"/>
                  <w:shd w:val="clear" w:color="auto" w:fill="auto"/>
                  <w:vAlign w:val="center"/>
                </w:tcPr>
                <w:p w14:paraId="2E088BB3">
                  <w:pPr>
                    <w:jc w:val="center"/>
                    <w:rPr>
                      <w:color w:val="auto"/>
                      <w:szCs w:val="21"/>
                    </w:rPr>
                  </w:pPr>
                  <w:r>
                    <w:rPr>
                      <w:color w:val="auto"/>
                      <w:szCs w:val="21"/>
                    </w:rPr>
                    <w:t>9</w:t>
                  </w:r>
                </w:p>
              </w:tc>
            </w:tr>
            <w:tr w14:paraId="4D3B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9" w:type="dxa"/>
                  <w:vMerge w:val="continue"/>
                  <w:vAlign w:val="center"/>
                </w:tcPr>
                <w:p w14:paraId="0309859F">
                  <w:pPr>
                    <w:jc w:val="center"/>
                    <w:rPr>
                      <w:color w:val="auto"/>
                      <w:szCs w:val="21"/>
                    </w:rPr>
                  </w:pPr>
                </w:p>
              </w:tc>
              <w:tc>
                <w:tcPr>
                  <w:tcW w:w="839" w:type="dxa"/>
                  <w:shd w:val="clear" w:color="auto" w:fill="auto"/>
                  <w:vAlign w:val="center"/>
                </w:tcPr>
                <w:p w14:paraId="1F57C5F5">
                  <w:pPr>
                    <w:widowControl/>
                    <w:adjustRightInd w:val="0"/>
                    <w:jc w:val="center"/>
                    <w:textAlignment w:val="center"/>
                    <w:rPr>
                      <w:color w:val="auto"/>
                      <w:szCs w:val="21"/>
                    </w:rPr>
                  </w:pPr>
                  <w:r>
                    <w:rPr>
                      <w:color w:val="auto"/>
                      <w:szCs w:val="21"/>
                    </w:rPr>
                    <w:t>自动插芯棒机</w:t>
                  </w:r>
                </w:p>
              </w:tc>
              <w:tc>
                <w:tcPr>
                  <w:tcW w:w="667" w:type="dxa"/>
                  <w:shd w:val="clear" w:color="auto" w:fill="auto"/>
                  <w:noWrap/>
                  <w:vAlign w:val="center"/>
                </w:tcPr>
                <w:p w14:paraId="05520D65">
                  <w:pPr>
                    <w:jc w:val="center"/>
                    <w:rPr>
                      <w:color w:val="auto"/>
                      <w:szCs w:val="21"/>
                    </w:rPr>
                  </w:pPr>
                  <w:r>
                    <w:rPr>
                      <w:color w:val="auto"/>
                      <w:szCs w:val="21"/>
                    </w:rPr>
                    <w:t>1</w:t>
                  </w:r>
                </w:p>
              </w:tc>
              <w:tc>
                <w:tcPr>
                  <w:tcW w:w="822" w:type="dxa"/>
                  <w:shd w:val="clear" w:color="auto" w:fill="auto"/>
                  <w:vAlign w:val="center"/>
                </w:tcPr>
                <w:p w14:paraId="37D88773">
                  <w:pPr>
                    <w:jc w:val="center"/>
                    <w:rPr>
                      <w:color w:val="auto"/>
                      <w:szCs w:val="21"/>
                    </w:rPr>
                  </w:pPr>
                  <w:r>
                    <w:rPr>
                      <w:color w:val="auto"/>
                      <w:szCs w:val="21"/>
                    </w:rPr>
                    <w:t>70</w:t>
                  </w:r>
                </w:p>
              </w:tc>
              <w:tc>
                <w:tcPr>
                  <w:tcW w:w="831" w:type="dxa"/>
                  <w:shd w:val="clear" w:color="auto" w:fill="auto"/>
                  <w:vAlign w:val="center"/>
                </w:tcPr>
                <w:p w14:paraId="08D1239E">
                  <w:pPr>
                    <w:jc w:val="center"/>
                    <w:rPr>
                      <w:color w:val="auto"/>
                      <w:szCs w:val="21"/>
                    </w:rPr>
                  </w:pPr>
                  <w:r>
                    <w:rPr>
                      <w:color w:val="auto"/>
                      <w:szCs w:val="21"/>
                    </w:rPr>
                    <w:t>70</w:t>
                  </w:r>
                </w:p>
              </w:tc>
              <w:tc>
                <w:tcPr>
                  <w:tcW w:w="659" w:type="dxa"/>
                  <w:vMerge w:val="continue"/>
                  <w:vAlign w:val="center"/>
                </w:tcPr>
                <w:p w14:paraId="5A5019E5">
                  <w:pPr>
                    <w:jc w:val="center"/>
                    <w:rPr>
                      <w:color w:val="auto"/>
                      <w:szCs w:val="21"/>
                    </w:rPr>
                  </w:pPr>
                </w:p>
              </w:tc>
              <w:tc>
                <w:tcPr>
                  <w:tcW w:w="612" w:type="dxa"/>
                  <w:shd w:val="clear" w:color="auto" w:fill="auto"/>
                  <w:noWrap/>
                  <w:vAlign w:val="center"/>
                </w:tcPr>
                <w:p w14:paraId="4DFE5A8E">
                  <w:pPr>
                    <w:jc w:val="center"/>
                    <w:rPr>
                      <w:color w:val="auto"/>
                      <w:szCs w:val="21"/>
                    </w:rPr>
                  </w:pPr>
                  <w:r>
                    <w:rPr>
                      <w:color w:val="auto"/>
                      <w:szCs w:val="21"/>
                    </w:rPr>
                    <w:t>17</w:t>
                  </w:r>
                </w:p>
              </w:tc>
              <w:tc>
                <w:tcPr>
                  <w:tcW w:w="613" w:type="dxa"/>
                  <w:shd w:val="clear" w:color="auto" w:fill="auto"/>
                  <w:noWrap/>
                  <w:vAlign w:val="center"/>
                </w:tcPr>
                <w:p w14:paraId="31E4D6CC">
                  <w:pPr>
                    <w:jc w:val="center"/>
                    <w:rPr>
                      <w:color w:val="auto"/>
                      <w:szCs w:val="21"/>
                    </w:rPr>
                  </w:pPr>
                  <w:r>
                    <w:rPr>
                      <w:color w:val="auto"/>
                      <w:szCs w:val="21"/>
                    </w:rPr>
                    <w:t>10.5</w:t>
                  </w:r>
                </w:p>
              </w:tc>
              <w:tc>
                <w:tcPr>
                  <w:tcW w:w="613" w:type="dxa"/>
                  <w:shd w:val="clear" w:color="auto" w:fill="auto"/>
                  <w:noWrap/>
                  <w:vAlign w:val="center"/>
                </w:tcPr>
                <w:p w14:paraId="33112873">
                  <w:pPr>
                    <w:jc w:val="center"/>
                    <w:rPr>
                      <w:color w:val="auto"/>
                      <w:szCs w:val="21"/>
                    </w:rPr>
                  </w:pPr>
                  <w:r>
                    <w:rPr>
                      <w:color w:val="auto"/>
                      <w:szCs w:val="21"/>
                    </w:rPr>
                    <w:t>18.5</w:t>
                  </w:r>
                </w:p>
              </w:tc>
              <w:tc>
                <w:tcPr>
                  <w:tcW w:w="563" w:type="dxa"/>
                  <w:shd w:val="clear" w:color="auto" w:fill="auto"/>
                  <w:vAlign w:val="center"/>
                </w:tcPr>
                <w:p w14:paraId="3449A389">
                  <w:pPr>
                    <w:jc w:val="center"/>
                    <w:rPr>
                      <w:color w:val="auto"/>
                      <w:szCs w:val="21"/>
                    </w:rPr>
                  </w:pPr>
                  <w:r>
                    <w:rPr>
                      <w:color w:val="auto"/>
                      <w:szCs w:val="21"/>
                    </w:rPr>
                    <w:t>53</w:t>
                  </w:r>
                </w:p>
              </w:tc>
              <w:tc>
                <w:tcPr>
                  <w:tcW w:w="563" w:type="dxa"/>
                  <w:shd w:val="clear" w:color="auto" w:fill="auto"/>
                  <w:vAlign w:val="center"/>
                </w:tcPr>
                <w:p w14:paraId="08139DDB">
                  <w:pPr>
                    <w:jc w:val="center"/>
                    <w:rPr>
                      <w:color w:val="auto"/>
                      <w:szCs w:val="21"/>
                    </w:rPr>
                  </w:pPr>
                  <w:r>
                    <w:rPr>
                      <w:color w:val="auto"/>
                      <w:szCs w:val="21"/>
                    </w:rPr>
                    <w:t>11</w:t>
                  </w:r>
                </w:p>
              </w:tc>
              <w:tc>
                <w:tcPr>
                  <w:tcW w:w="563" w:type="dxa"/>
                  <w:shd w:val="clear" w:color="auto" w:fill="auto"/>
                  <w:vAlign w:val="center"/>
                </w:tcPr>
                <w:p w14:paraId="739BA14A">
                  <w:pPr>
                    <w:jc w:val="center"/>
                    <w:rPr>
                      <w:color w:val="auto"/>
                      <w:szCs w:val="21"/>
                    </w:rPr>
                  </w:pPr>
                  <w:r>
                    <w:rPr>
                      <w:color w:val="auto"/>
                      <w:szCs w:val="21"/>
                    </w:rPr>
                    <w:t>17</w:t>
                  </w:r>
                </w:p>
              </w:tc>
              <w:tc>
                <w:tcPr>
                  <w:tcW w:w="563" w:type="dxa"/>
                  <w:shd w:val="clear" w:color="auto" w:fill="auto"/>
                  <w:vAlign w:val="center"/>
                </w:tcPr>
                <w:p w14:paraId="34877FB5">
                  <w:pPr>
                    <w:jc w:val="center"/>
                    <w:rPr>
                      <w:color w:val="auto"/>
                      <w:szCs w:val="21"/>
                    </w:rPr>
                  </w:pPr>
                  <w:r>
                    <w:rPr>
                      <w:color w:val="auto"/>
                      <w:szCs w:val="21"/>
                    </w:rPr>
                    <w:t>8</w:t>
                  </w:r>
                </w:p>
              </w:tc>
            </w:tr>
            <w:tr w14:paraId="03AF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9" w:type="dxa"/>
                  <w:vMerge w:val="continue"/>
                  <w:vAlign w:val="center"/>
                </w:tcPr>
                <w:p w14:paraId="6C386DC1">
                  <w:pPr>
                    <w:jc w:val="center"/>
                    <w:rPr>
                      <w:color w:val="auto"/>
                      <w:szCs w:val="21"/>
                    </w:rPr>
                  </w:pPr>
                </w:p>
              </w:tc>
              <w:tc>
                <w:tcPr>
                  <w:tcW w:w="839" w:type="dxa"/>
                  <w:shd w:val="clear" w:color="auto" w:fill="auto"/>
                  <w:noWrap/>
                  <w:vAlign w:val="center"/>
                </w:tcPr>
                <w:p w14:paraId="4BD782C5">
                  <w:pPr>
                    <w:widowControl/>
                    <w:adjustRightInd w:val="0"/>
                    <w:jc w:val="center"/>
                    <w:textAlignment w:val="center"/>
                    <w:rPr>
                      <w:color w:val="auto"/>
                      <w:szCs w:val="21"/>
                    </w:rPr>
                  </w:pPr>
                  <w:r>
                    <w:rPr>
                      <w:color w:val="auto"/>
                      <w:szCs w:val="21"/>
                    </w:rPr>
                    <w:t>全自动灌装机</w:t>
                  </w:r>
                </w:p>
              </w:tc>
              <w:tc>
                <w:tcPr>
                  <w:tcW w:w="667" w:type="dxa"/>
                  <w:shd w:val="clear" w:color="auto" w:fill="auto"/>
                  <w:noWrap/>
                  <w:vAlign w:val="center"/>
                </w:tcPr>
                <w:p w14:paraId="25C08A92">
                  <w:pPr>
                    <w:jc w:val="center"/>
                    <w:rPr>
                      <w:color w:val="auto"/>
                      <w:szCs w:val="21"/>
                    </w:rPr>
                  </w:pPr>
                  <w:r>
                    <w:rPr>
                      <w:color w:val="auto"/>
                      <w:szCs w:val="21"/>
                    </w:rPr>
                    <w:t>1</w:t>
                  </w:r>
                </w:p>
              </w:tc>
              <w:tc>
                <w:tcPr>
                  <w:tcW w:w="822" w:type="dxa"/>
                  <w:shd w:val="clear" w:color="auto" w:fill="auto"/>
                  <w:vAlign w:val="center"/>
                </w:tcPr>
                <w:p w14:paraId="6690D60F">
                  <w:pPr>
                    <w:jc w:val="center"/>
                    <w:rPr>
                      <w:color w:val="auto"/>
                      <w:szCs w:val="21"/>
                    </w:rPr>
                  </w:pPr>
                  <w:r>
                    <w:rPr>
                      <w:color w:val="auto"/>
                      <w:szCs w:val="21"/>
                    </w:rPr>
                    <w:t>70</w:t>
                  </w:r>
                </w:p>
              </w:tc>
              <w:tc>
                <w:tcPr>
                  <w:tcW w:w="831" w:type="dxa"/>
                  <w:shd w:val="clear" w:color="auto" w:fill="auto"/>
                  <w:vAlign w:val="center"/>
                </w:tcPr>
                <w:p w14:paraId="5D70E12D">
                  <w:pPr>
                    <w:jc w:val="center"/>
                    <w:rPr>
                      <w:color w:val="auto"/>
                      <w:szCs w:val="21"/>
                    </w:rPr>
                  </w:pPr>
                  <w:r>
                    <w:rPr>
                      <w:color w:val="auto"/>
                      <w:szCs w:val="21"/>
                    </w:rPr>
                    <w:t>70</w:t>
                  </w:r>
                </w:p>
              </w:tc>
              <w:tc>
                <w:tcPr>
                  <w:tcW w:w="659" w:type="dxa"/>
                  <w:vMerge w:val="continue"/>
                  <w:vAlign w:val="center"/>
                </w:tcPr>
                <w:p w14:paraId="4E7B727C">
                  <w:pPr>
                    <w:jc w:val="center"/>
                    <w:rPr>
                      <w:color w:val="auto"/>
                      <w:szCs w:val="21"/>
                    </w:rPr>
                  </w:pPr>
                </w:p>
              </w:tc>
              <w:tc>
                <w:tcPr>
                  <w:tcW w:w="612" w:type="dxa"/>
                  <w:shd w:val="clear" w:color="auto" w:fill="auto"/>
                  <w:noWrap/>
                  <w:vAlign w:val="center"/>
                </w:tcPr>
                <w:p w14:paraId="70E3D18A">
                  <w:pPr>
                    <w:jc w:val="center"/>
                    <w:rPr>
                      <w:color w:val="auto"/>
                      <w:szCs w:val="21"/>
                    </w:rPr>
                  </w:pPr>
                  <w:r>
                    <w:rPr>
                      <w:color w:val="auto"/>
                      <w:szCs w:val="21"/>
                    </w:rPr>
                    <w:t>22</w:t>
                  </w:r>
                </w:p>
              </w:tc>
              <w:tc>
                <w:tcPr>
                  <w:tcW w:w="613" w:type="dxa"/>
                  <w:shd w:val="clear" w:color="auto" w:fill="auto"/>
                  <w:noWrap/>
                  <w:vAlign w:val="center"/>
                </w:tcPr>
                <w:p w14:paraId="6EEA9ACF">
                  <w:pPr>
                    <w:jc w:val="center"/>
                    <w:rPr>
                      <w:color w:val="auto"/>
                      <w:szCs w:val="21"/>
                    </w:rPr>
                  </w:pPr>
                  <w:r>
                    <w:rPr>
                      <w:color w:val="auto"/>
                      <w:szCs w:val="21"/>
                    </w:rPr>
                    <w:t>10.5</w:t>
                  </w:r>
                </w:p>
              </w:tc>
              <w:tc>
                <w:tcPr>
                  <w:tcW w:w="613" w:type="dxa"/>
                  <w:shd w:val="clear" w:color="auto" w:fill="auto"/>
                  <w:noWrap/>
                  <w:vAlign w:val="center"/>
                </w:tcPr>
                <w:p w14:paraId="3941E4D2">
                  <w:pPr>
                    <w:jc w:val="center"/>
                    <w:rPr>
                      <w:color w:val="auto"/>
                      <w:szCs w:val="21"/>
                    </w:rPr>
                  </w:pPr>
                  <w:r>
                    <w:rPr>
                      <w:color w:val="auto"/>
                      <w:szCs w:val="21"/>
                    </w:rPr>
                    <w:t>18.5</w:t>
                  </w:r>
                </w:p>
              </w:tc>
              <w:tc>
                <w:tcPr>
                  <w:tcW w:w="563" w:type="dxa"/>
                  <w:shd w:val="clear" w:color="auto" w:fill="auto"/>
                  <w:vAlign w:val="center"/>
                </w:tcPr>
                <w:p w14:paraId="2FF41C3D">
                  <w:pPr>
                    <w:jc w:val="center"/>
                    <w:rPr>
                      <w:color w:val="auto"/>
                      <w:szCs w:val="21"/>
                    </w:rPr>
                  </w:pPr>
                  <w:r>
                    <w:rPr>
                      <w:color w:val="auto"/>
                      <w:szCs w:val="21"/>
                    </w:rPr>
                    <w:t>48</w:t>
                  </w:r>
                </w:p>
              </w:tc>
              <w:tc>
                <w:tcPr>
                  <w:tcW w:w="563" w:type="dxa"/>
                  <w:shd w:val="clear" w:color="auto" w:fill="auto"/>
                  <w:vAlign w:val="center"/>
                </w:tcPr>
                <w:p w14:paraId="42EC22BB">
                  <w:pPr>
                    <w:jc w:val="center"/>
                    <w:rPr>
                      <w:color w:val="auto"/>
                      <w:szCs w:val="21"/>
                    </w:rPr>
                  </w:pPr>
                  <w:r>
                    <w:rPr>
                      <w:color w:val="auto"/>
                      <w:szCs w:val="21"/>
                    </w:rPr>
                    <w:t>11</w:t>
                  </w:r>
                </w:p>
              </w:tc>
              <w:tc>
                <w:tcPr>
                  <w:tcW w:w="563" w:type="dxa"/>
                  <w:shd w:val="clear" w:color="auto" w:fill="auto"/>
                  <w:vAlign w:val="center"/>
                </w:tcPr>
                <w:p w14:paraId="77FD4037">
                  <w:pPr>
                    <w:jc w:val="center"/>
                    <w:rPr>
                      <w:color w:val="auto"/>
                      <w:szCs w:val="21"/>
                    </w:rPr>
                  </w:pPr>
                  <w:r>
                    <w:rPr>
                      <w:color w:val="auto"/>
                      <w:szCs w:val="21"/>
                    </w:rPr>
                    <w:t>22</w:t>
                  </w:r>
                </w:p>
              </w:tc>
              <w:tc>
                <w:tcPr>
                  <w:tcW w:w="563" w:type="dxa"/>
                  <w:shd w:val="clear" w:color="auto" w:fill="auto"/>
                  <w:vAlign w:val="center"/>
                </w:tcPr>
                <w:p w14:paraId="4995677B">
                  <w:pPr>
                    <w:jc w:val="center"/>
                    <w:rPr>
                      <w:color w:val="auto"/>
                      <w:szCs w:val="21"/>
                    </w:rPr>
                  </w:pPr>
                  <w:r>
                    <w:rPr>
                      <w:color w:val="auto"/>
                      <w:szCs w:val="21"/>
                    </w:rPr>
                    <w:t>8</w:t>
                  </w:r>
                </w:p>
              </w:tc>
            </w:tr>
            <w:tr w14:paraId="4A90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9" w:type="dxa"/>
                  <w:vMerge w:val="continue"/>
                  <w:vAlign w:val="center"/>
                </w:tcPr>
                <w:p w14:paraId="0516FDE9">
                  <w:pPr>
                    <w:jc w:val="center"/>
                    <w:rPr>
                      <w:color w:val="auto"/>
                      <w:szCs w:val="21"/>
                    </w:rPr>
                  </w:pPr>
                </w:p>
              </w:tc>
              <w:tc>
                <w:tcPr>
                  <w:tcW w:w="839" w:type="dxa"/>
                  <w:shd w:val="clear" w:color="auto" w:fill="auto"/>
                  <w:noWrap/>
                  <w:vAlign w:val="center"/>
                </w:tcPr>
                <w:p w14:paraId="5E177D14">
                  <w:pPr>
                    <w:widowControl/>
                    <w:adjustRightInd w:val="0"/>
                    <w:jc w:val="center"/>
                    <w:textAlignment w:val="center"/>
                    <w:rPr>
                      <w:color w:val="auto"/>
                      <w:szCs w:val="21"/>
                    </w:rPr>
                  </w:pPr>
                  <w:r>
                    <w:rPr>
                      <w:color w:val="auto"/>
                      <w:szCs w:val="21"/>
                    </w:rPr>
                    <w:t>自动高速封口机</w:t>
                  </w:r>
                </w:p>
              </w:tc>
              <w:tc>
                <w:tcPr>
                  <w:tcW w:w="667" w:type="dxa"/>
                  <w:shd w:val="clear" w:color="auto" w:fill="auto"/>
                  <w:noWrap/>
                  <w:vAlign w:val="center"/>
                </w:tcPr>
                <w:p w14:paraId="46265343">
                  <w:pPr>
                    <w:jc w:val="center"/>
                    <w:rPr>
                      <w:color w:val="auto"/>
                      <w:szCs w:val="21"/>
                    </w:rPr>
                  </w:pPr>
                  <w:r>
                    <w:rPr>
                      <w:color w:val="auto"/>
                      <w:szCs w:val="21"/>
                    </w:rPr>
                    <w:t>1</w:t>
                  </w:r>
                </w:p>
              </w:tc>
              <w:tc>
                <w:tcPr>
                  <w:tcW w:w="822" w:type="dxa"/>
                  <w:shd w:val="clear" w:color="auto" w:fill="auto"/>
                  <w:noWrap/>
                  <w:vAlign w:val="center"/>
                </w:tcPr>
                <w:p w14:paraId="475519DD">
                  <w:pPr>
                    <w:jc w:val="center"/>
                    <w:rPr>
                      <w:color w:val="auto"/>
                      <w:szCs w:val="21"/>
                    </w:rPr>
                  </w:pPr>
                  <w:r>
                    <w:rPr>
                      <w:color w:val="auto"/>
                      <w:szCs w:val="21"/>
                    </w:rPr>
                    <w:t>65</w:t>
                  </w:r>
                </w:p>
              </w:tc>
              <w:tc>
                <w:tcPr>
                  <w:tcW w:w="831" w:type="dxa"/>
                  <w:shd w:val="clear" w:color="auto" w:fill="auto"/>
                  <w:noWrap/>
                  <w:vAlign w:val="center"/>
                </w:tcPr>
                <w:p w14:paraId="26CE1C09">
                  <w:pPr>
                    <w:jc w:val="center"/>
                    <w:rPr>
                      <w:color w:val="auto"/>
                      <w:szCs w:val="21"/>
                    </w:rPr>
                  </w:pPr>
                  <w:r>
                    <w:rPr>
                      <w:color w:val="auto"/>
                      <w:szCs w:val="21"/>
                    </w:rPr>
                    <w:t>65</w:t>
                  </w:r>
                </w:p>
              </w:tc>
              <w:tc>
                <w:tcPr>
                  <w:tcW w:w="659" w:type="dxa"/>
                  <w:vMerge w:val="continue"/>
                  <w:vAlign w:val="center"/>
                </w:tcPr>
                <w:p w14:paraId="4C165C90">
                  <w:pPr>
                    <w:jc w:val="center"/>
                    <w:rPr>
                      <w:color w:val="auto"/>
                      <w:szCs w:val="21"/>
                    </w:rPr>
                  </w:pPr>
                </w:p>
              </w:tc>
              <w:tc>
                <w:tcPr>
                  <w:tcW w:w="612" w:type="dxa"/>
                  <w:shd w:val="clear" w:color="auto" w:fill="auto"/>
                  <w:noWrap/>
                  <w:vAlign w:val="center"/>
                </w:tcPr>
                <w:p w14:paraId="10E9CB3E">
                  <w:pPr>
                    <w:jc w:val="center"/>
                    <w:rPr>
                      <w:color w:val="auto"/>
                      <w:szCs w:val="21"/>
                    </w:rPr>
                  </w:pPr>
                  <w:r>
                    <w:rPr>
                      <w:color w:val="auto"/>
                      <w:szCs w:val="21"/>
                    </w:rPr>
                    <w:t>14</w:t>
                  </w:r>
                </w:p>
              </w:tc>
              <w:tc>
                <w:tcPr>
                  <w:tcW w:w="613" w:type="dxa"/>
                  <w:shd w:val="clear" w:color="auto" w:fill="auto"/>
                  <w:noWrap/>
                  <w:vAlign w:val="center"/>
                </w:tcPr>
                <w:p w14:paraId="7426D593">
                  <w:pPr>
                    <w:jc w:val="center"/>
                    <w:rPr>
                      <w:color w:val="auto"/>
                      <w:szCs w:val="21"/>
                    </w:rPr>
                  </w:pPr>
                  <w:r>
                    <w:rPr>
                      <w:color w:val="auto"/>
                      <w:szCs w:val="21"/>
                    </w:rPr>
                    <w:t>10.5</w:t>
                  </w:r>
                </w:p>
              </w:tc>
              <w:tc>
                <w:tcPr>
                  <w:tcW w:w="613" w:type="dxa"/>
                  <w:shd w:val="clear" w:color="auto" w:fill="auto"/>
                  <w:noWrap/>
                  <w:vAlign w:val="center"/>
                </w:tcPr>
                <w:p w14:paraId="10DC5042">
                  <w:pPr>
                    <w:jc w:val="center"/>
                    <w:rPr>
                      <w:color w:val="auto"/>
                      <w:szCs w:val="21"/>
                    </w:rPr>
                  </w:pPr>
                  <w:r>
                    <w:rPr>
                      <w:color w:val="auto"/>
                      <w:szCs w:val="21"/>
                    </w:rPr>
                    <w:t>18.5</w:t>
                  </w:r>
                </w:p>
              </w:tc>
              <w:tc>
                <w:tcPr>
                  <w:tcW w:w="563" w:type="dxa"/>
                  <w:shd w:val="clear" w:color="auto" w:fill="auto"/>
                  <w:vAlign w:val="center"/>
                </w:tcPr>
                <w:p w14:paraId="6EFF9E29">
                  <w:pPr>
                    <w:jc w:val="center"/>
                    <w:rPr>
                      <w:color w:val="auto"/>
                      <w:szCs w:val="21"/>
                    </w:rPr>
                  </w:pPr>
                  <w:r>
                    <w:rPr>
                      <w:color w:val="auto"/>
                      <w:szCs w:val="21"/>
                    </w:rPr>
                    <w:t>56</w:t>
                  </w:r>
                </w:p>
              </w:tc>
              <w:tc>
                <w:tcPr>
                  <w:tcW w:w="563" w:type="dxa"/>
                  <w:shd w:val="clear" w:color="auto" w:fill="auto"/>
                  <w:vAlign w:val="center"/>
                </w:tcPr>
                <w:p w14:paraId="5F636ED9">
                  <w:pPr>
                    <w:jc w:val="center"/>
                    <w:rPr>
                      <w:color w:val="auto"/>
                      <w:szCs w:val="21"/>
                    </w:rPr>
                  </w:pPr>
                  <w:r>
                    <w:rPr>
                      <w:color w:val="auto"/>
                      <w:szCs w:val="21"/>
                    </w:rPr>
                    <w:t>11</w:t>
                  </w:r>
                </w:p>
              </w:tc>
              <w:tc>
                <w:tcPr>
                  <w:tcW w:w="563" w:type="dxa"/>
                  <w:shd w:val="clear" w:color="auto" w:fill="auto"/>
                  <w:vAlign w:val="center"/>
                </w:tcPr>
                <w:p w14:paraId="04A060AA">
                  <w:pPr>
                    <w:jc w:val="center"/>
                    <w:rPr>
                      <w:color w:val="auto"/>
                      <w:szCs w:val="21"/>
                    </w:rPr>
                  </w:pPr>
                  <w:r>
                    <w:rPr>
                      <w:color w:val="auto"/>
                      <w:szCs w:val="21"/>
                    </w:rPr>
                    <w:t>14</w:t>
                  </w:r>
                </w:p>
              </w:tc>
              <w:tc>
                <w:tcPr>
                  <w:tcW w:w="563" w:type="dxa"/>
                  <w:shd w:val="clear" w:color="auto" w:fill="auto"/>
                  <w:vAlign w:val="center"/>
                </w:tcPr>
                <w:p w14:paraId="17A90778">
                  <w:pPr>
                    <w:jc w:val="center"/>
                    <w:rPr>
                      <w:color w:val="auto"/>
                      <w:szCs w:val="21"/>
                    </w:rPr>
                  </w:pPr>
                  <w:r>
                    <w:rPr>
                      <w:color w:val="auto"/>
                      <w:szCs w:val="21"/>
                    </w:rPr>
                    <w:t>8</w:t>
                  </w:r>
                </w:p>
              </w:tc>
            </w:tr>
          </w:tbl>
          <w:p w14:paraId="18EB6368">
            <w:pPr>
              <w:spacing w:line="360" w:lineRule="auto"/>
              <w:ind w:firstLine="480" w:firstLineChars="200"/>
              <w:contextualSpacing/>
              <w:rPr>
                <w:bCs/>
                <w:color w:val="auto"/>
                <w:sz w:val="24"/>
                <w:szCs w:val="24"/>
              </w:rPr>
            </w:pPr>
            <w:r>
              <w:rPr>
                <w:bCs/>
                <w:color w:val="auto"/>
                <w:sz w:val="24"/>
                <w:szCs w:val="24"/>
              </w:rPr>
              <w:t>注：以项目车间西南角为原点坐标（0，0），以垂直于车间西厂界的东向为X轴正方向，以垂直于车间南厂界的北向为Y轴正方向建立直角坐标系。</w:t>
            </w:r>
          </w:p>
          <w:p w14:paraId="19513E29">
            <w:pPr>
              <w:spacing w:line="360" w:lineRule="auto"/>
              <w:ind w:firstLine="480" w:firstLineChars="200"/>
              <w:contextualSpacing/>
              <w:rPr>
                <w:bCs/>
                <w:color w:val="auto"/>
                <w:sz w:val="24"/>
                <w:szCs w:val="24"/>
              </w:rPr>
            </w:pPr>
            <w:r>
              <w:rPr>
                <w:bCs/>
                <w:color w:val="auto"/>
                <w:sz w:val="24"/>
                <w:szCs w:val="24"/>
              </w:rPr>
              <w:t>根据建设项目的噪声排放特点，参考《环境影响评价技术导则 声环境》(HJ2.4-2021)，本环评对项目噪声污染情况进行预测。采用声传播衰减模式计算出某噪声源在预测点的声压级。</w:t>
            </w:r>
          </w:p>
          <w:p w14:paraId="5CCA7945">
            <w:pPr>
              <w:spacing w:line="360" w:lineRule="auto"/>
              <w:ind w:firstLine="480" w:firstLineChars="200"/>
              <w:contextualSpacing/>
              <w:rPr>
                <w:bCs/>
                <w:color w:val="auto"/>
                <w:sz w:val="24"/>
                <w:szCs w:val="24"/>
              </w:rPr>
            </w:pPr>
            <w:r>
              <w:rPr>
                <w:bCs/>
                <w:color w:val="auto"/>
                <w:sz w:val="24"/>
                <w:szCs w:val="24"/>
              </w:rPr>
              <w:t>计算某一室内声源靠近围护结构处产生的倍频带声压级或A声级：</w:t>
            </w:r>
          </w:p>
          <w:p w14:paraId="5E9B25C1">
            <w:pPr>
              <w:spacing w:line="360" w:lineRule="auto"/>
              <w:contextualSpacing/>
              <w:jc w:val="center"/>
              <w:rPr>
                <w:bCs/>
                <w:color w:val="auto"/>
                <w:sz w:val="24"/>
                <w:szCs w:val="24"/>
              </w:rPr>
            </w:pPr>
            <w:r>
              <w:rPr>
                <w:bCs/>
                <w:color w:val="auto"/>
                <w:sz w:val="24"/>
                <w:szCs w:val="24"/>
              </w:rPr>
              <w:drawing>
                <wp:inline distT="0" distB="0" distL="114300" distR="114300">
                  <wp:extent cx="1581150" cy="361950"/>
                  <wp:effectExtent l="0" t="0" r="0" b="0"/>
                  <wp:docPr id="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
                          <pic:cNvPicPr>
                            <a:picLocks noChangeAspect="1"/>
                          </pic:cNvPicPr>
                        </pic:nvPicPr>
                        <pic:blipFill>
                          <a:blip r:embed="rId19"/>
                          <a:stretch>
                            <a:fillRect/>
                          </a:stretch>
                        </pic:blipFill>
                        <pic:spPr>
                          <a:xfrm>
                            <a:off x="0" y="0"/>
                            <a:ext cx="1581150" cy="361950"/>
                          </a:xfrm>
                          <a:prstGeom prst="rect">
                            <a:avLst/>
                          </a:prstGeom>
                          <a:noFill/>
                          <a:ln>
                            <a:noFill/>
                          </a:ln>
                        </pic:spPr>
                      </pic:pic>
                    </a:graphicData>
                  </a:graphic>
                </wp:inline>
              </w:drawing>
            </w:r>
          </w:p>
          <w:p w14:paraId="01044737">
            <w:pPr>
              <w:spacing w:line="360" w:lineRule="auto"/>
              <w:ind w:firstLine="480" w:firstLineChars="200"/>
              <w:contextualSpacing/>
              <w:rPr>
                <w:bCs/>
                <w:color w:val="auto"/>
                <w:sz w:val="24"/>
                <w:szCs w:val="24"/>
              </w:rPr>
            </w:pPr>
            <w:r>
              <w:rPr>
                <w:bCs/>
                <w:color w:val="auto"/>
                <w:sz w:val="24"/>
                <w:szCs w:val="24"/>
              </w:rPr>
              <w:t>式中：L</w:t>
            </w:r>
            <w:r>
              <w:rPr>
                <w:bCs/>
                <w:color w:val="auto"/>
                <w:sz w:val="24"/>
                <w:szCs w:val="24"/>
                <w:vertAlign w:val="subscript"/>
              </w:rPr>
              <w:t>p1</w:t>
            </w:r>
            <w:r>
              <w:rPr>
                <w:bCs/>
                <w:color w:val="auto"/>
                <w:sz w:val="24"/>
                <w:szCs w:val="24"/>
              </w:rPr>
              <w:t>为靠近开口处（或窗户）室内某倍频带的声压级或A声级，dB；L</w:t>
            </w:r>
            <w:r>
              <w:rPr>
                <w:bCs/>
                <w:color w:val="auto"/>
                <w:sz w:val="24"/>
                <w:szCs w:val="24"/>
                <w:vertAlign w:val="subscript"/>
              </w:rPr>
              <w:t>w</w:t>
            </w:r>
            <w:r>
              <w:rPr>
                <w:bCs/>
                <w:color w:val="auto"/>
                <w:sz w:val="24"/>
                <w:szCs w:val="24"/>
              </w:rPr>
              <w:t>为点声源声功率级（A计权或倍频带），dB；Q为指向性因数；通常对无指向性声源，当声源放在房间中心时，Q=1；当放在一面墙的中心时，Q=2；当放在两面墙夹角处时，Q=4；当放在三面墙夹角处时，Q=8；R为房间常数；R=Sα/(1-α)，S为房间内表面面积，m</w:t>
            </w:r>
            <w:r>
              <w:rPr>
                <w:bCs/>
                <w:color w:val="auto"/>
                <w:sz w:val="24"/>
                <w:szCs w:val="24"/>
                <w:vertAlign w:val="superscript"/>
              </w:rPr>
              <w:t>2</w:t>
            </w:r>
            <w:r>
              <w:rPr>
                <w:bCs/>
                <w:color w:val="auto"/>
                <w:sz w:val="24"/>
                <w:szCs w:val="24"/>
              </w:rPr>
              <w:t>；α为平均吸声系数；r为声源到靠近围护结构某点处的距离，m。</w:t>
            </w:r>
          </w:p>
          <w:p w14:paraId="1C2CC440">
            <w:pPr>
              <w:spacing w:line="360" w:lineRule="auto"/>
              <w:ind w:firstLine="480" w:firstLineChars="200"/>
              <w:contextualSpacing/>
              <w:rPr>
                <w:bCs/>
                <w:color w:val="auto"/>
                <w:sz w:val="24"/>
                <w:szCs w:val="24"/>
              </w:rPr>
            </w:pPr>
            <w:r>
              <w:rPr>
                <w:bCs/>
                <w:color w:val="auto"/>
                <w:sz w:val="24"/>
                <w:szCs w:val="24"/>
              </w:rPr>
              <w:t>项目设备均放置不靠墙摆放，平均吸声系数取0.07计，项目厂房长约70m、宽约19m，厂房高度一层为7.5m、二、三、四层均为5m，项目位于四层，可算出四层车间内表面面积S分别为3550m</w:t>
            </w:r>
            <w:r>
              <w:rPr>
                <w:bCs/>
                <w:color w:val="auto"/>
                <w:sz w:val="24"/>
                <w:szCs w:val="24"/>
                <w:vertAlign w:val="superscript"/>
              </w:rPr>
              <w:t>2</w:t>
            </w:r>
            <w:r>
              <w:rPr>
                <w:bCs/>
                <w:color w:val="auto"/>
                <w:sz w:val="24"/>
                <w:szCs w:val="24"/>
              </w:rPr>
              <w:t>，房间常数R分别为267.2。</w:t>
            </w:r>
          </w:p>
          <w:p w14:paraId="7C7198B9">
            <w:pPr>
              <w:numPr>
                <w:ilvl w:val="0"/>
                <w:numId w:val="20"/>
              </w:numPr>
              <w:spacing w:line="360" w:lineRule="auto"/>
              <w:ind w:left="0" w:firstLine="480" w:firstLineChars="200"/>
              <w:rPr>
                <w:color w:val="auto"/>
                <w:sz w:val="24"/>
                <w:szCs w:val="24"/>
              </w:rPr>
            </w:pPr>
            <w:r>
              <w:rPr>
                <w:color w:val="auto"/>
                <w:sz w:val="24"/>
                <w:szCs w:val="24"/>
              </w:rPr>
              <w:t>计算出所有室内声源在靠近围护结构处产生的总倍频带声压级：</w:t>
            </w:r>
          </w:p>
          <w:p w14:paraId="2CFCF5DE">
            <w:pPr>
              <w:spacing w:line="360" w:lineRule="auto"/>
              <w:jc w:val="center"/>
              <w:rPr>
                <w:color w:val="auto"/>
                <w:sz w:val="24"/>
                <w:szCs w:val="24"/>
              </w:rPr>
            </w:pPr>
            <w:r>
              <w:rPr>
                <w:color w:val="auto"/>
                <w:sz w:val="24"/>
                <w:szCs w:val="24"/>
              </w:rPr>
              <w:drawing>
                <wp:inline distT="0" distB="0" distL="0" distR="0">
                  <wp:extent cx="1628775" cy="466725"/>
                  <wp:effectExtent l="0" t="0" r="9525" b="9525"/>
                  <wp:docPr id="211624779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47796" name="图片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628775" cy="466725"/>
                          </a:xfrm>
                          <a:prstGeom prst="rect">
                            <a:avLst/>
                          </a:prstGeom>
                          <a:noFill/>
                          <a:ln>
                            <a:noFill/>
                          </a:ln>
                        </pic:spPr>
                      </pic:pic>
                    </a:graphicData>
                  </a:graphic>
                </wp:inline>
              </w:drawing>
            </w:r>
          </w:p>
          <w:p w14:paraId="7F71233B">
            <w:pPr>
              <w:spacing w:line="360" w:lineRule="auto"/>
              <w:ind w:firstLine="480" w:firstLineChars="200"/>
              <w:rPr>
                <w:color w:val="auto"/>
                <w:sz w:val="24"/>
                <w:szCs w:val="24"/>
              </w:rPr>
            </w:pPr>
            <w:r>
              <w:rPr>
                <w:color w:val="auto"/>
                <w:sz w:val="24"/>
                <w:szCs w:val="24"/>
              </w:rPr>
              <w:t>式中：L</w:t>
            </w:r>
            <w:r>
              <w:rPr>
                <w:color w:val="auto"/>
                <w:sz w:val="24"/>
                <w:szCs w:val="24"/>
                <w:vertAlign w:val="subscript"/>
              </w:rPr>
              <w:t>p1i</w:t>
            </w:r>
            <w:r>
              <w:rPr>
                <w:color w:val="auto"/>
                <w:sz w:val="24"/>
                <w:szCs w:val="24"/>
              </w:rPr>
              <w:t>(T)为靠近围护结构处室内N个声源i倍频带的叠加声压级，dB；L</w:t>
            </w:r>
            <w:r>
              <w:rPr>
                <w:color w:val="auto"/>
                <w:sz w:val="24"/>
                <w:szCs w:val="24"/>
                <w:vertAlign w:val="subscript"/>
              </w:rPr>
              <w:t>p1ij</w:t>
            </w:r>
            <w:r>
              <w:rPr>
                <w:color w:val="auto"/>
                <w:sz w:val="24"/>
                <w:szCs w:val="24"/>
              </w:rPr>
              <w:t>为室内j声源i倍频带的声压级，dB；N为室内声源总数。</w:t>
            </w:r>
          </w:p>
          <w:p w14:paraId="3261899E">
            <w:pPr>
              <w:numPr>
                <w:ilvl w:val="0"/>
                <w:numId w:val="20"/>
              </w:numPr>
              <w:spacing w:line="360" w:lineRule="auto"/>
              <w:ind w:left="0" w:firstLine="480" w:firstLineChars="200"/>
              <w:rPr>
                <w:color w:val="auto"/>
                <w:sz w:val="24"/>
                <w:szCs w:val="24"/>
              </w:rPr>
            </w:pPr>
            <w:r>
              <w:rPr>
                <w:color w:val="auto"/>
                <w:sz w:val="24"/>
                <w:szCs w:val="24"/>
              </w:rPr>
              <w:t>在室内近似为扩散声场时，计算出靠近室外围护结构处的声压级：</w:t>
            </w:r>
          </w:p>
          <w:p w14:paraId="62E93D8D">
            <w:pPr>
              <w:spacing w:line="360" w:lineRule="auto"/>
              <w:jc w:val="center"/>
              <w:rPr>
                <w:color w:val="auto"/>
                <w:sz w:val="24"/>
                <w:szCs w:val="24"/>
              </w:rPr>
            </w:pPr>
            <w:r>
              <w:rPr>
                <w:color w:val="auto"/>
                <w:sz w:val="24"/>
                <w:szCs w:val="24"/>
              </w:rPr>
              <w:drawing>
                <wp:inline distT="0" distB="0" distL="0" distR="0">
                  <wp:extent cx="1847850" cy="247650"/>
                  <wp:effectExtent l="0" t="0" r="0" b="0"/>
                  <wp:docPr id="146786506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65065" name="图片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847850" cy="247650"/>
                          </a:xfrm>
                          <a:prstGeom prst="rect">
                            <a:avLst/>
                          </a:prstGeom>
                          <a:noFill/>
                          <a:ln>
                            <a:noFill/>
                          </a:ln>
                        </pic:spPr>
                      </pic:pic>
                    </a:graphicData>
                  </a:graphic>
                </wp:inline>
              </w:drawing>
            </w:r>
          </w:p>
          <w:p w14:paraId="28EB2B2E">
            <w:pPr>
              <w:spacing w:line="360" w:lineRule="auto"/>
              <w:ind w:firstLine="480" w:firstLineChars="200"/>
              <w:rPr>
                <w:color w:val="auto"/>
                <w:sz w:val="24"/>
                <w:szCs w:val="24"/>
              </w:rPr>
            </w:pPr>
            <w:r>
              <w:rPr>
                <w:color w:val="auto"/>
                <w:sz w:val="24"/>
                <w:szCs w:val="24"/>
              </w:rPr>
              <w:t>式中：L</w:t>
            </w:r>
            <w:r>
              <w:rPr>
                <w:color w:val="auto"/>
                <w:sz w:val="24"/>
                <w:szCs w:val="24"/>
                <w:vertAlign w:val="subscript"/>
              </w:rPr>
              <w:t>p2i</w:t>
            </w:r>
            <w:r>
              <w:rPr>
                <w:color w:val="auto"/>
                <w:sz w:val="24"/>
                <w:szCs w:val="24"/>
              </w:rPr>
              <w:t>(T)为靠近围护结构处室外N个声源i倍频带的叠加声压级，dB；TL</w:t>
            </w:r>
            <w:r>
              <w:rPr>
                <w:color w:val="auto"/>
                <w:sz w:val="24"/>
                <w:szCs w:val="24"/>
                <w:vertAlign w:val="subscript"/>
              </w:rPr>
              <w:t>i</w:t>
            </w:r>
            <w:r>
              <w:rPr>
                <w:color w:val="auto"/>
                <w:sz w:val="24"/>
                <w:szCs w:val="24"/>
              </w:rPr>
              <w:t>为围护结构i倍频带的隔声量，dB。</w:t>
            </w:r>
          </w:p>
          <w:p w14:paraId="60E45F32">
            <w:pPr>
              <w:spacing w:line="360" w:lineRule="auto"/>
              <w:ind w:firstLine="480" w:firstLineChars="200"/>
              <w:rPr>
                <w:color w:val="auto"/>
                <w:sz w:val="24"/>
                <w:szCs w:val="24"/>
              </w:rPr>
            </w:pPr>
            <w:r>
              <w:rPr>
                <w:color w:val="auto"/>
                <w:sz w:val="24"/>
                <w:szCs w:val="24"/>
              </w:rPr>
              <w:t xml:space="preserve">然后按室外声源预测方法计算预测点处的A声级。 </w:t>
            </w:r>
          </w:p>
          <w:p w14:paraId="3424F90D">
            <w:pPr>
              <w:numPr>
                <w:ilvl w:val="0"/>
                <w:numId w:val="20"/>
              </w:numPr>
              <w:spacing w:line="360" w:lineRule="auto"/>
              <w:ind w:left="0" w:firstLine="480" w:firstLineChars="200"/>
              <w:rPr>
                <w:color w:val="auto"/>
                <w:sz w:val="24"/>
                <w:szCs w:val="24"/>
              </w:rPr>
            </w:pPr>
            <w:r>
              <w:rPr>
                <w:color w:val="auto"/>
                <w:sz w:val="24"/>
                <w:szCs w:val="24"/>
              </w:rPr>
              <w:t>计算某一户外声源</w:t>
            </w:r>
            <w:r>
              <w:rPr>
                <w:bCs/>
                <w:color w:val="auto"/>
                <w:sz w:val="24"/>
                <w:szCs w:val="24"/>
              </w:rPr>
              <w:t>在预测点的倍频带声压级：</w:t>
            </w:r>
          </w:p>
          <w:p w14:paraId="0973332E">
            <w:pPr>
              <w:spacing w:line="360" w:lineRule="auto"/>
              <w:ind w:firstLine="480" w:firstLineChars="200"/>
              <w:rPr>
                <w:color w:val="auto"/>
                <w:sz w:val="24"/>
                <w:szCs w:val="24"/>
              </w:rPr>
            </w:pPr>
            <w:r>
              <w:rPr>
                <w:color w:val="auto"/>
                <w:sz w:val="24"/>
                <w:szCs w:val="24"/>
              </w:rPr>
              <w:t>户外声传播衰减包括几何发散（A</w:t>
            </w:r>
            <w:r>
              <w:rPr>
                <w:color w:val="auto"/>
                <w:sz w:val="24"/>
                <w:szCs w:val="24"/>
                <w:vertAlign w:val="subscript"/>
              </w:rPr>
              <w:t>div</w:t>
            </w:r>
            <w:r>
              <w:rPr>
                <w:color w:val="auto"/>
                <w:sz w:val="24"/>
                <w:szCs w:val="24"/>
              </w:rPr>
              <w:t>）、大气吸收（A</w:t>
            </w:r>
            <w:r>
              <w:rPr>
                <w:color w:val="auto"/>
                <w:sz w:val="24"/>
                <w:szCs w:val="24"/>
                <w:vertAlign w:val="subscript"/>
              </w:rPr>
              <w:t>atm</w:t>
            </w:r>
            <w:r>
              <w:rPr>
                <w:color w:val="auto"/>
                <w:sz w:val="24"/>
                <w:szCs w:val="24"/>
              </w:rPr>
              <w:t>）、地面效应（A</w:t>
            </w:r>
            <w:r>
              <w:rPr>
                <w:color w:val="auto"/>
                <w:sz w:val="24"/>
                <w:szCs w:val="24"/>
                <w:vertAlign w:val="subscript"/>
              </w:rPr>
              <w:t>gr</w:t>
            </w:r>
            <w:r>
              <w:rPr>
                <w:color w:val="auto"/>
                <w:sz w:val="24"/>
                <w:szCs w:val="24"/>
              </w:rPr>
              <w:t>）、障碍物屏蔽（A</w:t>
            </w:r>
            <w:r>
              <w:rPr>
                <w:color w:val="auto"/>
                <w:sz w:val="24"/>
                <w:szCs w:val="24"/>
                <w:vertAlign w:val="subscript"/>
              </w:rPr>
              <w:t>bar</w:t>
            </w:r>
            <w:r>
              <w:rPr>
                <w:color w:val="auto"/>
                <w:sz w:val="24"/>
                <w:szCs w:val="24"/>
              </w:rPr>
              <w:t>）、其他多方面效应（A</w:t>
            </w:r>
            <w:r>
              <w:rPr>
                <w:color w:val="auto"/>
                <w:sz w:val="24"/>
                <w:szCs w:val="24"/>
                <w:vertAlign w:val="subscript"/>
              </w:rPr>
              <w:t>misc</w:t>
            </w:r>
            <w:r>
              <w:rPr>
                <w:color w:val="auto"/>
                <w:sz w:val="24"/>
                <w:szCs w:val="24"/>
              </w:rPr>
              <w:t>）引起的衰减。在只考虑几何发散衰减时，可按下式计算。</w:t>
            </w:r>
          </w:p>
          <w:p w14:paraId="237F1BD1">
            <w:pPr>
              <w:spacing w:line="360" w:lineRule="auto"/>
              <w:jc w:val="center"/>
              <w:rPr>
                <w:color w:val="auto"/>
                <w:sz w:val="24"/>
                <w:szCs w:val="24"/>
              </w:rPr>
            </w:pPr>
            <w:r>
              <w:rPr>
                <w:color w:val="auto"/>
                <w:sz w:val="24"/>
                <w:szCs w:val="24"/>
              </w:rPr>
              <w:drawing>
                <wp:inline distT="0" distB="0" distL="0" distR="0">
                  <wp:extent cx="1266825" cy="285750"/>
                  <wp:effectExtent l="0" t="0" r="9525" b="0"/>
                  <wp:docPr id="15241793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179303" name="图片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266825" cy="285750"/>
                          </a:xfrm>
                          <a:prstGeom prst="rect">
                            <a:avLst/>
                          </a:prstGeom>
                          <a:noFill/>
                          <a:ln>
                            <a:noFill/>
                          </a:ln>
                        </pic:spPr>
                      </pic:pic>
                    </a:graphicData>
                  </a:graphic>
                </wp:inline>
              </w:drawing>
            </w:r>
          </w:p>
          <w:p w14:paraId="5E5AEBED">
            <w:pPr>
              <w:spacing w:line="360" w:lineRule="auto"/>
              <w:ind w:firstLine="480" w:firstLineChars="200"/>
              <w:rPr>
                <w:color w:val="auto"/>
                <w:sz w:val="24"/>
                <w:szCs w:val="24"/>
              </w:rPr>
            </w:pPr>
            <w:r>
              <w:rPr>
                <w:color w:val="auto"/>
                <w:sz w:val="24"/>
                <w:szCs w:val="24"/>
              </w:rPr>
              <w:t>式中：L</w:t>
            </w:r>
            <w:r>
              <w:rPr>
                <w:color w:val="auto"/>
                <w:sz w:val="24"/>
                <w:szCs w:val="24"/>
                <w:vertAlign w:val="subscript"/>
              </w:rPr>
              <w:t>A</w:t>
            </w:r>
            <w:r>
              <w:rPr>
                <w:color w:val="auto"/>
                <w:sz w:val="24"/>
                <w:szCs w:val="24"/>
              </w:rPr>
              <w:t>(r) 为距声源r处的A声级，dB(A)；L</w:t>
            </w:r>
            <w:r>
              <w:rPr>
                <w:color w:val="auto"/>
                <w:sz w:val="24"/>
                <w:szCs w:val="24"/>
                <w:vertAlign w:val="subscript"/>
              </w:rPr>
              <w:t>A</w:t>
            </w:r>
            <w:r>
              <w:rPr>
                <w:color w:val="auto"/>
                <w:sz w:val="24"/>
                <w:szCs w:val="24"/>
              </w:rPr>
              <w:t>(</w:t>
            </w:r>
            <m:oMath>
              <m:sSub>
                <m:sSubPr>
                  <m:ctrlPr>
                    <w:rPr>
                      <w:rFonts w:ascii="Cambria Math" w:hAnsi="Cambria Math"/>
                      <w:i/>
                      <w:color w:val="auto"/>
                      <w:sz w:val="24"/>
                      <w:szCs w:val="24"/>
                    </w:rPr>
                  </m:ctrlPr>
                </m:sSubPr>
                <m:e>
                  <m:r>
                    <m:rPr>
                      <m:nor/>
                    </m:rPr>
                    <w:rPr>
                      <w:i/>
                      <w:color w:val="auto"/>
                      <w:sz w:val="24"/>
                      <w:szCs w:val="24"/>
                    </w:rPr>
                    <m:t>r</m:t>
                  </m:r>
                  <m:ctrlPr>
                    <w:rPr>
                      <w:rFonts w:ascii="Cambria Math" w:hAnsi="Cambria Math"/>
                      <w:i/>
                      <w:color w:val="auto"/>
                      <w:sz w:val="24"/>
                      <w:szCs w:val="24"/>
                    </w:rPr>
                  </m:ctrlPr>
                </m:e>
                <m:sub>
                  <m:r>
                    <m:rPr>
                      <m:nor/>
                      <m:sty m:val="p"/>
                    </m:rPr>
                    <w:rPr>
                      <w:b w:val="0"/>
                      <w:i w:val="0"/>
                      <w:color w:val="auto"/>
                      <w:sz w:val="24"/>
                      <w:szCs w:val="24"/>
                    </w:rPr>
                    <m:t>0</m:t>
                  </m:r>
                  <m:ctrlPr>
                    <w:rPr>
                      <w:rFonts w:ascii="Cambria Math" w:hAnsi="Cambria Math"/>
                      <w:i/>
                      <w:color w:val="auto"/>
                      <w:sz w:val="24"/>
                      <w:szCs w:val="24"/>
                    </w:rPr>
                  </m:ctrlPr>
                </m:sub>
              </m:sSub>
            </m:oMath>
            <w:r>
              <w:rPr>
                <w:color w:val="auto"/>
                <w:sz w:val="24"/>
                <w:szCs w:val="24"/>
              </w:rPr>
              <w:t>)为参考位置</w:t>
            </w:r>
            <m:oMath>
              <m:sSub>
                <m:sSubPr>
                  <m:ctrlPr>
                    <w:rPr>
                      <w:rFonts w:ascii="Cambria Math" w:hAnsi="Cambria Math"/>
                      <w:i/>
                      <w:color w:val="auto"/>
                      <w:sz w:val="24"/>
                      <w:szCs w:val="24"/>
                    </w:rPr>
                  </m:ctrlPr>
                </m:sSubPr>
                <m:e>
                  <m:r>
                    <m:rPr>
                      <m:nor/>
                    </m:rPr>
                    <w:rPr>
                      <w:i/>
                      <w:color w:val="auto"/>
                      <w:sz w:val="24"/>
                      <w:szCs w:val="24"/>
                    </w:rPr>
                    <m:t>r</m:t>
                  </m:r>
                  <m:ctrlPr>
                    <w:rPr>
                      <w:rFonts w:ascii="Cambria Math" w:hAnsi="Cambria Math"/>
                      <w:i/>
                      <w:color w:val="auto"/>
                      <w:sz w:val="24"/>
                      <w:szCs w:val="24"/>
                    </w:rPr>
                  </m:ctrlPr>
                </m:e>
                <m:sub>
                  <m:r>
                    <m:rPr>
                      <m:nor/>
                      <m:sty m:val="p"/>
                    </m:rPr>
                    <w:rPr>
                      <w:b w:val="0"/>
                      <w:i w:val="0"/>
                      <w:color w:val="auto"/>
                      <w:sz w:val="24"/>
                      <w:szCs w:val="24"/>
                    </w:rPr>
                    <m:t>0</m:t>
                  </m:r>
                  <m:ctrlPr>
                    <w:rPr>
                      <w:rFonts w:ascii="Cambria Math" w:hAnsi="Cambria Math"/>
                      <w:i/>
                      <w:color w:val="auto"/>
                      <w:sz w:val="24"/>
                      <w:szCs w:val="24"/>
                    </w:rPr>
                  </m:ctrlPr>
                </m:sub>
              </m:sSub>
            </m:oMath>
            <w:r>
              <w:rPr>
                <w:color w:val="auto"/>
                <w:sz w:val="24"/>
                <w:szCs w:val="24"/>
              </w:rPr>
              <w:t>处的A声级，dB(A)；A</w:t>
            </w:r>
            <w:r>
              <w:rPr>
                <w:color w:val="auto"/>
                <w:sz w:val="24"/>
                <w:szCs w:val="24"/>
                <w:vertAlign w:val="subscript"/>
              </w:rPr>
              <w:t>div</w:t>
            </w:r>
            <w:r>
              <w:rPr>
                <w:color w:val="auto"/>
                <w:sz w:val="24"/>
                <w:szCs w:val="24"/>
              </w:rPr>
              <w:t>为几何发散引起的衰减，dB。</w:t>
            </w:r>
          </w:p>
          <w:p w14:paraId="6119DC7B">
            <w:pPr>
              <w:spacing w:line="360" w:lineRule="auto"/>
              <w:ind w:firstLine="480" w:firstLineChars="200"/>
              <w:rPr>
                <w:color w:val="auto"/>
                <w:sz w:val="24"/>
                <w:szCs w:val="24"/>
              </w:rPr>
            </w:pPr>
            <w:r>
              <w:rPr>
                <w:color w:val="auto"/>
                <w:sz w:val="24"/>
                <w:szCs w:val="24"/>
              </w:rPr>
              <w:t>参考长方形面声源中心轴线上的声衰减曲线，当预测点和面声源中心距离r处于以下条件时，可按下述方法近似计算：r＜a/π时，几乎不衰减（Adiv≈0）；当a/π＜r＜b/π，距离加倍衰减3dB左右，类似线声源衰减特性（Adiv≈10lg(r/</w:t>
            </w:r>
            <m:oMath>
              <m:sSub>
                <m:sSubPr>
                  <m:ctrlPr>
                    <w:rPr>
                      <w:rFonts w:ascii="Cambria Math" w:hAnsi="Cambria Math"/>
                      <w:i/>
                      <w:color w:val="auto"/>
                      <w:sz w:val="24"/>
                      <w:szCs w:val="24"/>
                    </w:rPr>
                  </m:ctrlPr>
                </m:sSubPr>
                <m:e>
                  <m:r>
                    <m:rPr>
                      <m:nor/>
                    </m:rPr>
                    <w:rPr>
                      <w:i/>
                      <w:color w:val="auto"/>
                      <w:sz w:val="24"/>
                      <w:szCs w:val="24"/>
                    </w:rPr>
                    <m:t>r</m:t>
                  </m:r>
                  <m:ctrlPr>
                    <w:rPr>
                      <w:rFonts w:ascii="Cambria Math" w:hAnsi="Cambria Math"/>
                      <w:i/>
                      <w:color w:val="auto"/>
                      <w:sz w:val="24"/>
                      <w:szCs w:val="24"/>
                    </w:rPr>
                  </m:ctrlPr>
                </m:e>
                <m:sub>
                  <m:r>
                    <m:rPr>
                      <m:nor/>
                      <m:sty m:val="p"/>
                    </m:rPr>
                    <w:rPr>
                      <w:b w:val="0"/>
                      <w:i w:val="0"/>
                      <w:color w:val="auto"/>
                      <w:sz w:val="24"/>
                      <w:szCs w:val="24"/>
                    </w:rPr>
                    <m:t>0</m:t>
                  </m:r>
                  <m:ctrlPr>
                    <w:rPr>
                      <w:rFonts w:ascii="Cambria Math" w:hAnsi="Cambria Math"/>
                      <w:i/>
                      <w:color w:val="auto"/>
                      <w:sz w:val="24"/>
                      <w:szCs w:val="24"/>
                    </w:rPr>
                  </m:ctrlPr>
                </m:sub>
              </m:sSub>
            </m:oMath>
            <w:r>
              <w:rPr>
                <w:color w:val="auto"/>
                <w:sz w:val="24"/>
                <w:szCs w:val="24"/>
              </w:rPr>
              <w:t>)）；当r＞b/π时，距离加倍衰减趋近于6dB，类似点声源衰减特性（Adiv≈20lg(r/r0)）。其中a、b为面声源的边长，且b＞a。</w:t>
            </w:r>
          </w:p>
          <w:p w14:paraId="382C3E6A">
            <w:pPr>
              <w:spacing w:line="360" w:lineRule="auto"/>
              <w:ind w:firstLine="480" w:firstLineChars="200"/>
              <w:rPr>
                <w:color w:val="auto"/>
                <w:sz w:val="24"/>
                <w:szCs w:val="24"/>
              </w:rPr>
            </w:pPr>
            <w:r>
              <w:rPr>
                <w:color w:val="auto"/>
                <w:kern w:val="0"/>
                <w:sz w:val="24"/>
                <w:szCs w:val="24"/>
              </w:rPr>
              <w:t>根据现场勘查，项目噪声来源于生产设备运转噪声，夜间不生产，根据《噪声污染物控制工程》（高等教育出版社，洪宗辉）中资料，砖墙为双面粉刷的车间墙体，实测的隔声量为49dB(A)，项目生产车间为砖墙双面粉刷的车间墙体，考虑到开门开窗和门窗面积对隔声的负面影响，实际隔声量按15dB(A)进行计算。项目噪声预测结果如下表所示。</w:t>
            </w:r>
          </w:p>
          <w:p w14:paraId="14633949">
            <w:pPr>
              <w:pStyle w:val="164"/>
              <w:spacing w:line="360" w:lineRule="auto"/>
              <w:rPr>
                <w:color w:val="auto"/>
                <w:sz w:val="24"/>
                <w:szCs w:val="24"/>
              </w:rPr>
            </w:pPr>
            <w:r>
              <w:rPr>
                <w:color w:val="auto"/>
                <w:sz w:val="24"/>
                <w:szCs w:val="24"/>
              </w:rPr>
              <w:t>表</w:t>
            </w:r>
            <w:r>
              <w:rPr>
                <w:color w:val="auto"/>
                <w:sz w:val="24"/>
                <w:szCs w:val="24"/>
              </w:rPr>
              <w:fldChar w:fldCharType="begin"/>
            </w:r>
            <w:r>
              <w:rPr>
                <w:color w:val="auto"/>
                <w:sz w:val="24"/>
                <w:szCs w:val="24"/>
              </w:rPr>
              <w:instrText xml:space="preserve"> SEQ 表 \* ARABIC </w:instrText>
            </w:r>
            <w:r>
              <w:rPr>
                <w:color w:val="auto"/>
                <w:sz w:val="24"/>
                <w:szCs w:val="24"/>
              </w:rPr>
              <w:fldChar w:fldCharType="separate"/>
            </w:r>
            <w:r>
              <w:rPr>
                <w:color w:val="auto"/>
                <w:sz w:val="24"/>
                <w:szCs w:val="24"/>
              </w:rPr>
              <w:t>45</w:t>
            </w:r>
            <w:r>
              <w:rPr>
                <w:color w:val="auto"/>
                <w:sz w:val="24"/>
                <w:szCs w:val="24"/>
              </w:rPr>
              <w:fldChar w:fldCharType="end"/>
            </w:r>
            <w:r>
              <w:rPr>
                <w:color w:val="auto"/>
                <w:sz w:val="24"/>
                <w:szCs w:val="24"/>
              </w:rPr>
              <w:t xml:space="preserve">  项目噪声预测结果一览表（一）</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74"/>
              <w:gridCol w:w="1116"/>
              <w:gridCol w:w="479"/>
              <w:gridCol w:w="454"/>
              <w:gridCol w:w="553"/>
              <w:gridCol w:w="467"/>
              <w:gridCol w:w="478"/>
              <w:gridCol w:w="504"/>
              <w:gridCol w:w="699"/>
              <w:gridCol w:w="504"/>
              <w:gridCol w:w="951"/>
            </w:tblGrid>
            <w:tr w14:paraId="06DB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1" w:type="dxa"/>
                  <w:vMerge w:val="restart"/>
                  <w:shd w:val="clear" w:color="auto" w:fill="auto"/>
                  <w:tcMar>
                    <w:top w:w="0" w:type="dxa"/>
                    <w:left w:w="0" w:type="dxa"/>
                    <w:bottom w:w="0" w:type="dxa"/>
                    <w:right w:w="0" w:type="dxa"/>
                  </w:tcMar>
                  <w:vAlign w:val="center"/>
                </w:tcPr>
                <w:p w14:paraId="3D9951A7">
                  <w:pPr>
                    <w:jc w:val="center"/>
                    <w:rPr>
                      <w:b/>
                      <w:bCs/>
                      <w:color w:val="auto"/>
                      <w:szCs w:val="21"/>
                    </w:rPr>
                  </w:pPr>
                  <w:r>
                    <w:rPr>
                      <w:b/>
                      <w:bCs/>
                      <w:color w:val="auto"/>
                      <w:szCs w:val="21"/>
                    </w:rPr>
                    <w:t>建筑物名称</w:t>
                  </w:r>
                </w:p>
              </w:tc>
              <w:tc>
                <w:tcPr>
                  <w:tcW w:w="1474" w:type="dxa"/>
                  <w:vMerge w:val="restart"/>
                  <w:shd w:val="clear" w:color="auto" w:fill="auto"/>
                  <w:tcMar>
                    <w:top w:w="0" w:type="dxa"/>
                    <w:left w:w="0" w:type="dxa"/>
                    <w:bottom w:w="0" w:type="dxa"/>
                    <w:right w:w="0" w:type="dxa"/>
                  </w:tcMar>
                  <w:vAlign w:val="center"/>
                </w:tcPr>
                <w:p w14:paraId="3DDE4CFC">
                  <w:pPr>
                    <w:jc w:val="center"/>
                    <w:rPr>
                      <w:b/>
                      <w:bCs/>
                      <w:color w:val="auto"/>
                      <w:szCs w:val="21"/>
                    </w:rPr>
                  </w:pPr>
                  <w:r>
                    <w:rPr>
                      <w:b/>
                      <w:bCs/>
                      <w:color w:val="auto"/>
                      <w:szCs w:val="21"/>
                    </w:rPr>
                    <w:t>声源名称</w:t>
                  </w:r>
                </w:p>
              </w:tc>
              <w:tc>
                <w:tcPr>
                  <w:tcW w:w="1116" w:type="dxa"/>
                  <w:vMerge w:val="restart"/>
                  <w:shd w:val="clear" w:color="auto" w:fill="auto"/>
                  <w:tcMar>
                    <w:top w:w="0" w:type="dxa"/>
                    <w:left w:w="0" w:type="dxa"/>
                    <w:bottom w:w="0" w:type="dxa"/>
                    <w:right w:w="0" w:type="dxa"/>
                  </w:tcMar>
                  <w:vAlign w:val="center"/>
                </w:tcPr>
                <w:p w14:paraId="143C26CF">
                  <w:pPr>
                    <w:jc w:val="center"/>
                    <w:rPr>
                      <w:b/>
                      <w:bCs/>
                      <w:color w:val="auto"/>
                      <w:szCs w:val="21"/>
                    </w:rPr>
                  </w:pPr>
                  <w:r>
                    <w:rPr>
                      <w:b/>
                      <w:bCs/>
                      <w:color w:val="auto"/>
                      <w:szCs w:val="21"/>
                    </w:rPr>
                    <w:t>噪声源强叠加值/dB(A)</w:t>
                  </w:r>
                </w:p>
              </w:tc>
              <w:tc>
                <w:tcPr>
                  <w:tcW w:w="4138" w:type="dxa"/>
                  <w:gridSpan w:val="8"/>
                  <w:shd w:val="clear" w:color="auto" w:fill="auto"/>
                  <w:tcMar>
                    <w:top w:w="0" w:type="dxa"/>
                    <w:left w:w="0" w:type="dxa"/>
                    <w:bottom w:w="0" w:type="dxa"/>
                    <w:right w:w="0" w:type="dxa"/>
                  </w:tcMar>
                  <w:vAlign w:val="center"/>
                </w:tcPr>
                <w:p w14:paraId="62A97CB5">
                  <w:pPr>
                    <w:jc w:val="center"/>
                    <w:rPr>
                      <w:b/>
                      <w:bCs/>
                      <w:color w:val="auto"/>
                      <w:szCs w:val="21"/>
                    </w:rPr>
                  </w:pPr>
                  <w:r>
                    <w:rPr>
                      <w:b/>
                      <w:bCs/>
                      <w:color w:val="auto"/>
                      <w:szCs w:val="21"/>
                    </w:rPr>
                    <w:t>室内边界声级/dB(A)</w:t>
                  </w:r>
                </w:p>
              </w:tc>
              <w:tc>
                <w:tcPr>
                  <w:tcW w:w="951" w:type="dxa"/>
                  <w:vMerge w:val="restart"/>
                  <w:tcMar>
                    <w:top w:w="0" w:type="dxa"/>
                    <w:left w:w="0" w:type="dxa"/>
                    <w:bottom w:w="0" w:type="dxa"/>
                    <w:right w:w="0" w:type="dxa"/>
                  </w:tcMar>
                  <w:vAlign w:val="center"/>
                </w:tcPr>
                <w:p w14:paraId="1B221DB9">
                  <w:pPr>
                    <w:jc w:val="center"/>
                    <w:rPr>
                      <w:b/>
                      <w:bCs/>
                      <w:color w:val="auto"/>
                      <w:szCs w:val="21"/>
                    </w:rPr>
                  </w:pPr>
                  <w:r>
                    <w:rPr>
                      <w:b/>
                      <w:bCs/>
                      <w:color w:val="auto"/>
                      <w:szCs w:val="21"/>
                    </w:rPr>
                    <w:t>运行时段</w:t>
                  </w:r>
                </w:p>
              </w:tc>
            </w:tr>
            <w:tr w14:paraId="1509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1" w:type="dxa"/>
                  <w:vMerge w:val="continue"/>
                  <w:tcMar>
                    <w:top w:w="0" w:type="dxa"/>
                    <w:left w:w="0" w:type="dxa"/>
                    <w:bottom w:w="0" w:type="dxa"/>
                    <w:right w:w="0" w:type="dxa"/>
                  </w:tcMar>
                  <w:vAlign w:val="center"/>
                </w:tcPr>
                <w:p w14:paraId="1AA55A04">
                  <w:pPr>
                    <w:jc w:val="center"/>
                    <w:rPr>
                      <w:color w:val="auto"/>
                      <w:szCs w:val="21"/>
                    </w:rPr>
                  </w:pPr>
                </w:p>
              </w:tc>
              <w:tc>
                <w:tcPr>
                  <w:tcW w:w="1474" w:type="dxa"/>
                  <w:vMerge w:val="continue"/>
                  <w:tcMar>
                    <w:top w:w="0" w:type="dxa"/>
                    <w:left w:w="0" w:type="dxa"/>
                    <w:bottom w:w="0" w:type="dxa"/>
                    <w:right w:w="0" w:type="dxa"/>
                  </w:tcMar>
                  <w:vAlign w:val="center"/>
                </w:tcPr>
                <w:p w14:paraId="547AF8DC">
                  <w:pPr>
                    <w:jc w:val="center"/>
                    <w:rPr>
                      <w:color w:val="auto"/>
                      <w:szCs w:val="21"/>
                    </w:rPr>
                  </w:pPr>
                </w:p>
              </w:tc>
              <w:tc>
                <w:tcPr>
                  <w:tcW w:w="1116" w:type="dxa"/>
                  <w:vMerge w:val="continue"/>
                  <w:tcMar>
                    <w:top w:w="0" w:type="dxa"/>
                    <w:left w:w="0" w:type="dxa"/>
                    <w:bottom w:w="0" w:type="dxa"/>
                    <w:right w:w="0" w:type="dxa"/>
                  </w:tcMar>
                  <w:vAlign w:val="center"/>
                </w:tcPr>
                <w:p w14:paraId="0CA9EC9D">
                  <w:pPr>
                    <w:jc w:val="center"/>
                    <w:rPr>
                      <w:color w:val="auto"/>
                      <w:szCs w:val="21"/>
                    </w:rPr>
                  </w:pPr>
                </w:p>
              </w:tc>
              <w:tc>
                <w:tcPr>
                  <w:tcW w:w="933" w:type="dxa"/>
                  <w:gridSpan w:val="2"/>
                  <w:shd w:val="clear" w:color="auto" w:fill="auto"/>
                  <w:tcMar>
                    <w:top w:w="0" w:type="dxa"/>
                    <w:left w:w="0" w:type="dxa"/>
                    <w:bottom w:w="0" w:type="dxa"/>
                    <w:right w:w="0" w:type="dxa"/>
                  </w:tcMar>
                  <w:vAlign w:val="center"/>
                </w:tcPr>
                <w:p w14:paraId="6DE6EA98">
                  <w:pPr>
                    <w:jc w:val="center"/>
                    <w:rPr>
                      <w:b/>
                      <w:bCs/>
                      <w:color w:val="auto"/>
                      <w:szCs w:val="21"/>
                    </w:rPr>
                  </w:pPr>
                  <w:r>
                    <w:rPr>
                      <w:b/>
                      <w:bCs/>
                      <w:color w:val="auto"/>
                      <w:szCs w:val="21"/>
                    </w:rPr>
                    <w:t>东边界</w:t>
                  </w:r>
                </w:p>
              </w:tc>
              <w:tc>
                <w:tcPr>
                  <w:tcW w:w="1020" w:type="dxa"/>
                  <w:gridSpan w:val="2"/>
                  <w:shd w:val="clear" w:color="auto" w:fill="auto"/>
                  <w:tcMar>
                    <w:top w:w="0" w:type="dxa"/>
                    <w:left w:w="0" w:type="dxa"/>
                    <w:bottom w:w="0" w:type="dxa"/>
                    <w:right w:w="0" w:type="dxa"/>
                  </w:tcMar>
                  <w:vAlign w:val="center"/>
                </w:tcPr>
                <w:p w14:paraId="4EC2C5D3">
                  <w:pPr>
                    <w:jc w:val="center"/>
                    <w:rPr>
                      <w:b/>
                      <w:bCs/>
                      <w:color w:val="auto"/>
                      <w:szCs w:val="21"/>
                    </w:rPr>
                  </w:pPr>
                  <w:r>
                    <w:rPr>
                      <w:b/>
                      <w:bCs/>
                      <w:color w:val="auto"/>
                      <w:szCs w:val="21"/>
                    </w:rPr>
                    <w:t>南边界</w:t>
                  </w:r>
                </w:p>
              </w:tc>
              <w:tc>
                <w:tcPr>
                  <w:tcW w:w="982" w:type="dxa"/>
                  <w:gridSpan w:val="2"/>
                  <w:shd w:val="clear" w:color="auto" w:fill="auto"/>
                  <w:tcMar>
                    <w:top w:w="0" w:type="dxa"/>
                    <w:left w:w="0" w:type="dxa"/>
                    <w:bottom w:w="0" w:type="dxa"/>
                    <w:right w:w="0" w:type="dxa"/>
                  </w:tcMar>
                  <w:vAlign w:val="center"/>
                </w:tcPr>
                <w:p w14:paraId="212C0C31">
                  <w:pPr>
                    <w:jc w:val="center"/>
                    <w:rPr>
                      <w:b/>
                      <w:bCs/>
                      <w:color w:val="auto"/>
                      <w:szCs w:val="21"/>
                    </w:rPr>
                  </w:pPr>
                  <w:r>
                    <w:rPr>
                      <w:b/>
                      <w:bCs/>
                      <w:color w:val="auto"/>
                      <w:szCs w:val="21"/>
                    </w:rPr>
                    <w:t>西边界</w:t>
                  </w:r>
                </w:p>
              </w:tc>
              <w:tc>
                <w:tcPr>
                  <w:tcW w:w="1203" w:type="dxa"/>
                  <w:gridSpan w:val="2"/>
                  <w:shd w:val="clear" w:color="auto" w:fill="auto"/>
                  <w:tcMar>
                    <w:top w:w="0" w:type="dxa"/>
                    <w:left w:w="0" w:type="dxa"/>
                    <w:bottom w:w="0" w:type="dxa"/>
                    <w:right w:w="0" w:type="dxa"/>
                  </w:tcMar>
                  <w:vAlign w:val="center"/>
                </w:tcPr>
                <w:p w14:paraId="31DC73CA">
                  <w:pPr>
                    <w:jc w:val="center"/>
                    <w:rPr>
                      <w:b/>
                      <w:bCs/>
                      <w:color w:val="auto"/>
                      <w:szCs w:val="21"/>
                    </w:rPr>
                  </w:pPr>
                  <w:r>
                    <w:rPr>
                      <w:b/>
                      <w:bCs/>
                      <w:color w:val="auto"/>
                      <w:szCs w:val="21"/>
                    </w:rPr>
                    <w:t>北边界</w:t>
                  </w:r>
                </w:p>
              </w:tc>
              <w:tc>
                <w:tcPr>
                  <w:tcW w:w="951" w:type="dxa"/>
                  <w:vMerge w:val="continue"/>
                  <w:tcMar>
                    <w:top w:w="0" w:type="dxa"/>
                    <w:left w:w="0" w:type="dxa"/>
                    <w:bottom w:w="0" w:type="dxa"/>
                    <w:right w:w="0" w:type="dxa"/>
                  </w:tcMar>
                  <w:vAlign w:val="center"/>
                </w:tcPr>
                <w:p w14:paraId="7152EADD">
                  <w:pPr>
                    <w:jc w:val="center"/>
                    <w:rPr>
                      <w:b/>
                      <w:bCs/>
                      <w:color w:val="auto"/>
                      <w:szCs w:val="21"/>
                    </w:rPr>
                  </w:pPr>
                </w:p>
              </w:tc>
            </w:tr>
            <w:tr w14:paraId="7280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1" w:type="dxa"/>
                  <w:vMerge w:val="restart"/>
                  <w:tcMar>
                    <w:top w:w="0" w:type="dxa"/>
                    <w:left w:w="0" w:type="dxa"/>
                    <w:bottom w:w="0" w:type="dxa"/>
                    <w:right w:w="0" w:type="dxa"/>
                  </w:tcMar>
                  <w:vAlign w:val="center"/>
                </w:tcPr>
                <w:p w14:paraId="1A7809DA">
                  <w:pPr>
                    <w:jc w:val="center"/>
                    <w:rPr>
                      <w:color w:val="auto"/>
                      <w:szCs w:val="21"/>
                    </w:rPr>
                  </w:pPr>
                  <w:r>
                    <w:rPr>
                      <w:color w:val="auto"/>
                      <w:szCs w:val="21"/>
                    </w:rPr>
                    <w:t>4层</w:t>
                  </w:r>
                </w:p>
              </w:tc>
              <w:tc>
                <w:tcPr>
                  <w:tcW w:w="1474" w:type="dxa"/>
                  <w:shd w:val="clear" w:color="auto" w:fill="auto"/>
                  <w:noWrap/>
                  <w:tcMar>
                    <w:top w:w="0" w:type="dxa"/>
                    <w:left w:w="0" w:type="dxa"/>
                    <w:bottom w:w="0" w:type="dxa"/>
                    <w:right w:w="0" w:type="dxa"/>
                  </w:tcMar>
                  <w:vAlign w:val="center"/>
                </w:tcPr>
                <w:p w14:paraId="0A1EAF4A">
                  <w:pPr>
                    <w:widowControl/>
                    <w:adjustRightInd w:val="0"/>
                    <w:jc w:val="center"/>
                    <w:textAlignment w:val="center"/>
                    <w:rPr>
                      <w:color w:val="auto"/>
                      <w:szCs w:val="21"/>
                    </w:rPr>
                  </w:pPr>
                  <w:r>
                    <w:rPr>
                      <w:color w:val="auto"/>
                      <w:szCs w:val="21"/>
                    </w:rPr>
                    <w:t>搅拌锅</w:t>
                  </w:r>
                </w:p>
              </w:tc>
              <w:tc>
                <w:tcPr>
                  <w:tcW w:w="1116" w:type="dxa"/>
                  <w:shd w:val="clear" w:color="auto" w:fill="auto"/>
                  <w:noWrap/>
                  <w:tcMar>
                    <w:top w:w="0" w:type="dxa"/>
                    <w:left w:w="0" w:type="dxa"/>
                    <w:bottom w:w="0" w:type="dxa"/>
                    <w:right w:w="0" w:type="dxa"/>
                  </w:tcMar>
                  <w:vAlign w:val="center"/>
                </w:tcPr>
                <w:p w14:paraId="56375B1C">
                  <w:pPr>
                    <w:widowControl/>
                    <w:jc w:val="center"/>
                    <w:textAlignment w:val="center"/>
                    <w:rPr>
                      <w:color w:val="auto"/>
                      <w:szCs w:val="21"/>
                    </w:rPr>
                  </w:pPr>
                  <w:r>
                    <w:rPr>
                      <w:color w:val="auto"/>
                      <w:kern w:val="0"/>
                      <w:szCs w:val="21"/>
                      <w:lang w:bidi="ar"/>
                    </w:rPr>
                    <w:t>75</w:t>
                  </w:r>
                </w:p>
              </w:tc>
              <w:tc>
                <w:tcPr>
                  <w:tcW w:w="479" w:type="dxa"/>
                  <w:shd w:val="clear" w:color="auto" w:fill="auto"/>
                  <w:tcMar>
                    <w:top w:w="0" w:type="dxa"/>
                    <w:left w:w="0" w:type="dxa"/>
                    <w:bottom w:w="0" w:type="dxa"/>
                    <w:right w:w="0" w:type="dxa"/>
                  </w:tcMar>
                  <w:vAlign w:val="center"/>
                </w:tcPr>
                <w:p w14:paraId="24AF27FA">
                  <w:pPr>
                    <w:widowControl/>
                    <w:jc w:val="center"/>
                    <w:textAlignment w:val="center"/>
                    <w:rPr>
                      <w:color w:val="auto"/>
                      <w:szCs w:val="21"/>
                    </w:rPr>
                  </w:pPr>
                  <w:r>
                    <w:rPr>
                      <w:color w:val="auto"/>
                      <w:kern w:val="0"/>
                      <w:szCs w:val="21"/>
                      <w:lang w:bidi="ar"/>
                    </w:rPr>
                    <w:t>57.6</w:t>
                  </w:r>
                </w:p>
              </w:tc>
              <w:tc>
                <w:tcPr>
                  <w:tcW w:w="454" w:type="dxa"/>
                  <w:vMerge w:val="restart"/>
                  <w:shd w:val="clear" w:color="auto" w:fill="auto"/>
                  <w:tcMar>
                    <w:top w:w="0" w:type="dxa"/>
                    <w:left w:w="0" w:type="dxa"/>
                    <w:bottom w:w="0" w:type="dxa"/>
                    <w:right w:w="0" w:type="dxa"/>
                  </w:tcMar>
                  <w:vAlign w:val="center"/>
                </w:tcPr>
                <w:p w14:paraId="6E9D5D63">
                  <w:pPr>
                    <w:widowControl/>
                    <w:jc w:val="center"/>
                    <w:textAlignment w:val="center"/>
                    <w:rPr>
                      <w:rFonts w:hint="eastAsia" w:eastAsia="宋体"/>
                      <w:color w:val="auto"/>
                      <w:szCs w:val="21"/>
                      <w:lang w:eastAsia="zh-CN"/>
                    </w:rPr>
                  </w:pPr>
                  <w:r>
                    <w:rPr>
                      <w:color w:val="auto"/>
                      <w:kern w:val="0"/>
                      <w:szCs w:val="21"/>
                      <w:lang w:bidi="ar"/>
                    </w:rPr>
                    <w:t>61.</w:t>
                  </w:r>
                  <w:r>
                    <w:rPr>
                      <w:rFonts w:hint="eastAsia"/>
                      <w:color w:val="auto"/>
                      <w:kern w:val="0"/>
                      <w:szCs w:val="21"/>
                      <w:lang w:val="en-US" w:eastAsia="zh-CN" w:bidi="ar"/>
                    </w:rPr>
                    <w:t>1</w:t>
                  </w:r>
                </w:p>
              </w:tc>
              <w:tc>
                <w:tcPr>
                  <w:tcW w:w="553" w:type="dxa"/>
                  <w:shd w:val="clear" w:color="auto" w:fill="auto"/>
                  <w:tcMar>
                    <w:top w:w="0" w:type="dxa"/>
                    <w:left w:w="0" w:type="dxa"/>
                    <w:bottom w:w="0" w:type="dxa"/>
                    <w:right w:w="0" w:type="dxa"/>
                  </w:tcMar>
                  <w:vAlign w:val="center"/>
                </w:tcPr>
                <w:p w14:paraId="26148851">
                  <w:pPr>
                    <w:widowControl/>
                    <w:jc w:val="center"/>
                    <w:textAlignment w:val="center"/>
                    <w:rPr>
                      <w:color w:val="auto"/>
                      <w:szCs w:val="21"/>
                    </w:rPr>
                  </w:pPr>
                  <w:r>
                    <w:rPr>
                      <w:color w:val="auto"/>
                      <w:kern w:val="0"/>
                      <w:szCs w:val="21"/>
                      <w:lang w:bidi="ar"/>
                    </w:rPr>
                    <w:t>57</w:t>
                  </w:r>
                </w:p>
              </w:tc>
              <w:tc>
                <w:tcPr>
                  <w:tcW w:w="467" w:type="dxa"/>
                  <w:vMerge w:val="restart"/>
                  <w:shd w:val="clear" w:color="auto" w:fill="auto"/>
                  <w:tcMar>
                    <w:top w:w="0" w:type="dxa"/>
                    <w:left w:w="0" w:type="dxa"/>
                    <w:bottom w:w="0" w:type="dxa"/>
                    <w:right w:w="0" w:type="dxa"/>
                  </w:tcMar>
                  <w:vAlign w:val="center"/>
                </w:tcPr>
                <w:p w14:paraId="7CBE4DE2">
                  <w:pPr>
                    <w:widowControl/>
                    <w:jc w:val="center"/>
                    <w:textAlignment w:val="center"/>
                    <w:rPr>
                      <w:rFonts w:hint="default" w:eastAsia="宋体"/>
                      <w:color w:val="auto"/>
                      <w:szCs w:val="21"/>
                      <w:lang w:val="en-US" w:eastAsia="zh-CN"/>
                    </w:rPr>
                  </w:pPr>
                  <w:r>
                    <w:rPr>
                      <w:rFonts w:hint="eastAsia"/>
                      <w:color w:val="auto"/>
                      <w:kern w:val="0"/>
                      <w:szCs w:val="21"/>
                      <w:lang w:val="en-US" w:eastAsia="zh-CN" w:bidi="ar"/>
                    </w:rPr>
                    <w:t>60.9</w:t>
                  </w:r>
                </w:p>
              </w:tc>
              <w:tc>
                <w:tcPr>
                  <w:tcW w:w="478" w:type="dxa"/>
                  <w:shd w:val="clear" w:color="auto" w:fill="auto"/>
                  <w:tcMar>
                    <w:top w:w="0" w:type="dxa"/>
                    <w:left w:w="0" w:type="dxa"/>
                    <w:bottom w:w="0" w:type="dxa"/>
                    <w:right w:w="0" w:type="dxa"/>
                  </w:tcMar>
                  <w:vAlign w:val="center"/>
                </w:tcPr>
                <w:p w14:paraId="2BBEDBBA">
                  <w:pPr>
                    <w:widowControl/>
                    <w:jc w:val="center"/>
                    <w:textAlignment w:val="center"/>
                    <w:rPr>
                      <w:color w:val="auto"/>
                      <w:szCs w:val="21"/>
                    </w:rPr>
                  </w:pPr>
                  <w:r>
                    <w:rPr>
                      <w:color w:val="auto"/>
                      <w:kern w:val="0"/>
                      <w:szCs w:val="21"/>
                      <w:lang w:bidi="ar"/>
                    </w:rPr>
                    <w:t>56.8</w:t>
                  </w:r>
                </w:p>
              </w:tc>
              <w:tc>
                <w:tcPr>
                  <w:tcW w:w="504" w:type="dxa"/>
                  <w:vMerge w:val="restart"/>
                  <w:shd w:val="clear" w:color="auto" w:fill="auto"/>
                  <w:tcMar>
                    <w:top w:w="0" w:type="dxa"/>
                    <w:left w:w="0" w:type="dxa"/>
                    <w:bottom w:w="0" w:type="dxa"/>
                    <w:right w:w="0" w:type="dxa"/>
                  </w:tcMar>
                  <w:vAlign w:val="center"/>
                </w:tcPr>
                <w:p w14:paraId="54003587">
                  <w:pPr>
                    <w:widowControl/>
                    <w:jc w:val="center"/>
                    <w:textAlignment w:val="center"/>
                    <w:rPr>
                      <w:rFonts w:hint="eastAsia" w:eastAsia="宋体"/>
                      <w:color w:val="auto"/>
                      <w:szCs w:val="21"/>
                      <w:lang w:eastAsia="zh-CN"/>
                    </w:rPr>
                  </w:pPr>
                  <w:r>
                    <w:rPr>
                      <w:color w:val="auto"/>
                      <w:kern w:val="0"/>
                      <w:szCs w:val="21"/>
                      <w:lang w:bidi="ar"/>
                    </w:rPr>
                    <w:t>60.</w:t>
                  </w:r>
                  <w:r>
                    <w:rPr>
                      <w:rFonts w:hint="eastAsia"/>
                      <w:color w:val="auto"/>
                      <w:kern w:val="0"/>
                      <w:szCs w:val="21"/>
                      <w:lang w:val="en-US" w:eastAsia="zh-CN" w:bidi="ar"/>
                    </w:rPr>
                    <w:t>7</w:t>
                  </w:r>
                </w:p>
              </w:tc>
              <w:tc>
                <w:tcPr>
                  <w:tcW w:w="699" w:type="dxa"/>
                  <w:shd w:val="clear" w:color="auto" w:fill="auto"/>
                  <w:tcMar>
                    <w:top w:w="0" w:type="dxa"/>
                    <w:left w:w="0" w:type="dxa"/>
                    <w:bottom w:w="0" w:type="dxa"/>
                    <w:right w:w="0" w:type="dxa"/>
                  </w:tcMar>
                  <w:vAlign w:val="center"/>
                </w:tcPr>
                <w:p w14:paraId="27125669">
                  <w:pPr>
                    <w:widowControl/>
                    <w:jc w:val="center"/>
                    <w:textAlignment w:val="center"/>
                    <w:rPr>
                      <w:color w:val="auto"/>
                      <w:szCs w:val="21"/>
                    </w:rPr>
                  </w:pPr>
                  <w:r>
                    <w:rPr>
                      <w:color w:val="auto"/>
                      <w:kern w:val="0"/>
                      <w:szCs w:val="21"/>
                      <w:lang w:bidi="ar"/>
                    </w:rPr>
                    <w:t>57</w:t>
                  </w:r>
                </w:p>
              </w:tc>
              <w:tc>
                <w:tcPr>
                  <w:tcW w:w="504" w:type="dxa"/>
                  <w:vMerge w:val="restart"/>
                  <w:shd w:val="clear" w:color="auto" w:fill="auto"/>
                  <w:tcMar>
                    <w:top w:w="0" w:type="dxa"/>
                    <w:left w:w="0" w:type="dxa"/>
                    <w:bottom w:w="0" w:type="dxa"/>
                    <w:right w:w="0" w:type="dxa"/>
                  </w:tcMar>
                  <w:vAlign w:val="center"/>
                </w:tcPr>
                <w:p w14:paraId="0589AFDF">
                  <w:pPr>
                    <w:jc w:val="center"/>
                    <w:rPr>
                      <w:rFonts w:hint="default" w:eastAsia="宋体"/>
                      <w:color w:val="auto"/>
                      <w:szCs w:val="21"/>
                      <w:lang w:val="en-US" w:eastAsia="zh-CN"/>
                    </w:rPr>
                  </w:pPr>
                  <w:r>
                    <w:rPr>
                      <w:rFonts w:hint="eastAsia"/>
                      <w:color w:val="auto"/>
                      <w:szCs w:val="21"/>
                      <w:lang w:val="en-US" w:eastAsia="zh-CN"/>
                    </w:rPr>
                    <w:t>60.9</w:t>
                  </w:r>
                </w:p>
              </w:tc>
              <w:tc>
                <w:tcPr>
                  <w:tcW w:w="951" w:type="dxa"/>
                  <w:vMerge w:val="restart"/>
                  <w:tcMar>
                    <w:top w:w="0" w:type="dxa"/>
                    <w:left w:w="0" w:type="dxa"/>
                    <w:bottom w:w="0" w:type="dxa"/>
                    <w:right w:w="0" w:type="dxa"/>
                  </w:tcMar>
                  <w:vAlign w:val="center"/>
                </w:tcPr>
                <w:p w14:paraId="0E2CBA8F">
                  <w:pPr>
                    <w:jc w:val="center"/>
                    <w:rPr>
                      <w:color w:val="auto"/>
                      <w:szCs w:val="21"/>
                    </w:rPr>
                  </w:pPr>
                  <w:r>
                    <w:rPr>
                      <w:color w:val="auto"/>
                      <w:szCs w:val="21"/>
                    </w:rPr>
                    <w:t>8:00-12:00、</w:t>
                  </w:r>
                </w:p>
                <w:p w14:paraId="64FDAA6E">
                  <w:pPr>
                    <w:jc w:val="center"/>
                    <w:rPr>
                      <w:color w:val="auto"/>
                      <w:szCs w:val="21"/>
                    </w:rPr>
                  </w:pPr>
                  <w:r>
                    <w:rPr>
                      <w:color w:val="auto"/>
                      <w:szCs w:val="21"/>
                    </w:rPr>
                    <w:t>14:00-18:00</w:t>
                  </w:r>
                </w:p>
              </w:tc>
            </w:tr>
            <w:tr w14:paraId="6004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1" w:type="dxa"/>
                  <w:vMerge w:val="continue"/>
                  <w:tcMar>
                    <w:top w:w="0" w:type="dxa"/>
                    <w:left w:w="0" w:type="dxa"/>
                    <w:bottom w:w="0" w:type="dxa"/>
                    <w:right w:w="0" w:type="dxa"/>
                  </w:tcMar>
                  <w:vAlign w:val="center"/>
                </w:tcPr>
                <w:p w14:paraId="3CCF4394">
                  <w:pPr>
                    <w:jc w:val="center"/>
                    <w:rPr>
                      <w:color w:val="auto"/>
                      <w:szCs w:val="21"/>
                    </w:rPr>
                  </w:pPr>
                </w:p>
              </w:tc>
              <w:tc>
                <w:tcPr>
                  <w:tcW w:w="1474" w:type="dxa"/>
                  <w:shd w:val="clear" w:color="auto" w:fill="auto"/>
                  <w:noWrap/>
                  <w:tcMar>
                    <w:top w:w="0" w:type="dxa"/>
                    <w:left w:w="0" w:type="dxa"/>
                    <w:bottom w:w="0" w:type="dxa"/>
                    <w:right w:w="0" w:type="dxa"/>
                  </w:tcMar>
                  <w:vAlign w:val="center"/>
                </w:tcPr>
                <w:p w14:paraId="76604C78">
                  <w:pPr>
                    <w:widowControl/>
                    <w:adjustRightInd w:val="0"/>
                    <w:jc w:val="center"/>
                    <w:textAlignment w:val="center"/>
                    <w:rPr>
                      <w:color w:val="auto"/>
                      <w:szCs w:val="21"/>
                    </w:rPr>
                  </w:pPr>
                  <w:r>
                    <w:rPr>
                      <w:color w:val="auto"/>
                      <w:szCs w:val="21"/>
                    </w:rPr>
                    <w:t>蚊香自动包装机</w:t>
                  </w:r>
                </w:p>
              </w:tc>
              <w:tc>
                <w:tcPr>
                  <w:tcW w:w="1116" w:type="dxa"/>
                  <w:shd w:val="clear" w:color="auto" w:fill="auto"/>
                  <w:noWrap/>
                  <w:tcMar>
                    <w:top w:w="0" w:type="dxa"/>
                    <w:left w:w="0" w:type="dxa"/>
                    <w:bottom w:w="0" w:type="dxa"/>
                    <w:right w:w="0" w:type="dxa"/>
                  </w:tcMar>
                  <w:vAlign w:val="center"/>
                </w:tcPr>
                <w:p w14:paraId="67629146">
                  <w:pPr>
                    <w:widowControl/>
                    <w:jc w:val="center"/>
                    <w:textAlignment w:val="center"/>
                    <w:rPr>
                      <w:color w:val="auto"/>
                      <w:szCs w:val="21"/>
                    </w:rPr>
                  </w:pPr>
                  <w:r>
                    <w:rPr>
                      <w:color w:val="auto"/>
                      <w:kern w:val="0"/>
                      <w:szCs w:val="21"/>
                      <w:lang w:bidi="ar"/>
                    </w:rPr>
                    <w:t>70</w:t>
                  </w:r>
                </w:p>
              </w:tc>
              <w:tc>
                <w:tcPr>
                  <w:tcW w:w="479" w:type="dxa"/>
                  <w:shd w:val="clear" w:color="auto" w:fill="auto"/>
                  <w:tcMar>
                    <w:top w:w="0" w:type="dxa"/>
                    <w:left w:w="0" w:type="dxa"/>
                    <w:bottom w:w="0" w:type="dxa"/>
                    <w:right w:w="0" w:type="dxa"/>
                  </w:tcMar>
                  <w:vAlign w:val="center"/>
                </w:tcPr>
                <w:p w14:paraId="4B6C2A08">
                  <w:pPr>
                    <w:widowControl/>
                    <w:jc w:val="center"/>
                    <w:textAlignment w:val="center"/>
                    <w:rPr>
                      <w:color w:val="auto"/>
                      <w:szCs w:val="21"/>
                    </w:rPr>
                  </w:pPr>
                  <w:r>
                    <w:rPr>
                      <w:color w:val="auto"/>
                      <w:kern w:val="0"/>
                      <w:szCs w:val="21"/>
                      <w:lang w:bidi="ar"/>
                    </w:rPr>
                    <w:t>51.8</w:t>
                  </w:r>
                </w:p>
              </w:tc>
              <w:tc>
                <w:tcPr>
                  <w:tcW w:w="454" w:type="dxa"/>
                  <w:vMerge w:val="continue"/>
                  <w:shd w:val="clear" w:color="auto" w:fill="auto"/>
                  <w:tcMar>
                    <w:top w:w="0" w:type="dxa"/>
                    <w:left w:w="0" w:type="dxa"/>
                    <w:bottom w:w="0" w:type="dxa"/>
                    <w:right w:w="0" w:type="dxa"/>
                  </w:tcMar>
                  <w:vAlign w:val="center"/>
                </w:tcPr>
                <w:p w14:paraId="0F955B90">
                  <w:pPr>
                    <w:jc w:val="center"/>
                    <w:rPr>
                      <w:color w:val="auto"/>
                      <w:szCs w:val="21"/>
                    </w:rPr>
                  </w:pPr>
                </w:p>
              </w:tc>
              <w:tc>
                <w:tcPr>
                  <w:tcW w:w="553" w:type="dxa"/>
                  <w:shd w:val="clear" w:color="auto" w:fill="auto"/>
                  <w:tcMar>
                    <w:top w:w="0" w:type="dxa"/>
                    <w:left w:w="0" w:type="dxa"/>
                    <w:bottom w:w="0" w:type="dxa"/>
                    <w:right w:w="0" w:type="dxa"/>
                  </w:tcMar>
                  <w:vAlign w:val="center"/>
                </w:tcPr>
                <w:p w14:paraId="6FE650F1">
                  <w:pPr>
                    <w:widowControl/>
                    <w:jc w:val="center"/>
                    <w:textAlignment w:val="center"/>
                    <w:rPr>
                      <w:color w:val="auto"/>
                      <w:szCs w:val="21"/>
                    </w:rPr>
                  </w:pPr>
                  <w:r>
                    <w:rPr>
                      <w:color w:val="auto"/>
                      <w:kern w:val="0"/>
                      <w:szCs w:val="21"/>
                      <w:lang w:bidi="ar"/>
                    </w:rPr>
                    <w:t>52.1</w:t>
                  </w:r>
                </w:p>
              </w:tc>
              <w:tc>
                <w:tcPr>
                  <w:tcW w:w="467" w:type="dxa"/>
                  <w:vMerge w:val="continue"/>
                  <w:shd w:val="clear" w:color="auto" w:fill="auto"/>
                  <w:tcMar>
                    <w:top w:w="0" w:type="dxa"/>
                    <w:left w:w="0" w:type="dxa"/>
                    <w:bottom w:w="0" w:type="dxa"/>
                    <w:right w:w="0" w:type="dxa"/>
                  </w:tcMar>
                  <w:vAlign w:val="center"/>
                </w:tcPr>
                <w:p w14:paraId="71BC1F24">
                  <w:pPr>
                    <w:jc w:val="center"/>
                    <w:rPr>
                      <w:color w:val="auto"/>
                      <w:szCs w:val="21"/>
                    </w:rPr>
                  </w:pPr>
                </w:p>
              </w:tc>
              <w:tc>
                <w:tcPr>
                  <w:tcW w:w="478" w:type="dxa"/>
                  <w:shd w:val="clear" w:color="auto" w:fill="auto"/>
                  <w:tcMar>
                    <w:top w:w="0" w:type="dxa"/>
                    <w:left w:w="0" w:type="dxa"/>
                    <w:bottom w:w="0" w:type="dxa"/>
                    <w:right w:w="0" w:type="dxa"/>
                  </w:tcMar>
                  <w:vAlign w:val="center"/>
                </w:tcPr>
                <w:p w14:paraId="59039001">
                  <w:pPr>
                    <w:widowControl/>
                    <w:jc w:val="center"/>
                    <w:textAlignment w:val="center"/>
                    <w:rPr>
                      <w:color w:val="auto"/>
                      <w:szCs w:val="21"/>
                    </w:rPr>
                  </w:pPr>
                  <w:r>
                    <w:rPr>
                      <w:color w:val="auto"/>
                      <w:kern w:val="0"/>
                      <w:szCs w:val="21"/>
                      <w:lang w:bidi="ar"/>
                    </w:rPr>
                    <w:t>51.8</w:t>
                  </w:r>
                </w:p>
              </w:tc>
              <w:tc>
                <w:tcPr>
                  <w:tcW w:w="504" w:type="dxa"/>
                  <w:vMerge w:val="continue"/>
                  <w:shd w:val="clear" w:color="auto" w:fill="auto"/>
                  <w:tcMar>
                    <w:top w:w="0" w:type="dxa"/>
                    <w:left w:w="0" w:type="dxa"/>
                    <w:bottom w:w="0" w:type="dxa"/>
                    <w:right w:w="0" w:type="dxa"/>
                  </w:tcMar>
                  <w:vAlign w:val="center"/>
                </w:tcPr>
                <w:p w14:paraId="78B84DCD">
                  <w:pPr>
                    <w:jc w:val="center"/>
                    <w:rPr>
                      <w:color w:val="auto"/>
                      <w:szCs w:val="21"/>
                    </w:rPr>
                  </w:pPr>
                </w:p>
              </w:tc>
              <w:tc>
                <w:tcPr>
                  <w:tcW w:w="699" w:type="dxa"/>
                  <w:shd w:val="clear" w:color="auto" w:fill="auto"/>
                  <w:tcMar>
                    <w:top w:w="0" w:type="dxa"/>
                    <w:left w:w="0" w:type="dxa"/>
                    <w:bottom w:w="0" w:type="dxa"/>
                    <w:right w:w="0" w:type="dxa"/>
                  </w:tcMar>
                  <w:vAlign w:val="center"/>
                </w:tcPr>
                <w:p w14:paraId="518DB0B3">
                  <w:pPr>
                    <w:widowControl/>
                    <w:jc w:val="center"/>
                    <w:textAlignment w:val="center"/>
                    <w:rPr>
                      <w:color w:val="auto"/>
                      <w:szCs w:val="21"/>
                    </w:rPr>
                  </w:pPr>
                  <w:r>
                    <w:rPr>
                      <w:color w:val="auto"/>
                      <w:kern w:val="0"/>
                      <w:szCs w:val="21"/>
                      <w:lang w:bidi="ar"/>
                    </w:rPr>
                    <w:t>51.9</w:t>
                  </w:r>
                </w:p>
              </w:tc>
              <w:tc>
                <w:tcPr>
                  <w:tcW w:w="504" w:type="dxa"/>
                  <w:vMerge w:val="continue"/>
                  <w:shd w:val="clear" w:color="auto" w:fill="auto"/>
                  <w:tcMar>
                    <w:top w:w="0" w:type="dxa"/>
                    <w:left w:w="0" w:type="dxa"/>
                    <w:bottom w:w="0" w:type="dxa"/>
                    <w:right w:w="0" w:type="dxa"/>
                  </w:tcMar>
                  <w:vAlign w:val="center"/>
                </w:tcPr>
                <w:p w14:paraId="43C0AD5A">
                  <w:pPr>
                    <w:jc w:val="center"/>
                    <w:rPr>
                      <w:color w:val="auto"/>
                      <w:szCs w:val="21"/>
                    </w:rPr>
                  </w:pPr>
                </w:p>
              </w:tc>
              <w:tc>
                <w:tcPr>
                  <w:tcW w:w="951" w:type="dxa"/>
                  <w:vMerge w:val="continue"/>
                  <w:tcMar>
                    <w:top w:w="0" w:type="dxa"/>
                    <w:left w:w="0" w:type="dxa"/>
                    <w:bottom w:w="0" w:type="dxa"/>
                    <w:right w:w="0" w:type="dxa"/>
                  </w:tcMar>
                  <w:vAlign w:val="center"/>
                </w:tcPr>
                <w:p w14:paraId="51C725DE">
                  <w:pPr>
                    <w:jc w:val="center"/>
                    <w:rPr>
                      <w:color w:val="auto"/>
                      <w:szCs w:val="21"/>
                    </w:rPr>
                  </w:pPr>
                </w:p>
              </w:tc>
            </w:tr>
            <w:tr w14:paraId="3C41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1" w:type="dxa"/>
                  <w:vMerge w:val="continue"/>
                  <w:tcMar>
                    <w:top w:w="0" w:type="dxa"/>
                    <w:left w:w="0" w:type="dxa"/>
                    <w:bottom w:w="0" w:type="dxa"/>
                    <w:right w:w="0" w:type="dxa"/>
                  </w:tcMar>
                  <w:vAlign w:val="center"/>
                </w:tcPr>
                <w:p w14:paraId="51F0EADF">
                  <w:pPr>
                    <w:jc w:val="center"/>
                    <w:rPr>
                      <w:color w:val="auto"/>
                      <w:szCs w:val="21"/>
                    </w:rPr>
                  </w:pPr>
                </w:p>
              </w:tc>
              <w:tc>
                <w:tcPr>
                  <w:tcW w:w="1474" w:type="dxa"/>
                  <w:shd w:val="clear" w:color="auto" w:fill="auto"/>
                  <w:noWrap/>
                  <w:tcMar>
                    <w:top w:w="0" w:type="dxa"/>
                    <w:left w:w="0" w:type="dxa"/>
                    <w:bottom w:w="0" w:type="dxa"/>
                    <w:right w:w="0" w:type="dxa"/>
                  </w:tcMar>
                  <w:vAlign w:val="center"/>
                </w:tcPr>
                <w:p w14:paraId="226F4594">
                  <w:pPr>
                    <w:widowControl/>
                    <w:adjustRightInd w:val="0"/>
                    <w:jc w:val="center"/>
                    <w:textAlignment w:val="center"/>
                    <w:rPr>
                      <w:color w:val="auto"/>
                      <w:szCs w:val="21"/>
                    </w:rPr>
                  </w:pPr>
                  <w:r>
                    <w:rPr>
                      <w:color w:val="auto"/>
                      <w:szCs w:val="21"/>
                    </w:rPr>
                    <w:t>封箱机</w:t>
                  </w:r>
                </w:p>
              </w:tc>
              <w:tc>
                <w:tcPr>
                  <w:tcW w:w="1116" w:type="dxa"/>
                  <w:shd w:val="clear" w:color="auto" w:fill="auto"/>
                  <w:tcMar>
                    <w:top w:w="0" w:type="dxa"/>
                    <w:left w:w="0" w:type="dxa"/>
                    <w:bottom w:w="0" w:type="dxa"/>
                    <w:right w:w="0" w:type="dxa"/>
                  </w:tcMar>
                  <w:vAlign w:val="center"/>
                </w:tcPr>
                <w:p w14:paraId="21CD0D11">
                  <w:pPr>
                    <w:widowControl/>
                    <w:jc w:val="center"/>
                    <w:textAlignment w:val="center"/>
                    <w:rPr>
                      <w:color w:val="auto"/>
                      <w:szCs w:val="21"/>
                    </w:rPr>
                  </w:pPr>
                  <w:r>
                    <w:rPr>
                      <w:color w:val="auto"/>
                      <w:kern w:val="0"/>
                      <w:szCs w:val="21"/>
                      <w:lang w:bidi="ar"/>
                    </w:rPr>
                    <w:t>65</w:t>
                  </w:r>
                </w:p>
              </w:tc>
              <w:tc>
                <w:tcPr>
                  <w:tcW w:w="479" w:type="dxa"/>
                  <w:shd w:val="clear" w:color="auto" w:fill="auto"/>
                  <w:tcMar>
                    <w:top w:w="0" w:type="dxa"/>
                    <w:left w:w="0" w:type="dxa"/>
                    <w:bottom w:w="0" w:type="dxa"/>
                    <w:right w:w="0" w:type="dxa"/>
                  </w:tcMar>
                  <w:vAlign w:val="center"/>
                </w:tcPr>
                <w:p w14:paraId="527B17E5">
                  <w:pPr>
                    <w:widowControl/>
                    <w:jc w:val="center"/>
                    <w:textAlignment w:val="center"/>
                    <w:rPr>
                      <w:color w:val="auto"/>
                      <w:szCs w:val="21"/>
                    </w:rPr>
                  </w:pPr>
                  <w:r>
                    <w:rPr>
                      <w:color w:val="auto"/>
                      <w:kern w:val="0"/>
                      <w:szCs w:val="21"/>
                      <w:lang w:bidi="ar"/>
                    </w:rPr>
                    <w:t>46.8</w:t>
                  </w:r>
                </w:p>
              </w:tc>
              <w:tc>
                <w:tcPr>
                  <w:tcW w:w="454" w:type="dxa"/>
                  <w:vMerge w:val="continue"/>
                  <w:shd w:val="clear" w:color="auto" w:fill="auto"/>
                  <w:tcMar>
                    <w:top w:w="0" w:type="dxa"/>
                    <w:left w:w="0" w:type="dxa"/>
                    <w:bottom w:w="0" w:type="dxa"/>
                    <w:right w:w="0" w:type="dxa"/>
                  </w:tcMar>
                  <w:vAlign w:val="center"/>
                </w:tcPr>
                <w:p w14:paraId="57509A69">
                  <w:pPr>
                    <w:jc w:val="center"/>
                    <w:rPr>
                      <w:color w:val="auto"/>
                      <w:szCs w:val="21"/>
                    </w:rPr>
                  </w:pPr>
                </w:p>
              </w:tc>
              <w:tc>
                <w:tcPr>
                  <w:tcW w:w="553" w:type="dxa"/>
                  <w:shd w:val="clear" w:color="auto" w:fill="auto"/>
                  <w:tcMar>
                    <w:top w:w="0" w:type="dxa"/>
                    <w:left w:w="0" w:type="dxa"/>
                    <w:bottom w:w="0" w:type="dxa"/>
                    <w:right w:w="0" w:type="dxa"/>
                  </w:tcMar>
                  <w:vAlign w:val="center"/>
                </w:tcPr>
                <w:p w14:paraId="4A408F67">
                  <w:pPr>
                    <w:widowControl/>
                    <w:jc w:val="center"/>
                    <w:textAlignment w:val="center"/>
                    <w:rPr>
                      <w:color w:val="auto"/>
                      <w:szCs w:val="21"/>
                    </w:rPr>
                  </w:pPr>
                  <w:r>
                    <w:rPr>
                      <w:color w:val="auto"/>
                      <w:kern w:val="0"/>
                      <w:szCs w:val="21"/>
                      <w:lang w:bidi="ar"/>
                    </w:rPr>
                    <w:t>47.1</w:t>
                  </w:r>
                </w:p>
              </w:tc>
              <w:tc>
                <w:tcPr>
                  <w:tcW w:w="467" w:type="dxa"/>
                  <w:vMerge w:val="continue"/>
                  <w:shd w:val="clear" w:color="auto" w:fill="auto"/>
                  <w:tcMar>
                    <w:top w:w="0" w:type="dxa"/>
                    <w:left w:w="0" w:type="dxa"/>
                    <w:bottom w:w="0" w:type="dxa"/>
                    <w:right w:w="0" w:type="dxa"/>
                  </w:tcMar>
                  <w:vAlign w:val="center"/>
                </w:tcPr>
                <w:p w14:paraId="29CA336B">
                  <w:pPr>
                    <w:jc w:val="center"/>
                    <w:rPr>
                      <w:color w:val="auto"/>
                      <w:szCs w:val="21"/>
                    </w:rPr>
                  </w:pPr>
                </w:p>
              </w:tc>
              <w:tc>
                <w:tcPr>
                  <w:tcW w:w="478" w:type="dxa"/>
                  <w:shd w:val="clear" w:color="auto" w:fill="auto"/>
                  <w:tcMar>
                    <w:top w:w="0" w:type="dxa"/>
                    <w:left w:w="0" w:type="dxa"/>
                    <w:bottom w:w="0" w:type="dxa"/>
                    <w:right w:w="0" w:type="dxa"/>
                  </w:tcMar>
                  <w:vAlign w:val="center"/>
                </w:tcPr>
                <w:p w14:paraId="4D2350E9">
                  <w:pPr>
                    <w:widowControl/>
                    <w:jc w:val="center"/>
                    <w:textAlignment w:val="center"/>
                    <w:rPr>
                      <w:color w:val="auto"/>
                      <w:szCs w:val="21"/>
                    </w:rPr>
                  </w:pPr>
                  <w:r>
                    <w:rPr>
                      <w:color w:val="auto"/>
                      <w:kern w:val="0"/>
                      <w:szCs w:val="21"/>
                      <w:lang w:bidi="ar"/>
                    </w:rPr>
                    <w:t>46.9</w:t>
                  </w:r>
                </w:p>
              </w:tc>
              <w:tc>
                <w:tcPr>
                  <w:tcW w:w="504" w:type="dxa"/>
                  <w:vMerge w:val="continue"/>
                  <w:shd w:val="clear" w:color="auto" w:fill="auto"/>
                  <w:tcMar>
                    <w:top w:w="0" w:type="dxa"/>
                    <w:left w:w="0" w:type="dxa"/>
                    <w:bottom w:w="0" w:type="dxa"/>
                    <w:right w:w="0" w:type="dxa"/>
                  </w:tcMar>
                  <w:vAlign w:val="center"/>
                </w:tcPr>
                <w:p w14:paraId="5EE3C798">
                  <w:pPr>
                    <w:jc w:val="center"/>
                    <w:rPr>
                      <w:color w:val="auto"/>
                      <w:szCs w:val="21"/>
                    </w:rPr>
                  </w:pPr>
                </w:p>
              </w:tc>
              <w:tc>
                <w:tcPr>
                  <w:tcW w:w="699" w:type="dxa"/>
                  <w:shd w:val="clear" w:color="auto" w:fill="auto"/>
                  <w:tcMar>
                    <w:top w:w="0" w:type="dxa"/>
                    <w:left w:w="0" w:type="dxa"/>
                    <w:bottom w:w="0" w:type="dxa"/>
                    <w:right w:w="0" w:type="dxa"/>
                  </w:tcMar>
                  <w:vAlign w:val="center"/>
                </w:tcPr>
                <w:p w14:paraId="636D00F6">
                  <w:pPr>
                    <w:widowControl/>
                    <w:jc w:val="center"/>
                    <w:textAlignment w:val="center"/>
                    <w:rPr>
                      <w:color w:val="auto"/>
                      <w:szCs w:val="21"/>
                    </w:rPr>
                  </w:pPr>
                  <w:r>
                    <w:rPr>
                      <w:color w:val="auto"/>
                      <w:kern w:val="0"/>
                      <w:szCs w:val="21"/>
                      <w:lang w:bidi="ar"/>
                    </w:rPr>
                    <w:t>46.9</w:t>
                  </w:r>
                </w:p>
              </w:tc>
              <w:tc>
                <w:tcPr>
                  <w:tcW w:w="504" w:type="dxa"/>
                  <w:vMerge w:val="continue"/>
                  <w:shd w:val="clear" w:color="auto" w:fill="auto"/>
                  <w:tcMar>
                    <w:top w:w="0" w:type="dxa"/>
                    <w:left w:w="0" w:type="dxa"/>
                    <w:bottom w:w="0" w:type="dxa"/>
                    <w:right w:w="0" w:type="dxa"/>
                  </w:tcMar>
                  <w:vAlign w:val="center"/>
                </w:tcPr>
                <w:p w14:paraId="67CAC909">
                  <w:pPr>
                    <w:jc w:val="center"/>
                    <w:rPr>
                      <w:color w:val="auto"/>
                      <w:szCs w:val="21"/>
                    </w:rPr>
                  </w:pPr>
                </w:p>
              </w:tc>
              <w:tc>
                <w:tcPr>
                  <w:tcW w:w="951" w:type="dxa"/>
                  <w:vMerge w:val="continue"/>
                  <w:tcMar>
                    <w:top w:w="0" w:type="dxa"/>
                    <w:left w:w="0" w:type="dxa"/>
                    <w:bottom w:w="0" w:type="dxa"/>
                    <w:right w:w="0" w:type="dxa"/>
                  </w:tcMar>
                  <w:vAlign w:val="center"/>
                </w:tcPr>
                <w:p w14:paraId="698F5F25">
                  <w:pPr>
                    <w:jc w:val="center"/>
                    <w:rPr>
                      <w:color w:val="auto"/>
                      <w:szCs w:val="21"/>
                    </w:rPr>
                  </w:pPr>
                </w:p>
              </w:tc>
            </w:tr>
            <w:tr w14:paraId="19B2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81" w:type="dxa"/>
                  <w:vMerge w:val="continue"/>
                  <w:tcMar>
                    <w:top w:w="0" w:type="dxa"/>
                    <w:left w:w="0" w:type="dxa"/>
                    <w:bottom w:w="0" w:type="dxa"/>
                    <w:right w:w="0" w:type="dxa"/>
                  </w:tcMar>
                  <w:vAlign w:val="center"/>
                </w:tcPr>
                <w:p w14:paraId="49E5C7E5">
                  <w:pPr>
                    <w:jc w:val="center"/>
                    <w:rPr>
                      <w:color w:val="auto"/>
                      <w:szCs w:val="21"/>
                    </w:rPr>
                  </w:pPr>
                </w:p>
              </w:tc>
              <w:tc>
                <w:tcPr>
                  <w:tcW w:w="1474" w:type="dxa"/>
                  <w:shd w:val="clear" w:color="auto" w:fill="auto"/>
                  <w:noWrap/>
                  <w:tcMar>
                    <w:top w:w="0" w:type="dxa"/>
                    <w:left w:w="0" w:type="dxa"/>
                    <w:bottom w:w="0" w:type="dxa"/>
                    <w:right w:w="0" w:type="dxa"/>
                  </w:tcMar>
                  <w:vAlign w:val="center"/>
                </w:tcPr>
                <w:p w14:paraId="0F326DCB">
                  <w:pPr>
                    <w:widowControl/>
                    <w:adjustRightInd w:val="0"/>
                    <w:jc w:val="center"/>
                    <w:textAlignment w:val="center"/>
                    <w:rPr>
                      <w:color w:val="auto"/>
                      <w:szCs w:val="21"/>
                    </w:rPr>
                  </w:pPr>
                  <w:r>
                    <w:rPr>
                      <w:color w:val="auto"/>
                      <w:szCs w:val="21"/>
                    </w:rPr>
                    <w:t>药液搅拌机</w:t>
                  </w:r>
                </w:p>
              </w:tc>
              <w:tc>
                <w:tcPr>
                  <w:tcW w:w="1116" w:type="dxa"/>
                  <w:shd w:val="clear" w:color="auto" w:fill="auto"/>
                  <w:tcMar>
                    <w:top w:w="0" w:type="dxa"/>
                    <w:left w:w="0" w:type="dxa"/>
                    <w:bottom w:w="0" w:type="dxa"/>
                    <w:right w:w="0" w:type="dxa"/>
                  </w:tcMar>
                  <w:vAlign w:val="center"/>
                </w:tcPr>
                <w:p w14:paraId="1CAAB0CE">
                  <w:pPr>
                    <w:widowControl/>
                    <w:jc w:val="center"/>
                    <w:textAlignment w:val="center"/>
                    <w:rPr>
                      <w:color w:val="auto"/>
                      <w:szCs w:val="21"/>
                    </w:rPr>
                  </w:pPr>
                  <w:r>
                    <w:rPr>
                      <w:color w:val="auto"/>
                      <w:kern w:val="0"/>
                      <w:szCs w:val="21"/>
                      <w:lang w:bidi="ar"/>
                    </w:rPr>
                    <w:t>70</w:t>
                  </w:r>
                </w:p>
              </w:tc>
              <w:tc>
                <w:tcPr>
                  <w:tcW w:w="479" w:type="dxa"/>
                  <w:shd w:val="clear" w:color="auto" w:fill="auto"/>
                  <w:tcMar>
                    <w:top w:w="0" w:type="dxa"/>
                    <w:left w:w="0" w:type="dxa"/>
                    <w:bottom w:w="0" w:type="dxa"/>
                    <w:right w:w="0" w:type="dxa"/>
                  </w:tcMar>
                  <w:vAlign w:val="center"/>
                </w:tcPr>
                <w:p w14:paraId="5B4DA12E">
                  <w:pPr>
                    <w:widowControl/>
                    <w:jc w:val="center"/>
                    <w:textAlignment w:val="center"/>
                    <w:rPr>
                      <w:color w:val="auto"/>
                      <w:szCs w:val="21"/>
                    </w:rPr>
                  </w:pPr>
                  <w:r>
                    <w:rPr>
                      <w:color w:val="auto"/>
                      <w:kern w:val="0"/>
                      <w:szCs w:val="21"/>
                      <w:lang w:bidi="ar"/>
                    </w:rPr>
                    <w:t>52.2</w:t>
                  </w:r>
                </w:p>
              </w:tc>
              <w:tc>
                <w:tcPr>
                  <w:tcW w:w="454" w:type="dxa"/>
                  <w:vMerge w:val="continue"/>
                  <w:shd w:val="clear" w:color="auto" w:fill="auto"/>
                  <w:tcMar>
                    <w:top w:w="0" w:type="dxa"/>
                    <w:left w:w="0" w:type="dxa"/>
                    <w:bottom w:w="0" w:type="dxa"/>
                    <w:right w:w="0" w:type="dxa"/>
                  </w:tcMar>
                  <w:vAlign w:val="center"/>
                </w:tcPr>
                <w:p w14:paraId="4C2D5374">
                  <w:pPr>
                    <w:jc w:val="center"/>
                    <w:rPr>
                      <w:color w:val="auto"/>
                      <w:szCs w:val="21"/>
                    </w:rPr>
                  </w:pPr>
                </w:p>
              </w:tc>
              <w:tc>
                <w:tcPr>
                  <w:tcW w:w="553" w:type="dxa"/>
                  <w:shd w:val="clear" w:color="auto" w:fill="auto"/>
                  <w:tcMar>
                    <w:top w:w="0" w:type="dxa"/>
                    <w:left w:w="0" w:type="dxa"/>
                    <w:bottom w:w="0" w:type="dxa"/>
                    <w:right w:w="0" w:type="dxa"/>
                  </w:tcMar>
                  <w:vAlign w:val="center"/>
                </w:tcPr>
                <w:p w14:paraId="01E758A5">
                  <w:pPr>
                    <w:widowControl/>
                    <w:jc w:val="center"/>
                    <w:textAlignment w:val="center"/>
                    <w:rPr>
                      <w:color w:val="auto"/>
                      <w:szCs w:val="21"/>
                    </w:rPr>
                  </w:pPr>
                  <w:r>
                    <w:rPr>
                      <w:color w:val="auto"/>
                      <w:kern w:val="0"/>
                      <w:szCs w:val="21"/>
                      <w:lang w:bidi="ar"/>
                    </w:rPr>
                    <w:t>52</w:t>
                  </w:r>
                </w:p>
              </w:tc>
              <w:tc>
                <w:tcPr>
                  <w:tcW w:w="467" w:type="dxa"/>
                  <w:vMerge w:val="continue"/>
                  <w:shd w:val="clear" w:color="auto" w:fill="auto"/>
                  <w:tcMar>
                    <w:top w:w="0" w:type="dxa"/>
                    <w:left w:w="0" w:type="dxa"/>
                    <w:bottom w:w="0" w:type="dxa"/>
                    <w:right w:w="0" w:type="dxa"/>
                  </w:tcMar>
                  <w:vAlign w:val="center"/>
                </w:tcPr>
                <w:p w14:paraId="23405AB4">
                  <w:pPr>
                    <w:jc w:val="center"/>
                    <w:rPr>
                      <w:color w:val="auto"/>
                      <w:szCs w:val="21"/>
                    </w:rPr>
                  </w:pPr>
                </w:p>
              </w:tc>
              <w:tc>
                <w:tcPr>
                  <w:tcW w:w="478" w:type="dxa"/>
                  <w:shd w:val="clear" w:color="auto" w:fill="auto"/>
                  <w:tcMar>
                    <w:top w:w="0" w:type="dxa"/>
                    <w:left w:w="0" w:type="dxa"/>
                    <w:bottom w:w="0" w:type="dxa"/>
                    <w:right w:w="0" w:type="dxa"/>
                  </w:tcMar>
                  <w:vAlign w:val="center"/>
                </w:tcPr>
                <w:p w14:paraId="76E47E09">
                  <w:pPr>
                    <w:widowControl/>
                    <w:jc w:val="center"/>
                    <w:textAlignment w:val="center"/>
                    <w:rPr>
                      <w:color w:val="auto"/>
                      <w:szCs w:val="21"/>
                    </w:rPr>
                  </w:pPr>
                  <w:r>
                    <w:rPr>
                      <w:color w:val="auto"/>
                      <w:kern w:val="0"/>
                      <w:szCs w:val="21"/>
                      <w:lang w:bidi="ar"/>
                    </w:rPr>
                    <w:t>51.8</w:t>
                  </w:r>
                </w:p>
              </w:tc>
              <w:tc>
                <w:tcPr>
                  <w:tcW w:w="504" w:type="dxa"/>
                  <w:vMerge w:val="continue"/>
                  <w:shd w:val="clear" w:color="auto" w:fill="auto"/>
                  <w:tcMar>
                    <w:top w:w="0" w:type="dxa"/>
                    <w:left w:w="0" w:type="dxa"/>
                    <w:bottom w:w="0" w:type="dxa"/>
                    <w:right w:w="0" w:type="dxa"/>
                  </w:tcMar>
                  <w:vAlign w:val="center"/>
                </w:tcPr>
                <w:p w14:paraId="36C41D86">
                  <w:pPr>
                    <w:jc w:val="center"/>
                    <w:rPr>
                      <w:color w:val="auto"/>
                      <w:szCs w:val="21"/>
                    </w:rPr>
                  </w:pPr>
                </w:p>
              </w:tc>
              <w:tc>
                <w:tcPr>
                  <w:tcW w:w="699" w:type="dxa"/>
                  <w:shd w:val="clear" w:color="auto" w:fill="auto"/>
                  <w:tcMar>
                    <w:top w:w="0" w:type="dxa"/>
                    <w:left w:w="0" w:type="dxa"/>
                    <w:bottom w:w="0" w:type="dxa"/>
                    <w:right w:w="0" w:type="dxa"/>
                  </w:tcMar>
                  <w:vAlign w:val="center"/>
                </w:tcPr>
                <w:p w14:paraId="1CAD7A12">
                  <w:pPr>
                    <w:widowControl/>
                    <w:jc w:val="center"/>
                    <w:textAlignment w:val="center"/>
                    <w:rPr>
                      <w:color w:val="auto"/>
                      <w:szCs w:val="21"/>
                    </w:rPr>
                  </w:pPr>
                  <w:r>
                    <w:rPr>
                      <w:color w:val="auto"/>
                      <w:kern w:val="0"/>
                      <w:szCs w:val="21"/>
                      <w:lang w:bidi="ar"/>
                    </w:rPr>
                    <w:t>52</w:t>
                  </w:r>
                </w:p>
              </w:tc>
              <w:tc>
                <w:tcPr>
                  <w:tcW w:w="504" w:type="dxa"/>
                  <w:vMerge w:val="continue"/>
                  <w:shd w:val="clear" w:color="auto" w:fill="auto"/>
                  <w:tcMar>
                    <w:top w:w="0" w:type="dxa"/>
                    <w:left w:w="0" w:type="dxa"/>
                    <w:bottom w:w="0" w:type="dxa"/>
                    <w:right w:w="0" w:type="dxa"/>
                  </w:tcMar>
                  <w:vAlign w:val="center"/>
                </w:tcPr>
                <w:p w14:paraId="4630B697">
                  <w:pPr>
                    <w:jc w:val="center"/>
                    <w:rPr>
                      <w:color w:val="auto"/>
                      <w:szCs w:val="21"/>
                    </w:rPr>
                  </w:pPr>
                </w:p>
              </w:tc>
              <w:tc>
                <w:tcPr>
                  <w:tcW w:w="951" w:type="dxa"/>
                  <w:vMerge w:val="continue"/>
                  <w:tcMar>
                    <w:top w:w="0" w:type="dxa"/>
                    <w:left w:w="0" w:type="dxa"/>
                    <w:bottom w:w="0" w:type="dxa"/>
                    <w:right w:w="0" w:type="dxa"/>
                  </w:tcMar>
                  <w:vAlign w:val="center"/>
                </w:tcPr>
                <w:p w14:paraId="55D9A595">
                  <w:pPr>
                    <w:jc w:val="center"/>
                    <w:rPr>
                      <w:color w:val="auto"/>
                      <w:szCs w:val="21"/>
                    </w:rPr>
                  </w:pPr>
                </w:p>
              </w:tc>
            </w:tr>
            <w:tr w14:paraId="4A57A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1" w:type="dxa"/>
                  <w:vMerge w:val="continue"/>
                  <w:tcMar>
                    <w:top w:w="0" w:type="dxa"/>
                    <w:left w:w="0" w:type="dxa"/>
                    <w:bottom w:w="0" w:type="dxa"/>
                    <w:right w:w="0" w:type="dxa"/>
                  </w:tcMar>
                  <w:vAlign w:val="center"/>
                </w:tcPr>
                <w:p w14:paraId="6185FFD3">
                  <w:pPr>
                    <w:jc w:val="center"/>
                    <w:rPr>
                      <w:color w:val="auto"/>
                      <w:szCs w:val="21"/>
                    </w:rPr>
                  </w:pPr>
                </w:p>
              </w:tc>
              <w:tc>
                <w:tcPr>
                  <w:tcW w:w="1474" w:type="dxa"/>
                  <w:shd w:val="clear" w:color="auto" w:fill="auto"/>
                  <w:noWrap/>
                  <w:tcMar>
                    <w:top w:w="0" w:type="dxa"/>
                    <w:left w:w="0" w:type="dxa"/>
                    <w:bottom w:w="0" w:type="dxa"/>
                    <w:right w:w="0" w:type="dxa"/>
                  </w:tcMar>
                  <w:vAlign w:val="center"/>
                </w:tcPr>
                <w:p w14:paraId="6CB429F3">
                  <w:pPr>
                    <w:widowControl/>
                    <w:adjustRightInd w:val="0"/>
                    <w:jc w:val="center"/>
                    <w:textAlignment w:val="center"/>
                    <w:rPr>
                      <w:color w:val="auto"/>
                      <w:szCs w:val="21"/>
                    </w:rPr>
                  </w:pPr>
                  <w:r>
                    <w:rPr>
                      <w:color w:val="auto"/>
                      <w:szCs w:val="21"/>
                    </w:rPr>
                    <w:t>自动插芯棒机</w:t>
                  </w:r>
                </w:p>
              </w:tc>
              <w:tc>
                <w:tcPr>
                  <w:tcW w:w="1116" w:type="dxa"/>
                  <w:shd w:val="clear" w:color="auto" w:fill="auto"/>
                  <w:tcMar>
                    <w:top w:w="0" w:type="dxa"/>
                    <w:left w:w="0" w:type="dxa"/>
                    <w:bottom w:w="0" w:type="dxa"/>
                    <w:right w:w="0" w:type="dxa"/>
                  </w:tcMar>
                  <w:vAlign w:val="center"/>
                </w:tcPr>
                <w:p w14:paraId="56BA497C">
                  <w:pPr>
                    <w:widowControl/>
                    <w:jc w:val="center"/>
                    <w:textAlignment w:val="center"/>
                    <w:rPr>
                      <w:color w:val="auto"/>
                      <w:szCs w:val="21"/>
                    </w:rPr>
                  </w:pPr>
                  <w:r>
                    <w:rPr>
                      <w:color w:val="auto"/>
                      <w:kern w:val="0"/>
                      <w:szCs w:val="21"/>
                      <w:lang w:bidi="ar"/>
                    </w:rPr>
                    <w:t>70</w:t>
                  </w:r>
                </w:p>
              </w:tc>
              <w:tc>
                <w:tcPr>
                  <w:tcW w:w="479" w:type="dxa"/>
                  <w:shd w:val="clear" w:color="auto" w:fill="auto"/>
                  <w:tcMar>
                    <w:top w:w="0" w:type="dxa"/>
                    <w:left w:w="0" w:type="dxa"/>
                    <w:bottom w:w="0" w:type="dxa"/>
                    <w:right w:w="0" w:type="dxa"/>
                  </w:tcMar>
                  <w:vAlign w:val="center"/>
                </w:tcPr>
                <w:p w14:paraId="43A1FDC7">
                  <w:pPr>
                    <w:widowControl/>
                    <w:jc w:val="center"/>
                    <w:textAlignment w:val="center"/>
                    <w:rPr>
                      <w:color w:val="auto"/>
                      <w:szCs w:val="21"/>
                    </w:rPr>
                  </w:pPr>
                  <w:r>
                    <w:rPr>
                      <w:color w:val="auto"/>
                      <w:kern w:val="0"/>
                      <w:szCs w:val="21"/>
                      <w:lang w:bidi="ar"/>
                    </w:rPr>
                    <w:t>51.8</w:t>
                  </w:r>
                </w:p>
              </w:tc>
              <w:tc>
                <w:tcPr>
                  <w:tcW w:w="454" w:type="dxa"/>
                  <w:vMerge w:val="continue"/>
                  <w:shd w:val="clear" w:color="auto" w:fill="auto"/>
                  <w:tcMar>
                    <w:top w:w="0" w:type="dxa"/>
                    <w:left w:w="0" w:type="dxa"/>
                    <w:bottom w:w="0" w:type="dxa"/>
                    <w:right w:w="0" w:type="dxa"/>
                  </w:tcMar>
                  <w:vAlign w:val="center"/>
                </w:tcPr>
                <w:p w14:paraId="38918C11">
                  <w:pPr>
                    <w:jc w:val="center"/>
                    <w:rPr>
                      <w:color w:val="auto"/>
                      <w:szCs w:val="21"/>
                    </w:rPr>
                  </w:pPr>
                </w:p>
              </w:tc>
              <w:tc>
                <w:tcPr>
                  <w:tcW w:w="553" w:type="dxa"/>
                  <w:shd w:val="clear" w:color="auto" w:fill="auto"/>
                  <w:tcMar>
                    <w:top w:w="0" w:type="dxa"/>
                    <w:left w:w="0" w:type="dxa"/>
                    <w:bottom w:w="0" w:type="dxa"/>
                    <w:right w:w="0" w:type="dxa"/>
                  </w:tcMar>
                  <w:vAlign w:val="center"/>
                </w:tcPr>
                <w:p w14:paraId="42B73AAC">
                  <w:pPr>
                    <w:widowControl/>
                    <w:jc w:val="center"/>
                    <w:textAlignment w:val="center"/>
                    <w:rPr>
                      <w:color w:val="auto"/>
                      <w:szCs w:val="21"/>
                    </w:rPr>
                  </w:pPr>
                  <w:r>
                    <w:rPr>
                      <w:color w:val="auto"/>
                      <w:kern w:val="0"/>
                      <w:szCs w:val="21"/>
                      <w:lang w:bidi="ar"/>
                    </w:rPr>
                    <w:t>51.9</w:t>
                  </w:r>
                </w:p>
              </w:tc>
              <w:tc>
                <w:tcPr>
                  <w:tcW w:w="467" w:type="dxa"/>
                  <w:vMerge w:val="continue"/>
                  <w:shd w:val="clear" w:color="auto" w:fill="auto"/>
                  <w:tcMar>
                    <w:top w:w="0" w:type="dxa"/>
                    <w:left w:w="0" w:type="dxa"/>
                    <w:bottom w:w="0" w:type="dxa"/>
                    <w:right w:w="0" w:type="dxa"/>
                  </w:tcMar>
                  <w:vAlign w:val="center"/>
                </w:tcPr>
                <w:p w14:paraId="0A52B1CD">
                  <w:pPr>
                    <w:jc w:val="center"/>
                    <w:rPr>
                      <w:color w:val="auto"/>
                      <w:szCs w:val="21"/>
                    </w:rPr>
                  </w:pPr>
                </w:p>
              </w:tc>
              <w:tc>
                <w:tcPr>
                  <w:tcW w:w="478" w:type="dxa"/>
                  <w:shd w:val="clear" w:color="auto" w:fill="auto"/>
                  <w:tcMar>
                    <w:top w:w="0" w:type="dxa"/>
                    <w:left w:w="0" w:type="dxa"/>
                    <w:bottom w:w="0" w:type="dxa"/>
                    <w:right w:w="0" w:type="dxa"/>
                  </w:tcMar>
                  <w:vAlign w:val="center"/>
                </w:tcPr>
                <w:p w14:paraId="217BCCBB">
                  <w:pPr>
                    <w:widowControl/>
                    <w:jc w:val="center"/>
                    <w:textAlignment w:val="center"/>
                    <w:rPr>
                      <w:color w:val="auto"/>
                      <w:szCs w:val="21"/>
                    </w:rPr>
                  </w:pPr>
                  <w:r>
                    <w:rPr>
                      <w:color w:val="auto"/>
                      <w:kern w:val="0"/>
                      <w:szCs w:val="21"/>
                      <w:lang w:bidi="ar"/>
                    </w:rPr>
                    <w:t>51.8</w:t>
                  </w:r>
                </w:p>
              </w:tc>
              <w:tc>
                <w:tcPr>
                  <w:tcW w:w="504" w:type="dxa"/>
                  <w:vMerge w:val="continue"/>
                  <w:shd w:val="clear" w:color="auto" w:fill="auto"/>
                  <w:tcMar>
                    <w:top w:w="0" w:type="dxa"/>
                    <w:left w:w="0" w:type="dxa"/>
                    <w:bottom w:w="0" w:type="dxa"/>
                    <w:right w:w="0" w:type="dxa"/>
                  </w:tcMar>
                  <w:vAlign w:val="center"/>
                </w:tcPr>
                <w:p w14:paraId="2569F1CF">
                  <w:pPr>
                    <w:jc w:val="center"/>
                    <w:rPr>
                      <w:color w:val="auto"/>
                      <w:szCs w:val="21"/>
                    </w:rPr>
                  </w:pPr>
                </w:p>
              </w:tc>
              <w:tc>
                <w:tcPr>
                  <w:tcW w:w="699" w:type="dxa"/>
                  <w:shd w:val="clear" w:color="auto" w:fill="auto"/>
                  <w:tcMar>
                    <w:top w:w="0" w:type="dxa"/>
                    <w:left w:w="0" w:type="dxa"/>
                    <w:bottom w:w="0" w:type="dxa"/>
                    <w:right w:w="0" w:type="dxa"/>
                  </w:tcMar>
                  <w:vAlign w:val="center"/>
                </w:tcPr>
                <w:p w14:paraId="6C6E5DCD">
                  <w:pPr>
                    <w:widowControl/>
                    <w:jc w:val="center"/>
                    <w:textAlignment w:val="center"/>
                    <w:rPr>
                      <w:color w:val="auto"/>
                      <w:szCs w:val="21"/>
                    </w:rPr>
                  </w:pPr>
                  <w:r>
                    <w:rPr>
                      <w:color w:val="auto"/>
                      <w:kern w:val="0"/>
                      <w:szCs w:val="21"/>
                      <w:lang w:bidi="ar"/>
                    </w:rPr>
                    <w:t>52.1</w:t>
                  </w:r>
                </w:p>
              </w:tc>
              <w:tc>
                <w:tcPr>
                  <w:tcW w:w="504" w:type="dxa"/>
                  <w:vMerge w:val="continue"/>
                  <w:shd w:val="clear" w:color="auto" w:fill="auto"/>
                  <w:tcMar>
                    <w:top w:w="0" w:type="dxa"/>
                    <w:left w:w="0" w:type="dxa"/>
                    <w:bottom w:w="0" w:type="dxa"/>
                    <w:right w:w="0" w:type="dxa"/>
                  </w:tcMar>
                  <w:vAlign w:val="center"/>
                </w:tcPr>
                <w:p w14:paraId="611165E0">
                  <w:pPr>
                    <w:jc w:val="center"/>
                    <w:rPr>
                      <w:color w:val="auto"/>
                      <w:szCs w:val="21"/>
                    </w:rPr>
                  </w:pPr>
                </w:p>
              </w:tc>
              <w:tc>
                <w:tcPr>
                  <w:tcW w:w="951" w:type="dxa"/>
                  <w:vMerge w:val="continue"/>
                  <w:tcMar>
                    <w:top w:w="0" w:type="dxa"/>
                    <w:left w:w="0" w:type="dxa"/>
                    <w:bottom w:w="0" w:type="dxa"/>
                    <w:right w:w="0" w:type="dxa"/>
                  </w:tcMar>
                  <w:vAlign w:val="center"/>
                </w:tcPr>
                <w:p w14:paraId="737E2B7F">
                  <w:pPr>
                    <w:jc w:val="center"/>
                    <w:rPr>
                      <w:color w:val="auto"/>
                      <w:szCs w:val="21"/>
                    </w:rPr>
                  </w:pPr>
                </w:p>
              </w:tc>
            </w:tr>
            <w:tr w14:paraId="02F0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1" w:type="dxa"/>
                  <w:vMerge w:val="continue"/>
                  <w:tcMar>
                    <w:top w:w="0" w:type="dxa"/>
                    <w:left w:w="0" w:type="dxa"/>
                    <w:bottom w:w="0" w:type="dxa"/>
                    <w:right w:w="0" w:type="dxa"/>
                  </w:tcMar>
                  <w:vAlign w:val="center"/>
                </w:tcPr>
                <w:p w14:paraId="1ED2B0E8">
                  <w:pPr>
                    <w:jc w:val="center"/>
                    <w:rPr>
                      <w:color w:val="auto"/>
                      <w:szCs w:val="21"/>
                    </w:rPr>
                  </w:pPr>
                </w:p>
              </w:tc>
              <w:tc>
                <w:tcPr>
                  <w:tcW w:w="1474" w:type="dxa"/>
                  <w:shd w:val="clear" w:color="auto" w:fill="auto"/>
                  <w:tcMar>
                    <w:top w:w="0" w:type="dxa"/>
                    <w:left w:w="0" w:type="dxa"/>
                    <w:bottom w:w="0" w:type="dxa"/>
                    <w:right w:w="0" w:type="dxa"/>
                  </w:tcMar>
                  <w:vAlign w:val="center"/>
                </w:tcPr>
                <w:p w14:paraId="13D969C8">
                  <w:pPr>
                    <w:widowControl/>
                    <w:adjustRightInd w:val="0"/>
                    <w:jc w:val="center"/>
                    <w:textAlignment w:val="center"/>
                    <w:rPr>
                      <w:color w:val="auto"/>
                      <w:szCs w:val="21"/>
                    </w:rPr>
                  </w:pPr>
                  <w:r>
                    <w:rPr>
                      <w:color w:val="auto"/>
                      <w:szCs w:val="21"/>
                    </w:rPr>
                    <w:t>全自动灌装机</w:t>
                  </w:r>
                </w:p>
              </w:tc>
              <w:tc>
                <w:tcPr>
                  <w:tcW w:w="1116" w:type="dxa"/>
                  <w:shd w:val="clear" w:color="auto" w:fill="auto"/>
                  <w:tcMar>
                    <w:top w:w="0" w:type="dxa"/>
                    <w:left w:w="0" w:type="dxa"/>
                    <w:bottom w:w="0" w:type="dxa"/>
                    <w:right w:w="0" w:type="dxa"/>
                  </w:tcMar>
                  <w:vAlign w:val="center"/>
                </w:tcPr>
                <w:p w14:paraId="16BBEBA9">
                  <w:pPr>
                    <w:widowControl/>
                    <w:jc w:val="center"/>
                    <w:textAlignment w:val="center"/>
                    <w:rPr>
                      <w:color w:val="auto"/>
                      <w:szCs w:val="21"/>
                    </w:rPr>
                  </w:pPr>
                  <w:r>
                    <w:rPr>
                      <w:color w:val="auto"/>
                      <w:kern w:val="0"/>
                      <w:szCs w:val="21"/>
                      <w:lang w:bidi="ar"/>
                    </w:rPr>
                    <w:t>70</w:t>
                  </w:r>
                </w:p>
              </w:tc>
              <w:tc>
                <w:tcPr>
                  <w:tcW w:w="479" w:type="dxa"/>
                  <w:shd w:val="clear" w:color="auto" w:fill="auto"/>
                  <w:tcMar>
                    <w:top w:w="0" w:type="dxa"/>
                    <w:left w:w="0" w:type="dxa"/>
                    <w:bottom w:w="0" w:type="dxa"/>
                    <w:right w:w="0" w:type="dxa"/>
                  </w:tcMar>
                  <w:vAlign w:val="center"/>
                </w:tcPr>
                <w:p w14:paraId="424C693E">
                  <w:pPr>
                    <w:widowControl/>
                    <w:jc w:val="center"/>
                    <w:textAlignment w:val="center"/>
                    <w:rPr>
                      <w:color w:val="auto"/>
                      <w:szCs w:val="21"/>
                    </w:rPr>
                  </w:pPr>
                  <w:r>
                    <w:rPr>
                      <w:color w:val="auto"/>
                      <w:kern w:val="0"/>
                      <w:szCs w:val="21"/>
                      <w:lang w:bidi="ar"/>
                    </w:rPr>
                    <w:t>51.8</w:t>
                  </w:r>
                </w:p>
              </w:tc>
              <w:tc>
                <w:tcPr>
                  <w:tcW w:w="454" w:type="dxa"/>
                  <w:vMerge w:val="continue"/>
                  <w:shd w:val="clear" w:color="auto" w:fill="auto"/>
                  <w:tcMar>
                    <w:top w:w="0" w:type="dxa"/>
                    <w:left w:w="0" w:type="dxa"/>
                    <w:bottom w:w="0" w:type="dxa"/>
                    <w:right w:w="0" w:type="dxa"/>
                  </w:tcMar>
                  <w:vAlign w:val="center"/>
                </w:tcPr>
                <w:p w14:paraId="086E47DE">
                  <w:pPr>
                    <w:jc w:val="center"/>
                    <w:rPr>
                      <w:color w:val="auto"/>
                      <w:szCs w:val="21"/>
                    </w:rPr>
                  </w:pPr>
                </w:p>
              </w:tc>
              <w:tc>
                <w:tcPr>
                  <w:tcW w:w="553" w:type="dxa"/>
                  <w:shd w:val="clear" w:color="auto" w:fill="auto"/>
                  <w:tcMar>
                    <w:top w:w="0" w:type="dxa"/>
                    <w:left w:w="0" w:type="dxa"/>
                    <w:bottom w:w="0" w:type="dxa"/>
                    <w:right w:w="0" w:type="dxa"/>
                  </w:tcMar>
                  <w:vAlign w:val="center"/>
                </w:tcPr>
                <w:p w14:paraId="09C7C90C">
                  <w:pPr>
                    <w:widowControl/>
                    <w:jc w:val="center"/>
                    <w:textAlignment w:val="center"/>
                    <w:rPr>
                      <w:color w:val="auto"/>
                      <w:szCs w:val="21"/>
                    </w:rPr>
                  </w:pPr>
                  <w:r>
                    <w:rPr>
                      <w:color w:val="auto"/>
                      <w:kern w:val="0"/>
                      <w:szCs w:val="21"/>
                      <w:lang w:bidi="ar"/>
                    </w:rPr>
                    <w:t>51.9</w:t>
                  </w:r>
                </w:p>
              </w:tc>
              <w:tc>
                <w:tcPr>
                  <w:tcW w:w="467" w:type="dxa"/>
                  <w:vMerge w:val="continue"/>
                  <w:shd w:val="clear" w:color="auto" w:fill="auto"/>
                  <w:tcMar>
                    <w:top w:w="0" w:type="dxa"/>
                    <w:left w:w="0" w:type="dxa"/>
                    <w:bottom w:w="0" w:type="dxa"/>
                    <w:right w:w="0" w:type="dxa"/>
                  </w:tcMar>
                  <w:vAlign w:val="center"/>
                </w:tcPr>
                <w:p w14:paraId="50788A14">
                  <w:pPr>
                    <w:jc w:val="center"/>
                    <w:rPr>
                      <w:color w:val="auto"/>
                      <w:szCs w:val="21"/>
                    </w:rPr>
                  </w:pPr>
                </w:p>
              </w:tc>
              <w:tc>
                <w:tcPr>
                  <w:tcW w:w="478" w:type="dxa"/>
                  <w:shd w:val="clear" w:color="auto" w:fill="auto"/>
                  <w:tcMar>
                    <w:top w:w="0" w:type="dxa"/>
                    <w:left w:w="0" w:type="dxa"/>
                    <w:bottom w:w="0" w:type="dxa"/>
                    <w:right w:w="0" w:type="dxa"/>
                  </w:tcMar>
                  <w:vAlign w:val="center"/>
                </w:tcPr>
                <w:p w14:paraId="3B560E5D">
                  <w:pPr>
                    <w:widowControl/>
                    <w:jc w:val="center"/>
                    <w:textAlignment w:val="center"/>
                    <w:rPr>
                      <w:color w:val="auto"/>
                      <w:szCs w:val="21"/>
                    </w:rPr>
                  </w:pPr>
                  <w:r>
                    <w:rPr>
                      <w:color w:val="auto"/>
                      <w:kern w:val="0"/>
                      <w:szCs w:val="21"/>
                      <w:lang w:bidi="ar"/>
                    </w:rPr>
                    <w:t>51.8</w:t>
                  </w:r>
                </w:p>
              </w:tc>
              <w:tc>
                <w:tcPr>
                  <w:tcW w:w="504" w:type="dxa"/>
                  <w:vMerge w:val="continue"/>
                  <w:shd w:val="clear" w:color="auto" w:fill="auto"/>
                  <w:tcMar>
                    <w:top w:w="0" w:type="dxa"/>
                    <w:left w:w="0" w:type="dxa"/>
                    <w:bottom w:w="0" w:type="dxa"/>
                    <w:right w:w="0" w:type="dxa"/>
                  </w:tcMar>
                  <w:vAlign w:val="center"/>
                </w:tcPr>
                <w:p w14:paraId="6F71CB3E">
                  <w:pPr>
                    <w:jc w:val="center"/>
                    <w:rPr>
                      <w:color w:val="auto"/>
                      <w:szCs w:val="21"/>
                    </w:rPr>
                  </w:pPr>
                </w:p>
              </w:tc>
              <w:tc>
                <w:tcPr>
                  <w:tcW w:w="699" w:type="dxa"/>
                  <w:shd w:val="clear" w:color="auto" w:fill="auto"/>
                  <w:tcMar>
                    <w:top w:w="0" w:type="dxa"/>
                    <w:left w:w="0" w:type="dxa"/>
                    <w:bottom w:w="0" w:type="dxa"/>
                    <w:right w:w="0" w:type="dxa"/>
                  </w:tcMar>
                  <w:vAlign w:val="center"/>
                </w:tcPr>
                <w:p w14:paraId="7B8EF1F8">
                  <w:pPr>
                    <w:widowControl/>
                    <w:jc w:val="center"/>
                    <w:textAlignment w:val="center"/>
                    <w:rPr>
                      <w:color w:val="auto"/>
                      <w:szCs w:val="21"/>
                    </w:rPr>
                  </w:pPr>
                  <w:r>
                    <w:rPr>
                      <w:color w:val="auto"/>
                      <w:kern w:val="0"/>
                      <w:szCs w:val="21"/>
                      <w:lang w:bidi="ar"/>
                    </w:rPr>
                    <w:t>52.1</w:t>
                  </w:r>
                </w:p>
              </w:tc>
              <w:tc>
                <w:tcPr>
                  <w:tcW w:w="504" w:type="dxa"/>
                  <w:vMerge w:val="continue"/>
                  <w:shd w:val="clear" w:color="auto" w:fill="auto"/>
                  <w:tcMar>
                    <w:top w:w="0" w:type="dxa"/>
                    <w:left w:w="0" w:type="dxa"/>
                    <w:bottom w:w="0" w:type="dxa"/>
                    <w:right w:w="0" w:type="dxa"/>
                  </w:tcMar>
                  <w:vAlign w:val="center"/>
                </w:tcPr>
                <w:p w14:paraId="35E5BF64">
                  <w:pPr>
                    <w:jc w:val="center"/>
                    <w:rPr>
                      <w:color w:val="auto"/>
                      <w:szCs w:val="21"/>
                    </w:rPr>
                  </w:pPr>
                </w:p>
              </w:tc>
              <w:tc>
                <w:tcPr>
                  <w:tcW w:w="951" w:type="dxa"/>
                  <w:vMerge w:val="continue"/>
                  <w:tcMar>
                    <w:top w:w="0" w:type="dxa"/>
                    <w:left w:w="0" w:type="dxa"/>
                    <w:bottom w:w="0" w:type="dxa"/>
                    <w:right w:w="0" w:type="dxa"/>
                  </w:tcMar>
                  <w:vAlign w:val="center"/>
                </w:tcPr>
                <w:p w14:paraId="49EC2263">
                  <w:pPr>
                    <w:jc w:val="center"/>
                    <w:rPr>
                      <w:color w:val="auto"/>
                      <w:szCs w:val="21"/>
                    </w:rPr>
                  </w:pPr>
                </w:p>
              </w:tc>
            </w:tr>
            <w:tr w14:paraId="594D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1" w:type="dxa"/>
                  <w:vMerge w:val="continue"/>
                  <w:tcMar>
                    <w:top w:w="0" w:type="dxa"/>
                    <w:left w:w="0" w:type="dxa"/>
                    <w:bottom w:w="0" w:type="dxa"/>
                    <w:right w:w="0" w:type="dxa"/>
                  </w:tcMar>
                  <w:vAlign w:val="center"/>
                </w:tcPr>
                <w:p w14:paraId="50F96FE0">
                  <w:pPr>
                    <w:jc w:val="center"/>
                    <w:rPr>
                      <w:color w:val="auto"/>
                      <w:szCs w:val="21"/>
                    </w:rPr>
                  </w:pPr>
                </w:p>
              </w:tc>
              <w:tc>
                <w:tcPr>
                  <w:tcW w:w="1474" w:type="dxa"/>
                  <w:shd w:val="clear" w:color="auto" w:fill="auto"/>
                  <w:tcMar>
                    <w:top w:w="0" w:type="dxa"/>
                    <w:left w:w="0" w:type="dxa"/>
                    <w:bottom w:w="0" w:type="dxa"/>
                    <w:right w:w="0" w:type="dxa"/>
                  </w:tcMar>
                  <w:vAlign w:val="center"/>
                </w:tcPr>
                <w:p w14:paraId="0C45B3CE">
                  <w:pPr>
                    <w:widowControl/>
                    <w:adjustRightInd w:val="0"/>
                    <w:jc w:val="center"/>
                    <w:textAlignment w:val="center"/>
                    <w:rPr>
                      <w:color w:val="auto"/>
                      <w:szCs w:val="21"/>
                    </w:rPr>
                  </w:pPr>
                  <w:r>
                    <w:rPr>
                      <w:color w:val="auto"/>
                      <w:szCs w:val="21"/>
                    </w:rPr>
                    <w:t>自动高速封口机</w:t>
                  </w:r>
                </w:p>
              </w:tc>
              <w:tc>
                <w:tcPr>
                  <w:tcW w:w="1116" w:type="dxa"/>
                  <w:shd w:val="clear" w:color="auto" w:fill="auto"/>
                  <w:tcMar>
                    <w:top w:w="0" w:type="dxa"/>
                    <w:left w:w="0" w:type="dxa"/>
                    <w:bottom w:w="0" w:type="dxa"/>
                    <w:right w:w="0" w:type="dxa"/>
                  </w:tcMar>
                  <w:vAlign w:val="center"/>
                </w:tcPr>
                <w:p w14:paraId="690F9EA1">
                  <w:pPr>
                    <w:widowControl/>
                    <w:jc w:val="center"/>
                    <w:textAlignment w:val="center"/>
                    <w:rPr>
                      <w:color w:val="auto"/>
                      <w:szCs w:val="21"/>
                    </w:rPr>
                  </w:pPr>
                  <w:r>
                    <w:rPr>
                      <w:color w:val="auto"/>
                      <w:kern w:val="0"/>
                      <w:szCs w:val="21"/>
                      <w:lang w:bidi="ar"/>
                    </w:rPr>
                    <w:t>65</w:t>
                  </w:r>
                </w:p>
              </w:tc>
              <w:tc>
                <w:tcPr>
                  <w:tcW w:w="479" w:type="dxa"/>
                  <w:shd w:val="clear" w:color="auto" w:fill="auto"/>
                  <w:tcMar>
                    <w:top w:w="0" w:type="dxa"/>
                    <w:left w:w="0" w:type="dxa"/>
                    <w:bottom w:w="0" w:type="dxa"/>
                    <w:right w:w="0" w:type="dxa"/>
                  </w:tcMar>
                  <w:vAlign w:val="center"/>
                </w:tcPr>
                <w:p w14:paraId="17457A8E">
                  <w:pPr>
                    <w:widowControl/>
                    <w:jc w:val="center"/>
                    <w:textAlignment w:val="center"/>
                    <w:rPr>
                      <w:color w:val="auto"/>
                      <w:szCs w:val="21"/>
                    </w:rPr>
                  </w:pPr>
                  <w:r>
                    <w:rPr>
                      <w:color w:val="auto"/>
                      <w:kern w:val="0"/>
                      <w:szCs w:val="21"/>
                      <w:lang w:bidi="ar"/>
                    </w:rPr>
                    <w:t>46.8</w:t>
                  </w:r>
                </w:p>
              </w:tc>
              <w:tc>
                <w:tcPr>
                  <w:tcW w:w="454" w:type="dxa"/>
                  <w:vMerge w:val="continue"/>
                  <w:shd w:val="clear" w:color="auto" w:fill="auto"/>
                  <w:tcMar>
                    <w:top w:w="0" w:type="dxa"/>
                    <w:left w:w="0" w:type="dxa"/>
                    <w:bottom w:w="0" w:type="dxa"/>
                    <w:right w:w="0" w:type="dxa"/>
                  </w:tcMar>
                  <w:vAlign w:val="center"/>
                </w:tcPr>
                <w:p w14:paraId="5F7B5AEC">
                  <w:pPr>
                    <w:jc w:val="center"/>
                    <w:rPr>
                      <w:color w:val="auto"/>
                      <w:szCs w:val="21"/>
                    </w:rPr>
                  </w:pPr>
                </w:p>
              </w:tc>
              <w:tc>
                <w:tcPr>
                  <w:tcW w:w="553" w:type="dxa"/>
                  <w:shd w:val="clear" w:color="auto" w:fill="auto"/>
                  <w:tcMar>
                    <w:top w:w="0" w:type="dxa"/>
                    <w:left w:w="0" w:type="dxa"/>
                    <w:bottom w:w="0" w:type="dxa"/>
                    <w:right w:w="0" w:type="dxa"/>
                  </w:tcMar>
                  <w:vAlign w:val="center"/>
                </w:tcPr>
                <w:p w14:paraId="1A5BF890">
                  <w:pPr>
                    <w:widowControl/>
                    <w:jc w:val="center"/>
                    <w:textAlignment w:val="center"/>
                    <w:rPr>
                      <w:color w:val="auto"/>
                      <w:szCs w:val="21"/>
                    </w:rPr>
                  </w:pPr>
                  <w:r>
                    <w:rPr>
                      <w:color w:val="auto"/>
                      <w:kern w:val="0"/>
                      <w:szCs w:val="21"/>
                      <w:lang w:bidi="ar"/>
                    </w:rPr>
                    <w:t>46.9</w:t>
                  </w:r>
                </w:p>
              </w:tc>
              <w:tc>
                <w:tcPr>
                  <w:tcW w:w="467" w:type="dxa"/>
                  <w:vMerge w:val="continue"/>
                  <w:shd w:val="clear" w:color="auto" w:fill="auto"/>
                  <w:tcMar>
                    <w:top w:w="0" w:type="dxa"/>
                    <w:left w:w="0" w:type="dxa"/>
                    <w:bottom w:w="0" w:type="dxa"/>
                    <w:right w:w="0" w:type="dxa"/>
                  </w:tcMar>
                  <w:vAlign w:val="center"/>
                </w:tcPr>
                <w:p w14:paraId="555B6435">
                  <w:pPr>
                    <w:jc w:val="center"/>
                    <w:rPr>
                      <w:color w:val="auto"/>
                      <w:szCs w:val="21"/>
                    </w:rPr>
                  </w:pPr>
                </w:p>
              </w:tc>
              <w:tc>
                <w:tcPr>
                  <w:tcW w:w="478" w:type="dxa"/>
                  <w:shd w:val="clear" w:color="auto" w:fill="auto"/>
                  <w:tcMar>
                    <w:top w:w="0" w:type="dxa"/>
                    <w:left w:w="0" w:type="dxa"/>
                    <w:bottom w:w="0" w:type="dxa"/>
                    <w:right w:w="0" w:type="dxa"/>
                  </w:tcMar>
                  <w:vAlign w:val="center"/>
                </w:tcPr>
                <w:p w14:paraId="2E20326D">
                  <w:pPr>
                    <w:widowControl/>
                    <w:jc w:val="center"/>
                    <w:textAlignment w:val="center"/>
                    <w:rPr>
                      <w:color w:val="auto"/>
                      <w:szCs w:val="21"/>
                    </w:rPr>
                  </w:pPr>
                  <w:r>
                    <w:rPr>
                      <w:color w:val="auto"/>
                      <w:kern w:val="0"/>
                      <w:szCs w:val="21"/>
                      <w:lang w:bidi="ar"/>
                    </w:rPr>
                    <w:t>46.9</w:t>
                  </w:r>
                </w:p>
              </w:tc>
              <w:tc>
                <w:tcPr>
                  <w:tcW w:w="504" w:type="dxa"/>
                  <w:vMerge w:val="continue"/>
                  <w:shd w:val="clear" w:color="auto" w:fill="auto"/>
                  <w:tcMar>
                    <w:top w:w="0" w:type="dxa"/>
                    <w:left w:w="0" w:type="dxa"/>
                    <w:bottom w:w="0" w:type="dxa"/>
                    <w:right w:w="0" w:type="dxa"/>
                  </w:tcMar>
                  <w:vAlign w:val="center"/>
                </w:tcPr>
                <w:p w14:paraId="243B4C07">
                  <w:pPr>
                    <w:jc w:val="center"/>
                    <w:rPr>
                      <w:color w:val="auto"/>
                      <w:szCs w:val="21"/>
                    </w:rPr>
                  </w:pPr>
                </w:p>
              </w:tc>
              <w:tc>
                <w:tcPr>
                  <w:tcW w:w="699" w:type="dxa"/>
                  <w:shd w:val="clear" w:color="auto" w:fill="auto"/>
                  <w:tcMar>
                    <w:top w:w="0" w:type="dxa"/>
                    <w:left w:w="0" w:type="dxa"/>
                    <w:bottom w:w="0" w:type="dxa"/>
                    <w:right w:w="0" w:type="dxa"/>
                  </w:tcMar>
                  <w:vAlign w:val="center"/>
                </w:tcPr>
                <w:p w14:paraId="11E06683">
                  <w:pPr>
                    <w:widowControl/>
                    <w:jc w:val="center"/>
                    <w:textAlignment w:val="center"/>
                    <w:rPr>
                      <w:color w:val="auto"/>
                      <w:szCs w:val="21"/>
                    </w:rPr>
                  </w:pPr>
                  <w:r>
                    <w:rPr>
                      <w:color w:val="auto"/>
                      <w:kern w:val="0"/>
                      <w:szCs w:val="21"/>
                      <w:lang w:bidi="ar"/>
                    </w:rPr>
                    <w:t>47.1</w:t>
                  </w:r>
                </w:p>
              </w:tc>
              <w:tc>
                <w:tcPr>
                  <w:tcW w:w="504" w:type="dxa"/>
                  <w:vMerge w:val="continue"/>
                  <w:shd w:val="clear" w:color="auto" w:fill="auto"/>
                  <w:tcMar>
                    <w:top w:w="0" w:type="dxa"/>
                    <w:left w:w="0" w:type="dxa"/>
                    <w:bottom w:w="0" w:type="dxa"/>
                    <w:right w:w="0" w:type="dxa"/>
                  </w:tcMar>
                  <w:vAlign w:val="center"/>
                </w:tcPr>
                <w:p w14:paraId="68C96B61">
                  <w:pPr>
                    <w:jc w:val="center"/>
                    <w:rPr>
                      <w:color w:val="auto"/>
                      <w:szCs w:val="21"/>
                    </w:rPr>
                  </w:pPr>
                </w:p>
              </w:tc>
              <w:tc>
                <w:tcPr>
                  <w:tcW w:w="951" w:type="dxa"/>
                  <w:vMerge w:val="continue"/>
                  <w:tcMar>
                    <w:top w:w="0" w:type="dxa"/>
                    <w:left w:w="0" w:type="dxa"/>
                    <w:bottom w:w="0" w:type="dxa"/>
                    <w:right w:w="0" w:type="dxa"/>
                  </w:tcMar>
                  <w:vAlign w:val="center"/>
                </w:tcPr>
                <w:p w14:paraId="1229667F">
                  <w:pPr>
                    <w:jc w:val="center"/>
                    <w:rPr>
                      <w:color w:val="auto"/>
                      <w:szCs w:val="21"/>
                    </w:rPr>
                  </w:pPr>
                </w:p>
              </w:tc>
            </w:tr>
          </w:tbl>
          <w:p w14:paraId="189B3971">
            <w:pPr>
              <w:jc w:val="center"/>
              <w:rPr>
                <w:color w:val="auto"/>
                <w:szCs w:val="21"/>
              </w:rPr>
            </w:pPr>
            <w:r>
              <w:rPr>
                <w:color w:val="auto"/>
                <w:szCs w:val="21"/>
              </w:rPr>
              <w:t xml:space="preserve"> </w:t>
            </w:r>
          </w:p>
          <w:p w14:paraId="15F7688A">
            <w:pPr>
              <w:pStyle w:val="164"/>
              <w:rPr>
                <w:color w:val="auto"/>
                <w:sz w:val="24"/>
                <w:szCs w:val="24"/>
              </w:rPr>
            </w:pPr>
            <w:r>
              <w:rPr>
                <w:color w:val="auto"/>
                <w:sz w:val="24"/>
                <w:szCs w:val="24"/>
              </w:rPr>
              <w:t>表</w:t>
            </w:r>
            <w:r>
              <w:rPr>
                <w:color w:val="auto"/>
                <w:sz w:val="24"/>
                <w:szCs w:val="24"/>
              </w:rPr>
              <w:fldChar w:fldCharType="begin"/>
            </w:r>
            <w:r>
              <w:rPr>
                <w:color w:val="auto"/>
                <w:sz w:val="24"/>
                <w:szCs w:val="24"/>
              </w:rPr>
              <w:instrText xml:space="preserve"> SEQ 表 \* ARABIC </w:instrText>
            </w:r>
            <w:r>
              <w:rPr>
                <w:color w:val="auto"/>
                <w:sz w:val="24"/>
                <w:szCs w:val="24"/>
              </w:rPr>
              <w:fldChar w:fldCharType="separate"/>
            </w:r>
            <w:r>
              <w:rPr>
                <w:color w:val="auto"/>
                <w:sz w:val="24"/>
                <w:szCs w:val="24"/>
              </w:rPr>
              <w:t>46</w:t>
            </w:r>
            <w:r>
              <w:rPr>
                <w:color w:val="auto"/>
                <w:sz w:val="24"/>
                <w:szCs w:val="24"/>
              </w:rPr>
              <w:fldChar w:fldCharType="end"/>
            </w:r>
            <w:r>
              <w:rPr>
                <w:color w:val="auto"/>
                <w:sz w:val="24"/>
                <w:szCs w:val="24"/>
              </w:rPr>
              <w:t xml:space="preserve">  项目噪声预测结果一览表（二）</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7"/>
              <w:gridCol w:w="1105"/>
              <w:gridCol w:w="1106"/>
              <w:gridCol w:w="1106"/>
              <w:gridCol w:w="1106"/>
            </w:tblGrid>
            <w:tr w14:paraId="78A1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06" w:type="dxa"/>
                  <w:tcBorders>
                    <w:top w:val="single" w:color="auto" w:sz="4" w:space="0"/>
                    <w:left w:val="single" w:color="auto" w:sz="4" w:space="0"/>
                    <w:bottom w:val="single" w:color="auto" w:sz="4" w:space="0"/>
                    <w:right w:val="single" w:color="auto" w:sz="4" w:space="0"/>
                  </w:tcBorders>
                  <w:vAlign w:val="center"/>
                </w:tcPr>
                <w:p w14:paraId="4F722A5B">
                  <w:pPr>
                    <w:jc w:val="center"/>
                    <w:rPr>
                      <w:b/>
                      <w:bCs/>
                      <w:color w:val="auto"/>
                      <w:szCs w:val="21"/>
                    </w:rPr>
                  </w:pPr>
                  <w:r>
                    <w:rPr>
                      <w:b/>
                      <w:bCs/>
                      <w:color w:val="auto"/>
                      <w:szCs w:val="21"/>
                    </w:rPr>
                    <w:t>预测点</w:t>
                  </w:r>
                </w:p>
              </w:tc>
              <w:tc>
                <w:tcPr>
                  <w:tcW w:w="1145" w:type="dxa"/>
                  <w:tcBorders>
                    <w:top w:val="single" w:color="auto" w:sz="4" w:space="0"/>
                    <w:left w:val="single" w:color="auto" w:sz="4" w:space="0"/>
                    <w:bottom w:val="single" w:color="auto" w:sz="4" w:space="0"/>
                    <w:right w:val="single" w:color="auto" w:sz="4" w:space="0"/>
                  </w:tcBorders>
                  <w:vAlign w:val="center"/>
                </w:tcPr>
                <w:p w14:paraId="69CFD60C">
                  <w:pPr>
                    <w:jc w:val="center"/>
                    <w:rPr>
                      <w:b/>
                      <w:bCs/>
                      <w:color w:val="auto"/>
                      <w:szCs w:val="21"/>
                    </w:rPr>
                  </w:pPr>
                  <w:r>
                    <w:rPr>
                      <w:b/>
                      <w:bCs/>
                      <w:color w:val="auto"/>
                      <w:szCs w:val="21"/>
                    </w:rPr>
                    <w:t>东边厂界外1m处</w:t>
                  </w:r>
                </w:p>
              </w:tc>
              <w:tc>
                <w:tcPr>
                  <w:tcW w:w="1145" w:type="dxa"/>
                  <w:tcBorders>
                    <w:top w:val="single" w:color="auto" w:sz="4" w:space="0"/>
                    <w:left w:val="single" w:color="auto" w:sz="4" w:space="0"/>
                    <w:bottom w:val="single" w:color="auto" w:sz="4" w:space="0"/>
                    <w:right w:val="single" w:color="auto" w:sz="4" w:space="0"/>
                  </w:tcBorders>
                  <w:vAlign w:val="center"/>
                </w:tcPr>
                <w:p w14:paraId="65538743">
                  <w:pPr>
                    <w:jc w:val="center"/>
                    <w:rPr>
                      <w:b/>
                      <w:bCs/>
                      <w:color w:val="auto"/>
                      <w:szCs w:val="21"/>
                    </w:rPr>
                  </w:pPr>
                  <w:r>
                    <w:rPr>
                      <w:b/>
                      <w:bCs/>
                      <w:color w:val="auto"/>
                      <w:szCs w:val="21"/>
                    </w:rPr>
                    <w:t>南边厂界外1m处</w:t>
                  </w:r>
                </w:p>
              </w:tc>
              <w:tc>
                <w:tcPr>
                  <w:tcW w:w="1145" w:type="dxa"/>
                  <w:tcBorders>
                    <w:top w:val="single" w:color="auto" w:sz="4" w:space="0"/>
                    <w:left w:val="single" w:color="auto" w:sz="4" w:space="0"/>
                    <w:bottom w:val="single" w:color="auto" w:sz="4" w:space="0"/>
                    <w:right w:val="single" w:color="auto" w:sz="4" w:space="0"/>
                  </w:tcBorders>
                  <w:vAlign w:val="center"/>
                </w:tcPr>
                <w:p w14:paraId="50790DAD">
                  <w:pPr>
                    <w:jc w:val="center"/>
                    <w:rPr>
                      <w:b/>
                      <w:bCs/>
                      <w:color w:val="auto"/>
                      <w:szCs w:val="21"/>
                    </w:rPr>
                  </w:pPr>
                  <w:r>
                    <w:rPr>
                      <w:b/>
                      <w:bCs/>
                      <w:color w:val="auto"/>
                      <w:szCs w:val="21"/>
                    </w:rPr>
                    <w:t>西边厂界外1m处</w:t>
                  </w:r>
                </w:p>
              </w:tc>
              <w:tc>
                <w:tcPr>
                  <w:tcW w:w="1145" w:type="dxa"/>
                  <w:tcBorders>
                    <w:top w:val="single" w:color="auto" w:sz="4" w:space="0"/>
                    <w:left w:val="single" w:color="auto" w:sz="4" w:space="0"/>
                    <w:bottom w:val="single" w:color="auto" w:sz="4" w:space="0"/>
                    <w:right w:val="single" w:color="auto" w:sz="4" w:space="0"/>
                  </w:tcBorders>
                  <w:vAlign w:val="center"/>
                </w:tcPr>
                <w:p w14:paraId="4F0E74BF">
                  <w:pPr>
                    <w:jc w:val="center"/>
                    <w:rPr>
                      <w:b/>
                      <w:bCs/>
                      <w:color w:val="auto"/>
                      <w:szCs w:val="21"/>
                    </w:rPr>
                  </w:pPr>
                  <w:r>
                    <w:rPr>
                      <w:b/>
                      <w:bCs/>
                      <w:color w:val="auto"/>
                      <w:szCs w:val="21"/>
                    </w:rPr>
                    <w:t>北边厂界外1m处</w:t>
                  </w:r>
                </w:p>
              </w:tc>
            </w:tr>
            <w:tr w14:paraId="1284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06" w:type="dxa"/>
                  <w:tcBorders>
                    <w:top w:val="single" w:color="auto" w:sz="4" w:space="0"/>
                    <w:left w:val="single" w:color="auto" w:sz="4" w:space="0"/>
                    <w:bottom w:val="single" w:color="auto" w:sz="4" w:space="0"/>
                    <w:right w:val="single" w:color="auto" w:sz="4" w:space="0"/>
                  </w:tcBorders>
                  <w:vAlign w:val="center"/>
                </w:tcPr>
                <w:p w14:paraId="6CA35A06">
                  <w:pPr>
                    <w:jc w:val="center"/>
                    <w:rPr>
                      <w:color w:val="auto"/>
                      <w:szCs w:val="21"/>
                    </w:rPr>
                  </w:pPr>
                  <w:r>
                    <w:rPr>
                      <w:color w:val="auto"/>
                      <w:szCs w:val="21"/>
                    </w:rPr>
                    <w:t>离室内边界1m处叠加声压级/dB（A）</w:t>
                  </w:r>
                </w:p>
              </w:tc>
              <w:tc>
                <w:tcPr>
                  <w:tcW w:w="1145" w:type="dxa"/>
                  <w:tcBorders>
                    <w:top w:val="single" w:color="auto" w:sz="4" w:space="0"/>
                    <w:left w:val="single" w:color="auto" w:sz="4" w:space="0"/>
                    <w:bottom w:val="single" w:color="auto" w:sz="4" w:space="0"/>
                    <w:right w:val="single" w:color="auto" w:sz="4" w:space="0"/>
                  </w:tcBorders>
                  <w:vAlign w:val="center"/>
                </w:tcPr>
                <w:p w14:paraId="51C17C82">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61.1</w:t>
                  </w:r>
                </w:p>
              </w:tc>
              <w:tc>
                <w:tcPr>
                  <w:tcW w:w="1145" w:type="dxa"/>
                  <w:tcBorders>
                    <w:top w:val="single" w:color="auto" w:sz="4" w:space="0"/>
                    <w:left w:val="single" w:color="auto" w:sz="4" w:space="0"/>
                    <w:bottom w:val="single" w:color="auto" w:sz="4" w:space="0"/>
                    <w:right w:val="single" w:color="auto" w:sz="4" w:space="0"/>
                  </w:tcBorders>
                  <w:vAlign w:val="center"/>
                </w:tcPr>
                <w:p w14:paraId="06D26976">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60.9</w:t>
                  </w:r>
                </w:p>
              </w:tc>
              <w:tc>
                <w:tcPr>
                  <w:tcW w:w="1145" w:type="dxa"/>
                  <w:tcBorders>
                    <w:top w:val="single" w:color="auto" w:sz="4" w:space="0"/>
                    <w:left w:val="single" w:color="auto" w:sz="4" w:space="0"/>
                    <w:bottom w:val="single" w:color="auto" w:sz="4" w:space="0"/>
                    <w:right w:val="single" w:color="auto" w:sz="4" w:space="0"/>
                  </w:tcBorders>
                  <w:vAlign w:val="center"/>
                </w:tcPr>
                <w:p w14:paraId="51248C5D">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60.7</w:t>
                  </w:r>
                </w:p>
              </w:tc>
              <w:tc>
                <w:tcPr>
                  <w:tcW w:w="1145" w:type="dxa"/>
                  <w:tcBorders>
                    <w:top w:val="single" w:color="auto" w:sz="4" w:space="0"/>
                    <w:left w:val="single" w:color="auto" w:sz="4" w:space="0"/>
                    <w:bottom w:val="single" w:color="auto" w:sz="4" w:space="0"/>
                    <w:right w:val="single" w:color="auto" w:sz="4" w:space="0"/>
                  </w:tcBorders>
                  <w:vAlign w:val="center"/>
                </w:tcPr>
                <w:p w14:paraId="0229A3FB">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60.9</w:t>
                  </w:r>
                </w:p>
              </w:tc>
            </w:tr>
            <w:tr w14:paraId="05CF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06" w:type="dxa"/>
                  <w:tcBorders>
                    <w:top w:val="single" w:color="auto" w:sz="4" w:space="0"/>
                    <w:left w:val="single" w:color="auto" w:sz="4" w:space="0"/>
                    <w:bottom w:val="single" w:color="auto" w:sz="4" w:space="0"/>
                    <w:right w:val="single" w:color="auto" w:sz="4" w:space="0"/>
                  </w:tcBorders>
                  <w:vAlign w:val="center"/>
                </w:tcPr>
                <w:p w14:paraId="00219DE9">
                  <w:pPr>
                    <w:jc w:val="center"/>
                    <w:rPr>
                      <w:color w:val="auto"/>
                      <w:szCs w:val="21"/>
                    </w:rPr>
                  </w:pPr>
                  <w:r>
                    <w:rPr>
                      <w:color w:val="auto"/>
                      <w:szCs w:val="21"/>
                    </w:rPr>
                    <w:t>建筑物插入损失（隔声衰减量）/dB（A）</w:t>
                  </w:r>
                </w:p>
              </w:tc>
              <w:tc>
                <w:tcPr>
                  <w:tcW w:w="1145" w:type="dxa"/>
                  <w:tcBorders>
                    <w:top w:val="single" w:color="auto" w:sz="4" w:space="0"/>
                    <w:left w:val="single" w:color="auto" w:sz="4" w:space="0"/>
                    <w:bottom w:val="single" w:color="auto" w:sz="4" w:space="0"/>
                    <w:right w:val="single" w:color="auto" w:sz="4" w:space="0"/>
                  </w:tcBorders>
                  <w:vAlign w:val="center"/>
                </w:tcPr>
                <w:p w14:paraId="24B3AA45">
                  <w:pPr>
                    <w:widowControl/>
                    <w:jc w:val="center"/>
                    <w:textAlignment w:val="center"/>
                    <w:rPr>
                      <w:color w:val="auto"/>
                      <w:szCs w:val="21"/>
                    </w:rPr>
                  </w:pPr>
                  <w:r>
                    <w:rPr>
                      <w:color w:val="auto"/>
                      <w:kern w:val="0"/>
                      <w:szCs w:val="21"/>
                      <w:lang w:bidi="ar"/>
                    </w:rPr>
                    <w:t>15</w:t>
                  </w:r>
                </w:p>
              </w:tc>
              <w:tc>
                <w:tcPr>
                  <w:tcW w:w="1145" w:type="dxa"/>
                  <w:tcBorders>
                    <w:top w:val="single" w:color="auto" w:sz="4" w:space="0"/>
                    <w:left w:val="single" w:color="auto" w:sz="4" w:space="0"/>
                    <w:bottom w:val="single" w:color="auto" w:sz="4" w:space="0"/>
                    <w:right w:val="single" w:color="auto" w:sz="4" w:space="0"/>
                  </w:tcBorders>
                  <w:vAlign w:val="center"/>
                </w:tcPr>
                <w:p w14:paraId="1B97DC82">
                  <w:pPr>
                    <w:widowControl/>
                    <w:jc w:val="center"/>
                    <w:textAlignment w:val="center"/>
                    <w:rPr>
                      <w:color w:val="auto"/>
                      <w:szCs w:val="21"/>
                    </w:rPr>
                  </w:pPr>
                  <w:r>
                    <w:rPr>
                      <w:color w:val="auto"/>
                      <w:kern w:val="0"/>
                      <w:szCs w:val="21"/>
                      <w:lang w:bidi="ar"/>
                    </w:rPr>
                    <w:t>15</w:t>
                  </w:r>
                </w:p>
              </w:tc>
              <w:tc>
                <w:tcPr>
                  <w:tcW w:w="1145" w:type="dxa"/>
                  <w:tcBorders>
                    <w:top w:val="single" w:color="auto" w:sz="4" w:space="0"/>
                    <w:left w:val="single" w:color="auto" w:sz="4" w:space="0"/>
                    <w:bottom w:val="single" w:color="auto" w:sz="4" w:space="0"/>
                    <w:right w:val="single" w:color="auto" w:sz="4" w:space="0"/>
                  </w:tcBorders>
                  <w:vAlign w:val="center"/>
                </w:tcPr>
                <w:p w14:paraId="2BF31502">
                  <w:pPr>
                    <w:widowControl/>
                    <w:jc w:val="center"/>
                    <w:textAlignment w:val="center"/>
                    <w:rPr>
                      <w:color w:val="auto"/>
                      <w:szCs w:val="21"/>
                    </w:rPr>
                  </w:pPr>
                  <w:r>
                    <w:rPr>
                      <w:color w:val="auto"/>
                      <w:kern w:val="0"/>
                      <w:szCs w:val="21"/>
                      <w:lang w:bidi="ar"/>
                    </w:rPr>
                    <w:t>15</w:t>
                  </w:r>
                </w:p>
              </w:tc>
              <w:tc>
                <w:tcPr>
                  <w:tcW w:w="1145" w:type="dxa"/>
                  <w:tcBorders>
                    <w:top w:val="single" w:color="auto" w:sz="4" w:space="0"/>
                    <w:left w:val="single" w:color="auto" w:sz="4" w:space="0"/>
                    <w:bottom w:val="single" w:color="auto" w:sz="4" w:space="0"/>
                    <w:right w:val="single" w:color="auto" w:sz="4" w:space="0"/>
                  </w:tcBorders>
                  <w:vAlign w:val="center"/>
                </w:tcPr>
                <w:p w14:paraId="2779C6E5">
                  <w:pPr>
                    <w:widowControl/>
                    <w:jc w:val="center"/>
                    <w:textAlignment w:val="center"/>
                    <w:rPr>
                      <w:color w:val="auto"/>
                      <w:szCs w:val="21"/>
                    </w:rPr>
                  </w:pPr>
                  <w:r>
                    <w:rPr>
                      <w:color w:val="auto"/>
                      <w:kern w:val="0"/>
                      <w:szCs w:val="21"/>
                      <w:lang w:bidi="ar"/>
                    </w:rPr>
                    <w:t>15</w:t>
                  </w:r>
                </w:p>
              </w:tc>
            </w:tr>
            <w:tr w14:paraId="09791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06" w:type="dxa"/>
                  <w:tcBorders>
                    <w:top w:val="single" w:color="auto" w:sz="4" w:space="0"/>
                    <w:left w:val="single" w:color="auto" w:sz="4" w:space="0"/>
                    <w:bottom w:val="single" w:color="auto" w:sz="4" w:space="0"/>
                    <w:right w:val="single" w:color="auto" w:sz="4" w:space="0"/>
                  </w:tcBorders>
                  <w:vAlign w:val="center"/>
                </w:tcPr>
                <w:p w14:paraId="167D91B5">
                  <w:pPr>
                    <w:jc w:val="center"/>
                    <w:rPr>
                      <w:color w:val="auto"/>
                      <w:szCs w:val="21"/>
                    </w:rPr>
                  </w:pPr>
                  <w:r>
                    <w:rPr>
                      <w:color w:val="auto"/>
                      <w:szCs w:val="21"/>
                    </w:rPr>
                    <w:t>室外边界外1m处声压级/dB（A）</w:t>
                  </w:r>
                </w:p>
              </w:tc>
              <w:tc>
                <w:tcPr>
                  <w:tcW w:w="1145" w:type="dxa"/>
                  <w:tcBorders>
                    <w:top w:val="single" w:color="auto" w:sz="4" w:space="0"/>
                    <w:left w:val="single" w:color="auto" w:sz="4" w:space="0"/>
                    <w:bottom w:val="single" w:color="auto" w:sz="4" w:space="0"/>
                    <w:right w:val="single" w:color="auto" w:sz="4" w:space="0"/>
                  </w:tcBorders>
                  <w:vAlign w:val="center"/>
                </w:tcPr>
                <w:p w14:paraId="6A4B979B">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40.1</w:t>
                  </w:r>
                </w:p>
              </w:tc>
              <w:tc>
                <w:tcPr>
                  <w:tcW w:w="1145" w:type="dxa"/>
                  <w:tcBorders>
                    <w:top w:val="single" w:color="auto" w:sz="4" w:space="0"/>
                    <w:left w:val="single" w:color="auto" w:sz="4" w:space="0"/>
                    <w:bottom w:val="single" w:color="auto" w:sz="4" w:space="0"/>
                    <w:right w:val="single" w:color="auto" w:sz="4" w:space="0"/>
                  </w:tcBorders>
                  <w:vAlign w:val="center"/>
                </w:tcPr>
                <w:p w14:paraId="710400C1">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39.9</w:t>
                  </w:r>
                </w:p>
              </w:tc>
              <w:tc>
                <w:tcPr>
                  <w:tcW w:w="1145" w:type="dxa"/>
                  <w:tcBorders>
                    <w:top w:val="single" w:color="auto" w:sz="4" w:space="0"/>
                    <w:left w:val="single" w:color="auto" w:sz="4" w:space="0"/>
                    <w:bottom w:val="single" w:color="auto" w:sz="4" w:space="0"/>
                    <w:right w:val="single" w:color="auto" w:sz="4" w:space="0"/>
                  </w:tcBorders>
                  <w:vAlign w:val="center"/>
                </w:tcPr>
                <w:p w14:paraId="419DD816">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39.7</w:t>
                  </w:r>
                </w:p>
              </w:tc>
              <w:tc>
                <w:tcPr>
                  <w:tcW w:w="1145" w:type="dxa"/>
                  <w:tcBorders>
                    <w:top w:val="single" w:color="auto" w:sz="4" w:space="0"/>
                    <w:left w:val="single" w:color="auto" w:sz="4" w:space="0"/>
                    <w:bottom w:val="single" w:color="auto" w:sz="4" w:space="0"/>
                    <w:right w:val="single" w:color="auto" w:sz="4" w:space="0"/>
                  </w:tcBorders>
                  <w:vAlign w:val="center"/>
                </w:tcPr>
                <w:p w14:paraId="5F779417">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39.9</w:t>
                  </w:r>
                </w:p>
              </w:tc>
            </w:tr>
            <w:tr w14:paraId="01FF0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06" w:type="dxa"/>
                  <w:tcBorders>
                    <w:top w:val="single" w:color="auto" w:sz="4" w:space="0"/>
                    <w:left w:val="single" w:color="auto" w:sz="4" w:space="0"/>
                    <w:bottom w:val="single" w:color="auto" w:sz="4" w:space="0"/>
                    <w:right w:val="single" w:color="auto" w:sz="4" w:space="0"/>
                  </w:tcBorders>
                  <w:vAlign w:val="center"/>
                </w:tcPr>
                <w:p w14:paraId="056EF454">
                  <w:pPr>
                    <w:jc w:val="center"/>
                    <w:rPr>
                      <w:color w:val="auto"/>
                      <w:szCs w:val="21"/>
                    </w:rPr>
                  </w:pPr>
                  <w:r>
                    <w:rPr>
                      <w:color w:val="auto"/>
                      <w:szCs w:val="21"/>
                    </w:rPr>
                    <w:t xml:space="preserve">声源与厂界预测处距离/m </w:t>
                  </w:r>
                </w:p>
              </w:tc>
              <w:tc>
                <w:tcPr>
                  <w:tcW w:w="1145" w:type="dxa"/>
                  <w:tcBorders>
                    <w:top w:val="single" w:color="auto" w:sz="4" w:space="0"/>
                    <w:left w:val="single" w:color="auto" w:sz="4" w:space="0"/>
                    <w:bottom w:val="single" w:color="auto" w:sz="4" w:space="0"/>
                    <w:right w:val="single" w:color="auto" w:sz="4" w:space="0"/>
                  </w:tcBorders>
                  <w:vAlign w:val="center"/>
                </w:tcPr>
                <w:p w14:paraId="0C9FFE67">
                  <w:pPr>
                    <w:widowControl/>
                    <w:jc w:val="center"/>
                    <w:textAlignment w:val="center"/>
                    <w:rPr>
                      <w:rFonts w:eastAsia="等线"/>
                      <w:color w:val="auto"/>
                      <w:szCs w:val="21"/>
                    </w:rPr>
                  </w:pPr>
                  <w:r>
                    <w:rPr>
                      <w:color w:val="auto"/>
                      <w:kern w:val="0"/>
                      <w:szCs w:val="21"/>
                      <w:lang w:bidi="ar"/>
                    </w:rPr>
                    <w:t>17.6</w:t>
                  </w:r>
                </w:p>
              </w:tc>
              <w:tc>
                <w:tcPr>
                  <w:tcW w:w="1145" w:type="dxa"/>
                  <w:tcBorders>
                    <w:top w:val="single" w:color="auto" w:sz="4" w:space="0"/>
                    <w:left w:val="single" w:color="auto" w:sz="4" w:space="0"/>
                    <w:bottom w:val="single" w:color="auto" w:sz="4" w:space="0"/>
                    <w:right w:val="single" w:color="auto" w:sz="4" w:space="0"/>
                  </w:tcBorders>
                  <w:vAlign w:val="center"/>
                </w:tcPr>
                <w:p w14:paraId="70EF7E9F">
                  <w:pPr>
                    <w:widowControl/>
                    <w:jc w:val="center"/>
                    <w:textAlignment w:val="center"/>
                    <w:rPr>
                      <w:rFonts w:eastAsia="等线"/>
                      <w:color w:val="auto"/>
                      <w:szCs w:val="21"/>
                    </w:rPr>
                  </w:pPr>
                  <w:r>
                    <w:rPr>
                      <w:color w:val="auto"/>
                      <w:kern w:val="0"/>
                      <w:szCs w:val="21"/>
                      <w:lang w:bidi="ar"/>
                    </w:rPr>
                    <w:t>17.6</w:t>
                  </w:r>
                </w:p>
              </w:tc>
              <w:tc>
                <w:tcPr>
                  <w:tcW w:w="1145" w:type="dxa"/>
                  <w:tcBorders>
                    <w:top w:val="single" w:color="auto" w:sz="4" w:space="0"/>
                    <w:left w:val="single" w:color="auto" w:sz="4" w:space="0"/>
                    <w:bottom w:val="single" w:color="auto" w:sz="4" w:space="0"/>
                    <w:right w:val="single" w:color="auto" w:sz="4" w:space="0"/>
                  </w:tcBorders>
                  <w:vAlign w:val="center"/>
                </w:tcPr>
                <w:p w14:paraId="2ED9855C">
                  <w:pPr>
                    <w:widowControl/>
                    <w:jc w:val="center"/>
                    <w:textAlignment w:val="center"/>
                    <w:rPr>
                      <w:rFonts w:eastAsia="等线"/>
                      <w:color w:val="auto"/>
                      <w:szCs w:val="21"/>
                    </w:rPr>
                  </w:pPr>
                  <w:r>
                    <w:rPr>
                      <w:color w:val="auto"/>
                      <w:kern w:val="0"/>
                      <w:szCs w:val="21"/>
                      <w:lang w:bidi="ar"/>
                    </w:rPr>
                    <w:t>17.6</w:t>
                  </w:r>
                </w:p>
              </w:tc>
              <w:tc>
                <w:tcPr>
                  <w:tcW w:w="1145" w:type="dxa"/>
                  <w:tcBorders>
                    <w:top w:val="single" w:color="auto" w:sz="4" w:space="0"/>
                    <w:left w:val="single" w:color="auto" w:sz="4" w:space="0"/>
                    <w:bottom w:val="single" w:color="auto" w:sz="4" w:space="0"/>
                    <w:right w:val="single" w:color="auto" w:sz="4" w:space="0"/>
                  </w:tcBorders>
                  <w:vAlign w:val="center"/>
                </w:tcPr>
                <w:p w14:paraId="69DDEDF7">
                  <w:pPr>
                    <w:widowControl/>
                    <w:jc w:val="center"/>
                    <w:textAlignment w:val="center"/>
                    <w:rPr>
                      <w:rFonts w:eastAsia="等线"/>
                      <w:color w:val="auto"/>
                      <w:szCs w:val="21"/>
                    </w:rPr>
                  </w:pPr>
                  <w:r>
                    <w:rPr>
                      <w:color w:val="auto"/>
                      <w:kern w:val="0"/>
                      <w:szCs w:val="21"/>
                      <w:lang w:bidi="ar"/>
                    </w:rPr>
                    <w:t>17.6</w:t>
                  </w:r>
                </w:p>
              </w:tc>
            </w:tr>
            <w:tr w14:paraId="3765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06" w:type="dxa"/>
                  <w:tcBorders>
                    <w:top w:val="single" w:color="auto" w:sz="4" w:space="0"/>
                    <w:left w:val="single" w:color="auto" w:sz="4" w:space="0"/>
                    <w:bottom w:val="single" w:color="auto" w:sz="4" w:space="0"/>
                    <w:right w:val="single" w:color="auto" w:sz="4" w:space="0"/>
                  </w:tcBorders>
                  <w:vAlign w:val="center"/>
                </w:tcPr>
                <w:p w14:paraId="30510DAA">
                  <w:pPr>
                    <w:jc w:val="center"/>
                    <w:rPr>
                      <w:color w:val="auto"/>
                      <w:szCs w:val="21"/>
                    </w:rPr>
                  </w:pPr>
                  <w:r>
                    <w:rPr>
                      <w:color w:val="auto"/>
                      <w:szCs w:val="21"/>
                    </w:rPr>
                    <w:t>衰减量/dB（A）</w:t>
                  </w:r>
                </w:p>
              </w:tc>
              <w:tc>
                <w:tcPr>
                  <w:tcW w:w="1145" w:type="dxa"/>
                  <w:tcBorders>
                    <w:top w:val="single" w:color="auto" w:sz="4" w:space="0"/>
                    <w:left w:val="single" w:color="auto" w:sz="4" w:space="0"/>
                    <w:bottom w:val="single" w:color="auto" w:sz="4" w:space="0"/>
                    <w:right w:val="single" w:color="auto" w:sz="4" w:space="0"/>
                  </w:tcBorders>
                  <w:vAlign w:val="center"/>
                </w:tcPr>
                <w:p w14:paraId="308607E1">
                  <w:pPr>
                    <w:widowControl/>
                    <w:jc w:val="center"/>
                    <w:textAlignment w:val="center"/>
                    <w:rPr>
                      <w:rFonts w:eastAsia="等线"/>
                      <w:color w:val="auto"/>
                      <w:szCs w:val="21"/>
                    </w:rPr>
                  </w:pPr>
                  <w:r>
                    <w:rPr>
                      <w:color w:val="auto"/>
                      <w:kern w:val="0"/>
                      <w:szCs w:val="21"/>
                      <w:lang w:bidi="ar"/>
                    </w:rPr>
                    <w:t>24.9</w:t>
                  </w:r>
                </w:p>
              </w:tc>
              <w:tc>
                <w:tcPr>
                  <w:tcW w:w="1145" w:type="dxa"/>
                  <w:tcBorders>
                    <w:top w:val="single" w:color="auto" w:sz="4" w:space="0"/>
                    <w:left w:val="single" w:color="auto" w:sz="4" w:space="0"/>
                    <w:bottom w:val="single" w:color="auto" w:sz="4" w:space="0"/>
                    <w:right w:val="single" w:color="auto" w:sz="4" w:space="0"/>
                  </w:tcBorders>
                  <w:vAlign w:val="center"/>
                </w:tcPr>
                <w:p w14:paraId="20E91A68">
                  <w:pPr>
                    <w:widowControl/>
                    <w:jc w:val="center"/>
                    <w:textAlignment w:val="center"/>
                    <w:rPr>
                      <w:rFonts w:eastAsia="等线"/>
                      <w:color w:val="auto"/>
                      <w:szCs w:val="21"/>
                    </w:rPr>
                  </w:pPr>
                  <w:r>
                    <w:rPr>
                      <w:color w:val="auto"/>
                      <w:kern w:val="0"/>
                      <w:szCs w:val="21"/>
                      <w:lang w:bidi="ar"/>
                    </w:rPr>
                    <w:t>24.9</w:t>
                  </w:r>
                </w:p>
              </w:tc>
              <w:tc>
                <w:tcPr>
                  <w:tcW w:w="1145" w:type="dxa"/>
                  <w:tcBorders>
                    <w:top w:val="single" w:color="auto" w:sz="4" w:space="0"/>
                    <w:left w:val="single" w:color="auto" w:sz="4" w:space="0"/>
                    <w:bottom w:val="single" w:color="auto" w:sz="4" w:space="0"/>
                    <w:right w:val="single" w:color="auto" w:sz="4" w:space="0"/>
                  </w:tcBorders>
                  <w:vAlign w:val="center"/>
                </w:tcPr>
                <w:p w14:paraId="29A6CF31">
                  <w:pPr>
                    <w:widowControl/>
                    <w:jc w:val="center"/>
                    <w:textAlignment w:val="center"/>
                    <w:rPr>
                      <w:rFonts w:eastAsia="等线"/>
                      <w:color w:val="auto"/>
                      <w:szCs w:val="21"/>
                    </w:rPr>
                  </w:pPr>
                  <w:r>
                    <w:rPr>
                      <w:color w:val="auto"/>
                      <w:kern w:val="0"/>
                      <w:szCs w:val="21"/>
                      <w:lang w:bidi="ar"/>
                    </w:rPr>
                    <w:t>24.9</w:t>
                  </w:r>
                </w:p>
              </w:tc>
              <w:tc>
                <w:tcPr>
                  <w:tcW w:w="1145" w:type="dxa"/>
                  <w:tcBorders>
                    <w:top w:val="single" w:color="auto" w:sz="4" w:space="0"/>
                    <w:left w:val="single" w:color="auto" w:sz="4" w:space="0"/>
                    <w:bottom w:val="single" w:color="auto" w:sz="4" w:space="0"/>
                    <w:right w:val="single" w:color="auto" w:sz="4" w:space="0"/>
                  </w:tcBorders>
                  <w:vAlign w:val="center"/>
                </w:tcPr>
                <w:p w14:paraId="7F67423F">
                  <w:pPr>
                    <w:widowControl/>
                    <w:jc w:val="center"/>
                    <w:textAlignment w:val="center"/>
                    <w:rPr>
                      <w:rFonts w:eastAsia="等线"/>
                      <w:color w:val="auto"/>
                      <w:szCs w:val="21"/>
                    </w:rPr>
                  </w:pPr>
                  <w:r>
                    <w:rPr>
                      <w:color w:val="auto"/>
                      <w:kern w:val="0"/>
                      <w:szCs w:val="21"/>
                      <w:lang w:bidi="ar"/>
                    </w:rPr>
                    <w:t>24.9</w:t>
                  </w:r>
                </w:p>
              </w:tc>
            </w:tr>
            <w:tr w14:paraId="7EC5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06" w:type="dxa"/>
                  <w:tcBorders>
                    <w:top w:val="single" w:color="auto" w:sz="4" w:space="0"/>
                    <w:left w:val="single" w:color="auto" w:sz="4" w:space="0"/>
                    <w:bottom w:val="single" w:color="auto" w:sz="4" w:space="0"/>
                    <w:right w:val="single" w:color="auto" w:sz="4" w:space="0"/>
                  </w:tcBorders>
                  <w:vAlign w:val="center"/>
                </w:tcPr>
                <w:p w14:paraId="456BC9E6">
                  <w:pPr>
                    <w:jc w:val="center"/>
                    <w:rPr>
                      <w:color w:val="auto"/>
                      <w:szCs w:val="21"/>
                    </w:rPr>
                  </w:pPr>
                  <w:r>
                    <w:rPr>
                      <w:color w:val="auto"/>
                      <w:szCs w:val="21"/>
                    </w:rPr>
                    <w:t>昼间贡献值/dB（A）</w:t>
                  </w:r>
                </w:p>
              </w:tc>
              <w:tc>
                <w:tcPr>
                  <w:tcW w:w="1145" w:type="dxa"/>
                  <w:tcBorders>
                    <w:top w:val="single" w:color="auto" w:sz="4" w:space="0"/>
                    <w:left w:val="single" w:color="auto" w:sz="4" w:space="0"/>
                    <w:bottom w:val="single" w:color="auto" w:sz="4" w:space="0"/>
                    <w:right w:val="single" w:color="auto" w:sz="4" w:space="0"/>
                  </w:tcBorders>
                  <w:vAlign w:val="center"/>
                </w:tcPr>
                <w:p w14:paraId="532D659A">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15.2</w:t>
                  </w:r>
                </w:p>
              </w:tc>
              <w:tc>
                <w:tcPr>
                  <w:tcW w:w="1145" w:type="dxa"/>
                  <w:tcBorders>
                    <w:top w:val="single" w:color="auto" w:sz="4" w:space="0"/>
                    <w:left w:val="single" w:color="auto" w:sz="4" w:space="0"/>
                    <w:bottom w:val="single" w:color="auto" w:sz="4" w:space="0"/>
                    <w:right w:val="single" w:color="auto" w:sz="4" w:space="0"/>
                  </w:tcBorders>
                  <w:vAlign w:val="center"/>
                </w:tcPr>
                <w:p w14:paraId="0F9FB81D">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145" w:type="dxa"/>
                  <w:tcBorders>
                    <w:top w:val="single" w:color="auto" w:sz="4" w:space="0"/>
                    <w:left w:val="single" w:color="auto" w:sz="4" w:space="0"/>
                    <w:bottom w:val="single" w:color="auto" w:sz="4" w:space="0"/>
                    <w:right w:val="single" w:color="auto" w:sz="4" w:space="0"/>
                  </w:tcBorders>
                  <w:vAlign w:val="center"/>
                </w:tcPr>
                <w:p w14:paraId="7D66EAFA">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14.8</w:t>
                  </w:r>
                </w:p>
              </w:tc>
              <w:tc>
                <w:tcPr>
                  <w:tcW w:w="1145" w:type="dxa"/>
                  <w:tcBorders>
                    <w:top w:val="single" w:color="auto" w:sz="4" w:space="0"/>
                    <w:left w:val="single" w:color="auto" w:sz="4" w:space="0"/>
                    <w:bottom w:val="single" w:color="auto" w:sz="4" w:space="0"/>
                    <w:right w:val="single" w:color="auto" w:sz="4" w:space="0"/>
                  </w:tcBorders>
                  <w:vAlign w:val="center"/>
                </w:tcPr>
                <w:p w14:paraId="70516CBB">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15</w:t>
                  </w:r>
                </w:p>
              </w:tc>
            </w:tr>
            <w:tr w14:paraId="65556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06" w:type="dxa"/>
                  <w:tcBorders>
                    <w:top w:val="single" w:color="auto" w:sz="4" w:space="0"/>
                    <w:left w:val="single" w:color="auto" w:sz="4" w:space="0"/>
                    <w:bottom w:val="single" w:color="auto" w:sz="4" w:space="0"/>
                    <w:right w:val="single" w:color="auto" w:sz="4" w:space="0"/>
                  </w:tcBorders>
                  <w:vAlign w:val="center"/>
                </w:tcPr>
                <w:p w14:paraId="70870A75">
                  <w:pPr>
                    <w:jc w:val="center"/>
                    <w:rPr>
                      <w:color w:val="auto"/>
                      <w:szCs w:val="21"/>
                    </w:rPr>
                  </w:pPr>
                  <w:r>
                    <w:rPr>
                      <w:color w:val="auto"/>
                      <w:szCs w:val="21"/>
                    </w:rPr>
                    <w:t>标准</w:t>
                  </w:r>
                </w:p>
              </w:tc>
              <w:tc>
                <w:tcPr>
                  <w:tcW w:w="1145" w:type="dxa"/>
                  <w:tcBorders>
                    <w:top w:val="single" w:color="auto" w:sz="4" w:space="0"/>
                    <w:left w:val="single" w:color="auto" w:sz="4" w:space="0"/>
                    <w:bottom w:val="single" w:color="auto" w:sz="4" w:space="0"/>
                    <w:right w:val="single" w:color="auto" w:sz="4" w:space="0"/>
                  </w:tcBorders>
                  <w:vAlign w:val="center"/>
                </w:tcPr>
                <w:p w14:paraId="07A9314E">
                  <w:pPr>
                    <w:widowControl/>
                    <w:jc w:val="center"/>
                    <w:textAlignment w:val="center"/>
                    <w:rPr>
                      <w:color w:val="auto"/>
                      <w:szCs w:val="21"/>
                    </w:rPr>
                  </w:pPr>
                  <w:r>
                    <w:rPr>
                      <w:color w:val="auto"/>
                      <w:kern w:val="0"/>
                      <w:szCs w:val="21"/>
                      <w:lang w:bidi="ar"/>
                    </w:rPr>
                    <w:t>65</w:t>
                  </w:r>
                </w:p>
              </w:tc>
              <w:tc>
                <w:tcPr>
                  <w:tcW w:w="1145" w:type="dxa"/>
                  <w:tcBorders>
                    <w:top w:val="single" w:color="auto" w:sz="4" w:space="0"/>
                    <w:left w:val="single" w:color="auto" w:sz="4" w:space="0"/>
                    <w:bottom w:val="single" w:color="auto" w:sz="4" w:space="0"/>
                    <w:right w:val="single" w:color="auto" w:sz="4" w:space="0"/>
                  </w:tcBorders>
                  <w:vAlign w:val="center"/>
                </w:tcPr>
                <w:p w14:paraId="00D52820">
                  <w:pPr>
                    <w:widowControl/>
                    <w:jc w:val="center"/>
                    <w:textAlignment w:val="center"/>
                    <w:rPr>
                      <w:color w:val="auto"/>
                      <w:szCs w:val="21"/>
                    </w:rPr>
                  </w:pPr>
                  <w:r>
                    <w:rPr>
                      <w:color w:val="auto"/>
                      <w:kern w:val="0"/>
                      <w:szCs w:val="21"/>
                      <w:lang w:bidi="ar"/>
                    </w:rPr>
                    <w:t>65</w:t>
                  </w:r>
                </w:p>
              </w:tc>
              <w:tc>
                <w:tcPr>
                  <w:tcW w:w="1145" w:type="dxa"/>
                  <w:tcBorders>
                    <w:top w:val="single" w:color="auto" w:sz="4" w:space="0"/>
                    <w:left w:val="single" w:color="auto" w:sz="4" w:space="0"/>
                    <w:bottom w:val="single" w:color="auto" w:sz="4" w:space="0"/>
                    <w:right w:val="single" w:color="auto" w:sz="4" w:space="0"/>
                  </w:tcBorders>
                  <w:vAlign w:val="center"/>
                </w:tcPr>
                <w:p w14:paraId="0C70FC3D">
                  <w:pPr>
                    <w:widowControl/>
                    <w:jc w:val="center"/>
                    <w:textAlignment w:val="center"/>
                    <w:rPr>
                      <w:color w:val="auto"/>
                      <w:szCs w:val="21"/>
                    </w:rPr>
                  </w:pPr>
                  <w:r>
                    <w:rPr>
                      <w:color w:val="auto"/>
                      <w:kern w:val="0"/>
                      <w:szCs w:val="21"/>
                      <w:lang w:bidi="ar"/>
                    </w:rPr>
                    <w:t>65</w:t>
                  </w:r>
                </w:p>
              </w:tc>
              <w:tc>
                <w:tcPr>
                  <w:tcW w:w="1145" w:type="dxa"/>
                  <w:tcBorders>
                    <w:top w:val="single" w:color="auto" w:sz="4" w:space="0"/>
                    <w:left w:val="single" w:color="auto" w:sz="4" w:space="0"/>
                    <w:bottom w:val="single" w:color="auto" w:sz="4" w:space="0"/>
                    <w:right w:val="single" w:color="auto" w:sz="4" w:space="0"/>
                  </w:tcBorders>
                  <w:vAlign w:val="center"/>
                </w:tcPr>
                <w:p w14:paraId="658974DE">
                  <w:pPr>
                    <w:widowControl/>
                    <w:jc w:val="center"/>
                    <w:textAlignment w:val="center"/>
                    <w:rPr>
                      <w:color w:val="auto"/>
                      <w:szCs w:val="21"/>
                    </w:rPr>
                  </w:pPr>
                  <w:r>
                    <w:rPr>
                      <w:color w:val="auto"/>
                      <w:kern w:val="0"/>
                      <w:szCs w:val="21"/>
                      <w:lang w:bidi="ar"/>
                    </w:rPr>
                    <w:t>65</w:t>
                  </w:r>
                </w:p>
              </w:tc>
            </w:tr>
            <w:tr w14:paraId="1AFF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06" w:type="dxa"/>
                  <w:tcBorders>
                    <w:top w:val="single" w:color="auto" w:sz="4" w:space="0"/>
                    <w:left w:val="single" w:color="auto" w:sz="4" w:space="0"/>
                    <w:bottom w:val="single" w:color="auto" w:sz="4" w:space="0"/>
                    <w:right w:val="single" w:color="auto" w:sz="4" w:space="0"/>
                  </w:tcBorders>
                  <w:vAlign w:val="center"/>
                </w:tcPr>
                <w:p w14:paraId="17DC7DD2">
                  <w:pPr>
                    <w:jc w:val="center"/>
                    <w:rPr>
                      <w:color w:val="auto"/>
                      <w:szCs w:val="21"/>
                    </w:rPr>
                  </w:pPr>
                  <w:r>
                    <w:rPr>
                      <w:color w:val="auto"/>
                      <w:szCs w:val="21"/>
                    </w:rPr>
                    <w:t>达标情况</w:t>
                  </w:r>
                </w:p>
              </w:tc>
              <w:tc>
                <w:tcPr>
                  <w:tcW w:w="1145" w:type="dxa"/>
                  <w:tcBorders>
                    <w:top w:val="single" w:color="auto" w:sz="4" w:space="0"/>
                    <w:left w:val="single" w:color="auto" w:sz="4" w:space="0"/>
                    <w:bottom w:val="single" w:color="auto" w:sz="4" w:space="0"/>
                    <w:right w:val="single" w:color="auto" w:sz="4" w:space="0"/>
                  </w:tcBorders>
                  <w:vAlign w:val="center"/>
                </w:tcPr>
                <w:p w14:paraId="00D3A2B5">
                  <w:pPr>
                    <w:widowControl/>
                    <w:jc w:val="center"/>
                    <w:textAlignment w:val="center"/>
                    <w:rPr>
                      <w:color w:val="auto"/>
                      <w:szCs w:val="21"/>
                    </w:rPr>
                  </w:pPr>
                  <w:r>
                    <w:rPr>
                      <w:color w:val="auto"/>
                      <w:kern w:val="0"/>
                      <w:szCs w:val="21"/>
                      <w:lang w:bidi="ar"/>
                    </w:rPr>
                    <w:t>达标</w:t>
                  </w:r>
                </w:p>
              </w:tc>
              <w:tc>
                <w:tcPr>
                  <w:tcW w:w="1145" w:type="dxa"/>
                  <w:tcBorders>
                    <w:top w:val="single" w:color="auto" w:sz="4" w:space="0"/>
                    <w:left w:val="single" w:color="auto" w:sz="4" w:space="0"/>
                    <w:bottom w:val="single" w:color="auto" w:sz="4" w:space="0"/>
                    <w:right w:val="single" w:color="auto" w:sz="4" w:space="0"/>
                  </w:tcBorders>
                  <w:vAlign w:val="center"/>
                </w:tcPr>
                <w:p w14:paraId="52159CD2">
                  <w:pPr>
                    <w:widowControl/>
                    <w:jc w:val="center"/>
                    <w:textAlignment w:val="center"/>
                    <w:rPr>
                      <w:color w:val="auto"/>
                      <w:szCs w:val="21"/>
                    </w:rPr>
                  </w:pPr>
                  <w:r>
                    <w:rPr>
                      <w:color w:val="auto"/>
                      <w:kern w:val="0"/>
                      <w:szCs w:val="21"/>
                      <w:lang w:bidi="ar"/>
                    </w:rPr>
                    <w:t>达标</w:t>
                  </w:r>
                </w:p>
              </w:tc>
              <w:tc>
                <w:tcPr>
                  <w:tcW w:w="1145" w:type="dxa"/>
                  <w:tcBorders>
                    <w:top w:val="single" w:color="auto" w:sz="4" w:space="0"/>
                    <w:left w:val="single" w:color="auto" w:sz="4" w:space="0"/>
                    <w:bottom w:val="single" w:color="auto" w:sz="4" w:space="0"/>
                    <w:right w:val="single" w:color="auto" w:sz="4" w:space="0"/>
                  </w:tcBorders>
                  <w:vAlign w:val="center"/>
                </w:tcPr>
                <w:p w14:paraId="222DFE6E">
                  <w:pPr>
                    <w:widowControl/>
                    <w:jc w:val="center"/>
                    <w:textAlignment w:val="center"/>
                    <w:rPr>
                      <w:color w:val="auto"/>
                      <w:szCs w:val="21"/>
                    </w:rPr>
                  </w:pPr>
                  <w:r>
                    <w:rPr>
                      <w:color w:val="auto"/>
                      <w:kern w:val="0"/>
                      <w:szCs w:val="21"/>
                      <w:lang w:bidi="ar"/>
                    </w:rPr>
                    <w:t>达标</w:t>
                  </w:r>
                </w:p>
              </w:tc>
              <w:tc>
                <w:tcPr>
                  <w:tcW w:w="1145" w:type="dxa"/>
                  <w:tcBorders>
                    <w:top w:val="single" w:color="auto" w:sz="4" w:space="0"/>
                    <w:left w:val="single" w:color="auto" w:sz="4" w:space="0"/>
                    <w:bottom w:val="single" w:color="auto" w:sz="4" w:space="0"/>
                    <w:right w:val="single" w:color="auto" w:sz="4" w:space="0"/>
                  </w:tcBorders>
                  <w:vAlign w:val="center"/>
                </w:tcPr>
                <w:p w14:paraId="5986949B">
                  <w:pPr>
                    <w:widowControl/>
                    <w:jc w:val="center"/>
                    <w:textAlignment w:val="center"/>
                    <w:rPr>
                      <w:color w:val="auto"/>
                      <w:szCs w:val="21"/>
                    </w:rPr>
                  </w:pPr>
                  <w:r>
                    <w:rPr>
                      <w:color w:val="auto"/>
                      <w:kern w:val="0"/>
                      <w:szCs w:val="21"/>
                      <w:lang w:bidi="ar"/>
                    </w:rPr>
                    <w:t>达标</w:t>
                  </w:r>
                </w:p>
              </w:tc>
            </w:tr>
          </w:tbl>
          <w:p w14:paraId="66168453">
            <w:pPr>
              <w:spacing w:line="360" w:lineRule="auto"/>
              <w:ind w:firstLine="420" w:firstLineChars="200"/>
              <w:rPr>
                <w:color w:val="auto"/>
                <w:sz w:val="24"/>
                <w:szCs w:val="24"/>
              </w:rPr>
            </w:pPr>
            <w:r>
              <w:rPr>
                <w:color w:val="auto"/>
                <w:kern w:val="0"/>
                <w:szCs w:val="20"/>
              </w:rPr>
              <w:t xml:space="preserve"> </w:t>
            </w:r>
            <w:r>
              <w:rPr>
                <w:color w:val="auto"/>
                <w:sz w:val="24"/>
                <w:szCs w:val="24"/>
              </w:rPr>
              <w:t>由预测结果可知，正常工况下，经过合理布局，选用低噪声设备，减振、实体墙隔声和绿化衰减、距离衰减等措施后，项目生产设备噪声对厂界的噪声贡献值不大，昼间产生的噪声值可符合《工业企业厂界环境噪声排放标准》（GB12348-2008）3类标准要求（即昼间≤65dB(A)），对周围环境影响较小。</w:t>
            </w:r>
          </w:p>
          <w:p w14:paraId="08DF5B24">
            <w:pPr>
              <w:spacing w:line="360" w:lineRule="auto"/>
              <w:ind w:firstLine="480" w:firstLineChars="200"/>
              <w:rPr>
                <w:color w:val="auto"/>
                <w:sz w:val="24"/>
                <w:szCs w:val="24"/>
              </w:rPr>
            </w:pPr>
            <w:r>
              <w:rPr>
                <w:color w:val="auto"/>
                <w:sz w:val="24"/>
                <w:szCs w:val="24"/>
              </w:rPr>
              <w:t>为了进一步降低生产过程中产生的噪声，尽量避免项目噪声对项目内员工及周围声环境产生不良影响，本环评建议采取如下措施为：</w:t>
            </w:r>
          </w:p>
          <w:p w14:paraId="7BB838A2">
            <w:pPr>
              <w:spacing w:line="360" w:lineRule="auto"/>
              <w:ind w:firstLine="480" w:firstLineChars="200"/>
              <w:rPr>
                <w:color w:val="auto"/>
                <w:sz w:val="24"/>
                <w:szCs w:val="24"/>
              </w:rPr>
            </w:pPr>
            <w:r>
              <w:rPr>
                <w:rFonts w:hint="eastAsia" w:ascii="宋体" w:hAnsi="宋体" w:cs="宋体"/>
                <w:color w:val="auto"/>
                <w:sz w:val="24"/>
                <w:szCs w:val="24"/>
              </w:rPr>
              <w:t>①</w:t>
            </w:r>
            <w:r>
              <w:rPr>
                <w:color w:val="auto"/>
                <w:sz w:val="24"/>
                <w:szCs w:val="24"/>
              </w:rPr>
              <w:t>设备选低噪声设备，从根本上控制噪声的影响。</w:t>
            </w:r>
          </w:p>
          <w:p w14:paraId="6561A6C5">
            <w:pPr>
              <w:spacing w:line="360" w:lineRule="auto"/>
              <w:ind w:firstLine="480" w:firstLineChars="200"/>
              <w:rPr>
                <w:color w:val="auto"/>
                <w:sz w:val="24"/>
                <w:szCs w:val="24"/>
              </w:rPr>
            </w:pPr>
            <w:r>
              <w:rPr>
                <w:rFonts w:hint="eastAsia" w:ascii="宋体" w:hAnsi="宋体" w:cs="宋体"/>
                <w:color w:val="auto"/>
                <w:sz w:val="24"/>
                <w:szCs w:val="24"/>
              </w:rPr>
              <w:t>②</w:t>
            </w:r>
            <w:r>
              <w:rPr>
                <w:color w:val="auto"/>
                <w:sz w:val="24"/>
                <w:szCs w:val="24"/>
              </w:rPr>
              <w:t>根据厂区实际情况，对厂区各产生高噪声的设备进行合理布局，使同类高噪声的设备远离项目厂房边界和敏感点。项目将高噪声设备安排在厂房中部位置，增加距离衰减效果，减少噪音源向外传播。</w:t>
            </w:r>
          </w:p>
          <w:p w14:paraId="6E47C096">
            <w:pPr>
              <w:spacing w:line="360" w:lineRule="auto"/>
              <w:ind w:firstLine="480" w:firstLineChars="200"/>
              <w:rPr>
                <w:color w:val="auto"/>
                <w:sz w:val="24"/>
                <w:szCs w:val="24"/>
              </w:rPr>
            </w:pPr>
            <w:r>
              <w:rPr>
                <w:rFonts w:hint="eastAsia" w:ascii="宋体" w:hAnsi="宋体" w:cs="宋体"/>
                <w:color w:val="auto"/>
                <w:sz w:val="24"/>
                <w:szCs w:val="24"/>
              </w:rPr>
              <w:t>③</w:t>
            </w:r>
            <w:r>
              <w:rPr>
                <w:color w:val="auto"/>
                <w:sz w:val="24"/>
                <w:szCs w:val="24"/>
              </w:rPr>
              <w:t>对高噪声的机械设备设施进行减振处理，加强设备的维修保养，对噪声较大的设备设置减震弹簧、减震垫等减震措施。</w:t>
            </w:r>
          </w:p>
          <w:p w14:paraId="51B41F58">
            <w:pPr>
              <w:spacing w:line="360" w:lineRule="auto"/>
              <w:ind w:firstLine="480" w:firstLineChars="200"/>
              <w:rPr>
                <w:color w:val="auto"/>
                <w:sz w:val="24"/>
                <w:szCs w:val="24"/>
              </w:rPr>
            </w:pPr>
            <w:r>
              <w:rPr>
                <w:rFonts w:hint="eastAsia" w:ascii="宋体" w:hAnsi="宋体" w:cs="宋体"/>
                <w:color w:val="auto"/>
                <w:sz w:val="24"/>
                <w:szCs w:val="24"/>
              </w:rPr>
              <w:t>④</w:t>
            </w:r>
            <w:r>
              <w:rPr>
                <w:color w:val="auto"/>
                <w:sz w:val="24"/>
                <w:szCs w:val="24"/>
              </w:rPr>
              <w:t>定期对车间内设备进行检修，防止不良工况的故障噪声产生。</w:t>
            </w:r>
          </w:p>
          <w:p w14:paraId="06235FB2">
            <w:pPr>
              <w:pStyle w:val="89"/>
              <w:spacing w:before="0" w:beforeLines="0"/>
              <w:ind w:firstLine="420"/>
              <w:rPr>
                <w:rFonts w:cs="Times New Roman"/>
                <w:color w:val="auto"/>
                <w:sz w:val="24"/>
                <w:szCs w:val="24"/>
              </w:rPr>
            </w:pPr>
            <w:r>
              <w:rPr>
                <w:rFonts w:cs="Times New Roman"/>
                <w:color w:val="auto"/>
                <w:sz w:val="24"/>
                <w:szCs w:val="24"/>
              </w:rPr>
              <w:t>（3）自行监测计划</w:t>
            </w:r>
          </w:p>
          <w:p w14:paraId="161AD249">
            <w:pPr>
              <w:adjustRightInd w:val="0"/>
              <w:snapToGrid w:val="0"/>
              <w:spacing w:line="360" w:lineRule="auto"/>
              <w:ind w:firstLine="480" w:firstLineChars="200"/>
              <w:rPr>
                <w:bCs/>
                <w:color w:val="auto"/>
                <w:sz w:val="24"/>
                <w:szCs w:val="24"/>
              </w:rPr>
            </w:pPr>
            <w:r>
              <w:rPr>
                <w:bCs/>
                <w:color w:val="auto"/>
                <w:sz w:val="24"/>
                <w:szCs w:val="24"/>
              </w:rPr>
              <w:t>根据《排污单位自行监测技术指南 总则》（HJ819-2017）、《排污许可证申请与核发技术规范 工业噪声》（HJ 1301—2023）等，本项目噪声污染源监测计划见下表。</w:t>
            </w:r>
          </w:p>
          <w:p w14:paraId="1E01EADA">
            <w:pPr>
              <w:pStyle w:val="46"/>
              <w:jc w:val="center"/>
              <w:rPr>
                <w:rFonts w:hint="default" w:ascii="Times New Roman" w:hAnsi="Times New Roman"/>
                <w:b/>
                <w:color w:val="auto"/>
                <w:sz w:val="24"/>
                <w:szCs w:val="24"/>
              </w:rPr>
            </w:pPr>
            <w:r>
              <w:rPr>
                <w:rFonts w:hint="default" w:ascii="Times New Roman" w:hAnsi="Times New Roman"/>
                <w:b/>
                <w:bCs/>
                <w:color w:val="auto"/>
                <w:sz w:val="24"/>
                <w:szCs w:val="24"/>
              </w:rPr>
              <w:t>表</w:t>
            </w:r>
            <w:r>
              <w:rPr>
                <w:rFonts w:hint="default" w:ascii="Times New Roman" w:hAnsi="Times New Roman"/>
                <w:b/>
                <w:bCs/>
                <w:color w:val="auto"/>
                <w:sz w:val="24"/>
                <w:szCs w:val="24"/>
              </w:rPr>
              <w:fldChar w:fldCharType="begin"/>
            </w:r>
            <w:r>
              <w:rPr>
                <w:rFonts w:hint="default" w:ascii="Times New Roman" w:hAnsi="Times New Roman"/>
                <w:b/>
                <w:bCs/>
                <w:color w:val="auto"/>
                <w:sz w:val="24"/>
                <w:szCs w:val="24"/>
              </w:rPr>
              <w:instrText xml:space="preserve"> SEQ 表 \* ARABIC </w:instrText>
            </w:r>
            <w:r>
              <w:rPr>
                <w:rFonts w:hint="default" w:ascii="Times New Roman" w:hAnsi="Times New Roman"/>
                <w:b/>
                <w:bCs/>
                <w:color w:val="auto"/>
                <w:sz w:val="24"/>
                <w:szCs w:val="24"/>
              </w:rPr>
              <w:fldChar w:fldCharType="separate"/>
            </w:r>
            <w:r>
              <w:rPr>
                <w:rFonts w:hint="default" w:ascii="Times New Roman" w:hAnsi="Times New Roman"/>
                <w:b/>
                <w:bCs/>
                <w:color w:val="auto"/>
                <w:sz w:val="24"/>
                <w:szCs w:val="24"/>
              </w:rPr>
              <w:t>47</w:t>
            </w:r>
            <w:r>
              <w:rPr>
                <w:rFonts w:hint="default" w:ascii="Times New Roman" w:hAnsi="Times New Roman"/>
                <w:b/>
                <w:bCs/>
                <w:color w:val="auto"/>
                <w:sz w:val="24"/>
                <w:szCs w:val="24"/>
              </w:rPr>
              <w:fldChar w:fldCharType="end"/>
            </w:r>
            <w:r>
              <w:rPr>
                <w:rFonts w:hint="default" w:ascii="Times New Roman" w:hAnsi="Times New Roman"/>
                <w:b/>
                <w:bCs/>
                <w:color w:val="auto"/>
                <w:sz w:val="24"/>
                <w:szCs w:val="24"/>
                <w:lang w:bidi="ar"/>
              </w:rPr>
              <w:t xml:space="preserve"> </w:t>
            </w:r>
            <w:r>
              <w:rPr>
                <w:rFonts w:hint="default" w:ascii="Times New Roman" w:hAnsi="Times New Roman"/>
                <w:b/>
                <w:color w:val="auto"/>
                <w:sz w:val="24"/>
                <w:szCs w:val="24"/>
              </w:rPr>
              <w:t xml:space="preserve"> 噪声污染源监测计划表</w:t>
            </w:r>
          </w:p>
          <w:tbl>
            <w:tblPr>
              <w:tblStyle w:val="37"/>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113"/>
              <w:gridCol w:w="1174"/>
              <w:gridCol w:w="1116"/>
              <w:gridCol w:w="1576"/>
              <w:gridCol w:w="2219"/>
            </w:tblGrid>
            <w:tr w14:paraId="7032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pct"/>
                  <w:vAlign w:val="center"/>
                </w:tcPr>
                <w:p w14:paraId="4A9B66BD">
                  <w:pPr>
                    <w:jc w:val="center"/>
                    <w:rPr>
                      <w:b/>
                      <w:bCs/>
                      <w:color w:val="auto"/>
                      <w:szCs w:val="21"/>
                    </w:rPr>
                  </w:pPr>
                  <w:r>
                    <w:rPr>
                      <w:b/>
                      <w:bCs/>
                      <w:color w:val="auto"/>
                      <w:szCs w:val="21"/>
                    </w:rPr>
                    <w:t>监测类别</w:t>
                  </w:r>
                </w:p>
              </w:tc>
              <w:tc>
                <w:tcPr>
                  <w:tcW w:w="666" w:type="pct"/>
                  <w:vAlign w:val="center"/>
                </w:tcPr>
                <w:p w14:paraId="46C14DAE">
                  <w:pPr>
                    <w:jc w:val="center"/>
                    <w:rPr>
                      <w:b/>
                      <w:bCs/>
                      <w:color w:val="auto"/>
                      <w:szCs w:val="21"/>
                    </w:rPr>
                  </w:pPr>
                  <w:r>
                    <w:rPr>
                      <w:b/>
                      <w:bCs/>
                      <w:color w:val="auto"/>
                      <w:szCs w:val="21"/>
                    </w:rPr>
                    <w:t>监测点位</w:t>
                  </w:r>
                </w:p>
              </w:tc>
              <w:tc>
                <w:tcPr>
                  <w:tcW w:w="703" w:type="pct"/>
                  <w:vAlign w:val="center"/>
                </w:tcPr>
                <w:p w14:paraId="00CDF112">
                  <w:pPr>
                    <w:jc w:val="center"/>
                    <w:rPr>
                      <w:b/>
                      <w:bCs/>
                      <w:color w:val="auto"/>
                      <w:szCs w:val="21"/>
                    </w:rPr>
                  </w:pPr>
                  <w:r>
                    <w:rPr>
                      <w:b/>
                      <w:bCs/>
                      <w:color w:val="auto"/>
                      <w:szCs w:val="21"/>
                    </w:rPr>
                    <w:t>监测指标</w:t>
                  </w:r>
                </w:p>
              </w:tc>
              <w:tc>
                <w:tcPr>
                  <w:tcW w:w="668" w:type="pct"/>
                  <w:vAlign w:val="center"/>
                </w:tcPr>
                <w:p w14:paraId="77A5DF61">
                  <w:pPr>
                    <w:jc w:val="center"/>
                    <w:rPr>
                      <w:b/>
                      <w:bCs/>
                      <w:color w:val="auto"/>
                      <w:szCs w:val="21"/>
                    </w:rPr>
                  </w:pPr>
                  <w:r>
                    <w:rPr>
                      <w:b/>
                      <w:bCs/>
                      <w:color w:val="auto"/>
                      <w:szCs w:val="21"/>
                    </w:rPr>
                    <w:t>监测频次</w:t>
                  </w:r>
                </w:p>
              </w:tc>
              <w:tc>
                <w:tcPr>
                  <w:tcW w:w="944" w:type="pct"/>
                  <w:vAlign w:val="center"/>
                </w:tcPr>
                <w:p w14:paraId="31779403">
                  <w:pPr>
                    <w:jc w:val="center"/>
                    <w:rPr>
                      <w:b/>
                      <w:bCs/>
                      <w:color w:val="auto"/>
                      <w:szCs w:val="21"/>
                    </w:rPr>
                  </w:pPr>
                  <w:r>
                    <w:rPr>
                      <w:b/>
                      <w:bCs/>
                      <w:color w:val="auto"/>
                      <w:szCs w:val="21"/>
                    </w:rPr>
                    <w:t>排放浓度限值（mg/m</w:t>
                  </w:r>
                  <w:r>
                    <w:rPr>
                      <w:b/>
                      <w:bCs/>
                      <w:color w:val="auto"/>
                      <w:szCs w:val="21"/>
                      <w:vertAlign w:val="superscript"/>
                    </w:rPr>
                    <w:t>3</w:t>
                  </w:r>
                  <w:r>
                    <w:rPr>
                      <w:b/>
                      <w:bCs/>
                      <w:color w:val="auto"/>
                      <w:szCs w:val="21"/>
                    </w:rPr>
                    <w:t>）</w:t>
                  </w:r>
                </w:p>
              </w:tc>
              <w:tc>
                <w:tcPr>
                  <w:tcW w:w="1328" w:type="pct"/>
                  <w:vAlign w:val="center"/>
                </w:tcPr>
                <w:p w14:paraId="5375FB33">
                  <w:pPr>
                    <w:jc w:val="center"/>
                    <w:rPr>
                      <w:b/>
                      <w:bCs/>
                      <w:color w:val="auto"/>
                      <w:szCs w:val="21"/>
                    </w:rPr>
                  </w:pPr>
                  <w:r>
                    <w:rPr>
                      <w:b/>
                      <w:bCs/>
                      <w:color w:val="auto"/>
                      <w:szCs w:val="21"/>
                    </w:rPr>
                    <w:t>执行排放标准</w:t>
                  </w:r>
                </w:p>
              </w:tc>
            </w:tr>
            <w:tr w14:paraId="4FA3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pct"/>
                  <w:vAlign w:val="center"/>
                </w:tcPr>
                <w:p w14:paraId="63D59972">
                  <w:pPr>
                    <w:jc w:val="center"/>
                    <w:rPr>
                      <w:color w:val="auto"/>
                      <w:szCs w:val="21"/>
                    </w:rPr>
                  </w:pPr>
                  <w:r>
                    <w:rPr>
                      <w:color w:val="auto"/>
                      <w:szCs w:val="21"/>
                    </w:rPr>
                    <w:t>噪声</w:t>
                  </w:r>
                </w:p>
              </w:tc>
              <w:tc>
                <w:tcPr>
                  <w:tcW w:w="666" w:type="pct"/>
                  <w:vAlign w:val="center"/>
                </w:tcPr>
                <w:p w14:paraId="146CA586">
                  <w:pPr>
                    <w:jc w:val="center"/>
                    <w:rPr>
                      <w:color w:val="auto"/>
                      <w:szCs w:val="21"/>
                    </w:rPr>
                  </w:pPr>
                  <w:r>
                    <w:rPr>
                      <w:color w:val="auto"/>
                      <w:szCs w:val="21"/>
                    </w:rPr>
                    <w:t>厂界四周</w:t>
                  </w:r>
                </w:p>
              </w:tc>
              <w:tc>
                <w:tcPr>
                  <w:tcW w:w="703" w:type="pct"/>
                  <w:vAlign w:val="center"/>
                </w:tcPr>
                <w:p w14:paraId="2716C9DE">
                  <w:pPr>
                    <w:jc w:val="center"/>
                    <w:rPr>
                      <w:color w:val="auto"/>
                      <w:szCs w:val="21"/>
                    </w:rPr>
                  </w:pPr>
                  <w:r>
                    <w:rPr>
                      <w:color w:val="auto"/>
                      <w:szCs w:val="21"/>
                    </w:rPr>
                    <w:t>噪声</w:t>
                  </w:r>
                </w:p>
              </w:tc>
              <w:tc>
                <w:tcPr>
                  <w:tcW w:w="668" w:type="pct"/>
                  <w:vAlign w:val="center"/>
                </w:tcPr>
                <w:p w14:paraId="304B085D">
                  <w:pPr>
                    <w:jc w:val="center"/>
                    <w:rPr>
                      <w:color w:val="auto"/>
                      <w:szCs w:val="21"/>
                    </w:rPr>
                  </w:pPr>
                  <w:r>
                    <w:rPr>
                      <w:color w:val="auto"/>
                      <w:szCs w:val="21"/>
                    </w:rPr>
                    <w:t>1次/季度</w:t>
                  </w:r>
                </w:p>
              </w:tc>
              <w:tc>
                <w:tcPr>
                  <w:tcW w:w="944" w:type="pct"/>
                  <w:vAlign w:val="center"/>
                </w:tcPr>
                <w:p w14:paraId="498CB2E6">
                  <w:pPr>
                    <w:jc w:val="center"/>
                    <w:rPr>
                      <w:color w:val="auto"/>
                      <w:szCs w:val="21"/>
                    </w:rPr>
                  </w:pPr>
                  <w:r>
                    <w:rPr>
                      <w:color w:val="auto"/>
                      <w:szCs w:val="21"/>
                    </w:rPr>
                    <w:t>昼间：65dB(A)</w:t>
                  </w:r>
                </w:p>
                <w:p w14:paraId="35B7F699">
                  <w:pPr>
                    <w:jc w:val="center"/>
                    <w:rPr>
                      <w:color w:val="auto"/>
                      <w:szCs w:val="21"/>
                    </w:rPr>
                  </w:pPr>
                  <w:r>
                    <w:rPr>
                      <w:color w:val="auto"/>
                      <w:szCs w:val="21"/>
                    </w:rPr>
                    <w:t>夜间：55dB(A)</w:t>
                  </w:r>
                </w:p>
              </w:tc>
              <w:tc>
                <w:tcPr>
                  <w:tcW w:w="1328" w:type="pct"/>
                  <w:vAlign w:val="center"/>
                </w:tcPr>
                <w:p w14:paraId="6D7C2BA3">
                  <w:pPr>
                    <w:jc w:val="center"/>
                    <w:rPr>
                      <w:color w:val="auto"/>
                      <w:szCs w:val="21"/>
                    </w:rPr>
                  </w:pPr>
                  <w:r>
                    <w:rPr>
                      <w:color w:val="auto"/>
                      <w:szCs w:val="21"/>
                    </w:rPr>
                    <w:t>《工业企业厂界环境噪声排放标准》（GB12348-2008）3类标准</w:t>
                  </w:r>
                </w:p>
              </w:tc>
            </w:tr>
          </w:tbl>
          <w:p w14:paraId="3C56FFAC">
            <w:pPr>
              <w:rPr>
                <w:color w:val="auto"/>
              </w:rPr>
            </w:pPr>
          </w:p>
          <w:p w14:paraId="709B3768">
            <w:pPr>
              <w:pStyle w:val="89"/>
              <w:spacing w:before="0" w:beforeLines="0"/>
              <w:ind w:firstLine="0" w:firstLineChars="0"/>
              <w:rPr>
                <w:rFonts w:cs="Times New Roman"/>
                <w:b/>
                <w:bCs/>
                <w:color w:val="auto"/>
                <w:sz w:val="24"/>
                <w:szCs w:val="24"/>
              </w:rPr>
            </w:pPr>
            <w:r>
              <w:rPr>
                <w:rFonts w:cs="Times New Roman"/>
                <w:b/>
                <w:bCs/>
                <w:color w:val="auto"/>
                <w:sz w:val="24"/>
                <w:szCs w:val="24"/>
              </w:rPr>
              <w:t>四、固体废物</w:t>
            </w:r>
          </w:p>
          <w:p w14:paraId="0DA98D64">
            <w:pPr>
              <w:pStyle w:val="109"/>
              <w:numPr>
                <w:ilvl w:val="0"/>
                <w:numId w:val="21"/>
              </w:numPr>
              <w:adjustRightInd w:val="0"/>
              <w:snapToGrid w:val="0"/>
              <w:ind w:firstLine="420"/>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一般固废</w:t>
            </w:r>
          </w:p>
          <w:p w14:paraId="3CA1EB80">
            <w:pPr>
              <w:pStyle w:val="109"/>
              <w:adjustRightInd w:val="0"/>
              <w:snapToGrid w:val="0"/>
              <w:ind w:firstLine="420"/>
              <w:jc w:val="both"/>
              <w:rPr>
                <w:rFonts w:ascii="Times New Roman" w:hAnsi="Times New Roman" w:eastAsia="宋体" w:cs="Times New Roman"/>
                <w:color w:val="auto"/>
                <w:sz w:val="24"/>
                <w:szCs w:val="24"/>
              </w:rPr>
            </w:pPr>
            <w:r>
              <w:rPr>
                <w:rFonts w:hint="eastAsia" w:ascii="宋体" w:hAnsi="宋体" w:eastAsia="宋体" w:cs="宋体"/>
                <w:color w:val="auto"/>
                <w:sz w:val="24"/>
                <w:szCs w:val="24"/>
              </w:rPr>
              <w:t>①</w:t>
            </w:r>
            <w:r>
              <w:rPr>
                <w:rFonts w:ascii="Times New Roman" w:hAnsi="Times New Roman" w:eastAsia="宋体" w:cs="Times New Roman"/>
                <w:color w:val="auto"/>
                <w:sz w:val="24"/>
                <w:szCs w:val="24"/>
              </w:rPr>
              <w:t>生活垃圾</w:t>
            </w:r>
          </w:p>
          <w:p w14:paraId="2AD473DB">
            <w:pPr>
              <w:pStyle w:val="109"/>
              <w:adjustRightInd w:val="0"/>
              <w:snapToGrid w:val="0"/>
              <w:ind w:firstLine="420"/>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本项目劳动定员共15人，不在厂区食宿，生活垃圾产生量每人每天按0.5kg/d计，则生活垃圾产生量为1.95t/a。生活垃圾由当地环卫部门统一清运处理。根据《固体废物分类与代码目录》（生态环境部公告[2024]4 号），废物代码为900- 099-S64。</w:t>
            </w:r>
          </w:p>
          <w:p w14:paraId="336D50AE">
            <w:pPr>
              <w:pStyle w:val="109"/>
              <w:adjustRightInd w:val="0"/>
              <w:snapToGrid w:val="0"/>
              <w:ind w:firstLine="420"/>
              <w:jc w:val="both"/>
              <w:rPr>
                <w:rFonts w:ascii="Times New Roman" w:hAnsi="Times New Roman" w:eastAsia="宋体" w:cs="Times New Roman"/>
                <w:color w:val="auto"/>
                <w:sz w:val="24"/>
                <w:szCs w:val="24"/>
              </w:rPr>
            </w:pPr>
            <w:r>
              <w:rPr>
                <w:rFonts w:hint="eastAsia" w:ascii="宋体" w:hAnsi="宋体" w:eastAsia="宋体" w:cs="宋体"/>
                <w:color w:val="auto"/>
                <w:sz w:val="24"/>
                <w:szCs w:val="24"/>
              </w:rPr>
              <w:t>②</w:t>
            </w:r>
            <w:r>
              <w:rPr>
                <w:rFonts w:ascii="Times New Roman" w:hAnsi="Times New Roman" w:eastAsia="宋体" w:cs="Times New Roman"/>
                <w:color w:val="auto"/>
                <w:sz w:val="24"/>
                <w:szCs w:val="24"/>
              </w:rPr>
              <w:t>一般废包装材料</w:t>
            </w:r>
          </w:p>
          <w:p w14:paraId="03BCFEED">
            <w:pPr>
              <w:pStyle w:val="109"/>
              <w:adjustRightInd w:val="0"/>
              <w:snapToGrid w:val="0"/>
              <w:ind w:firstLine="420"/>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本项目包装过程中使用纸箱、胶带、塑胶瓶等，会产生一定量的废包装材料，根据同类型企业经验及建设单位提供资料，纸箱、胶带、塑胶瓶等一般废包装材料年产生量约为0.2t/a。一般废包装材料属于一般固体废物，属于《固体废物分类与代码目录》（公告2024年第4号）中“SW17 可再生类废物”，代码为900-003-S17、900-005-S17，收集后交由专业单位回收处理。</w:t>
            </w:r>
          </w:p>
          <w:p w14:paraId="048C8A2A">
            <w:pPr>
              <w:pStyle w:val="109"/>
              <w:adjustRightInd w:val="0"/>
              <w:snapToGrid w:val="0"/>
              <w:ind w:firstLine="420"/>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（2）危险废物</w:t>
            </w:r>
          </w:p>
          <w:p w14:paraId="1E9D2C5A">
            <w:pPr>
              <w:pStyle w:val="109"/>
              <w:adjustRightInd w:val="0"/>
              <w:snapToGrid w:val="0"/>
              <w:ind w:firstLine="420"/>
              <w:jc w:val="both"/>
              <w:rPr>
                <w:rFonts w:ascii="Times New Roman" w:hAnsi="Times New Roman" w:eastAsia="宋体" w:cs="Times New Roman"/>
                <w:color w:val="auto"/>
                <w:sz w:val="24"/>
                <w:szCs w:val="24"/>
              </w:rPr>
            </w:pPr>
            <w:r>
              <w:rPr>
                <w:rFonts w:hint="eastAsia" w:ascii="宋体" w:hAnsi="宋体" w:eastAsia="宋体" w:cs="宋体"/>
                <w:color w:val="auto"/>
                <w:sz w:val="24"/>
                <w:szCs w:val="24"/>
              </w:rPr>
              <w:t>①</w:t>
            </w:r>
            <w:r>
              <w:rPr>
                <w:rFonts w:ascii="Times New Roman" w:hAnsi="Times New Roman" w:eastAsia="宋体" w:cs="Times New Roman"/>
                <w:color w:val="auto"/>
                <w:sz w:val="24"/>
                <w:szCs w:val="24"/>
              </w:rPr>
              <w:t>废原料桶</w:t>
            </w:r>
          </w:p>
          <w:p w14:paraId="0EBB29ED">
            <w:pPr>
              <w:pStyle w:val="109"/>
              <w:adjustRightInd w:val="0"/>
              <w:snapToGrid w:val="0"/>
              <w:ind w:firstLine="420"/>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本项目使用完毕后会产生包装废物，主要为原辅料包装桶等，原辅料规格主要为165kg/桶、50kg/桶等。</w:t>
            </w:r>
          </w:p>
          <w:p w14:paraId="3D442989">
            <w:pPr>
              <w:adjustRightInd w:val="0"/>
              <w:snapToGrid w:val="0"/>
              <w:spacing w:line="360" w:lineRule="auto"/>
              <w:ind w:firstLine="482" w:firstLineChars="200"/>
              <w:jc w:val="center"/>
              <w:rPr>
                <w:b/>
                <w:bCs/>
                <w:color w:val="auto"/>
                <w:sz w:val="24"/>
                <w:szCs w:val="24"/>
              </w:rPr>
            </w:pPr>
            <w:r>
              <w:rPr>
                <w:b/>
                <w:bCs/>
                <w:color w:val="auto"/>
                <w:sz w:val="24"/>
                <w:szCs w:val="24"/>
              </w:rPr>
              <w:t>表</w:t>
            </w:r>
            <w:r>
              <w:rPr>
                <w:b/>
                <w:bCs/>
                <w:color w:val="auto"/>
                <w:sz w:val="24"/>
                <w:szCs w:val="24"/>
              </w:rPr>
              <w:fldChar w:fldCharType="begin"/>
            </w:r>
            <w:r>
              <w:rPr>
                <w:b/>
                <w:bCs/>
                <w:color w:val="auto"/>
                <w:sz w:val="24"/>
                <w:szCs w:val="24"/>
              </w:rPr>
              <w:instrText xml:space="preserve"> SEQ 表 \* ARABIC </w:instrText>
            </w:r>
            <w:r>
              <w:rPr>
                <w:b/>
                <w:bCs/>
                <w:color w:val="auto"/>
                <w:sz w:val="24"/>
                <w:szCs w:val="24"/>
              </w:rPr>
              <w:fldChar w:fldCharType="separate"/>
            </w:r>
            <w:r>
              <w:rPr>
                <w:b/>
                <w:bCs/>
                <w:color w:val="auto"/>
                <w:sz w:val="24"/>
                <w:szCs w:val="24"/>
              </w:rPr>
              <w:t>48</w:t>
            </w:r>
            <w:r>
              <w:rPr>
                <w:b/>
                <w:bCs/>
                <w:color w:val="auto"/>
                <w:sz w:val="24"/>
                <w:szCs w:val="24"/>
              </w:rPr>
              <w:fldChar w:fldCharType="end"/>
            </w:r>
            <w:r>
              <w:rPr>
                <w:b/>
                <w:bCs/>
                <w:color w:val="auto"/>
                <w:sz w:val="24"/>
                <w:szCs w:val="24"/>
              </w:rPr>
              <w:t xml:space="preserve"> 包装废物净重计算表</w:t>
            </w:r>
          </w:p>
          <w:tbl>
            <w:tblPr>
              <w:tblStyle w:val="3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1824"/>
              <w:gridCol w:w="1101"/>
              <w:gridCol w:w="1229"/>
              <w:gridCol w:w="1521"/>
              <w:gridCol w:w="1269"/>
              <w:gridCol w:w="955"/>
            </w:tblGrid>
            <w:tr w14:paraId="384C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 w:type="pct"/>
                  <w:vAlign w:val="center"/>
                </w:tcPr>
                <w:p w14:paraId="7AFA4EB3">
                  <w:pPr>
                    <w:adjustRightInd w:val="0"/>
                    <w:snapToGrid w:val="0"/>
                    <w:jc w:val="center"/>
                    <w:rPr>
                      <w:b/>
                      <w:bCs/>
                      <w:color w:val="auto"/>
                      <w:szCs w:val="21"/>
                    </w:rPr>
                  </w:pPr>
                  <w:r>
                    <w:rPr>
                      <w:b/>
                      <w:bCs/>
                      <w:color w:val="auto"/>
                      <w:szCs w:val="21"/>
                    </w:rPr>
                    <w:t>序号</w:t>
                  </w:r>
                </w:p>
              </w:tc>
              <w:tc>
                <w:tcPr>
                  <w:tcW w:w="1092" w:type="pct"/>
                  <w:vAlign w:val="center"/>
                </w:tcPr>
                <w:p w14:paraId="6FAA1260">
                  <w:pPr>
                    <w:adjustRightInd w:val="0"/>
                    <w:snapToGrid w:val="0"/>
                    <w:jc w:val="center"/>
                    <w:rPr>
                      <w:b/>
                      <w:bCs/>
                      <w:color w:val="auto"/>
                      <w:szCs w:val="21"/>
                    </w:rPr>
                  </w:pPr>
                  <w:r>
                    <w:rPr>
                      <w:b/>
                      <w:bCs/>
                      <w:color w:val="auto"/>
                      <w:szCs w:val="21"/>
                    </w:rPr>
                    <w:t>材料名称</w:t>
                  </w:r>
                </w:p>
              </w:tc>
              <w:tc>
                <w:tcPr>
                  <w:tcW w:w="659" w:type="pct"/>
                  <w:vAlign w:val="center"/>
                </w:tcPr>
                <w:p w14:paraId="6A8FD5B3">
                  <w:pPr>
                    <w:adjustRightInd w:val="0"/>
                    <w:snapToGrid w:val="0"/>
                    <w:jc w:val="center"/>
                    <w:rPr>
                      <w:b/>
                      <w:bCs/>
                      <w:color w:val="auto"/>
                      <w:szCs w:val="21"/>
                    </w:rPr>
                  </w:pPr>
                  <w:r>
                    <w:rPr>
                      <w:b/>
                      <w:bCs/>
                      <w:color w:val="auto"/>
                      <w:szCs w:val="21"/>
                    </w:rPr>
                    <w:t>年用量t/a</w:t>
                  </w:r>
                </w:p>
              </w:tc>
              <w:tc>
                <w:tcPr>
                  <w:tcW w:w="736" w:type="pct"/>
                  <w:vAlign w:val="center"/>
                </w:tcPr>
                <w:p w14:paraId="2B06125D">
                  <w:pPr>
                    <w:adjustRightInd w:val="0"/>
                    <w:snapToGrid w:val="0"/>
                    <w:jc w:val="center"/>
                    <w:rPr>
                      <w:b/>
                      <w:bCs/>
                      <w:color w:val="auto"/>
                      <w:szCs w:val="21"/>
                    </w:rPr>
                  </w:pPr>
                  <w:r>
                    <w:rPr>
                      <w:b/>
                      <w:bCs/>
                      <w:color w:val="auto"/>
                      <w:szCs w:val="21"/>
                    </w:rPr>
                    <w:t>规格</w:t>
                  </w:r>
                </w:p>
              </w:tc>
              <w:tc>
                <w:tcPr>
                  <w:tcW w:w="910" w:type="pct"/>
                  <w:vAlign w:val="center"/>
                </w:tcPr>
                <w:p w14:paraId="22FB4790">
                  <w:pPr>
                    <w:pStyle w:val="91"/>
                    <w:adjustRightInd w:val="0"/>
                    <w:snapToGrid w:val="0"/>
                    <w:spacing w:line="240" w:lineRule="auto"/>
                    <w:ind w:firstLine="0" w:firstLineChars="0"/>
                    <w:jc w:val="center"/>
                    <w:rPr>
                      <w:rFonts w:ascii="Times New Roman" w:hAnsi="Times New Roman"/>
                      <w:b/>
                      <w:bCs/>
                      <w:color w:val="auto"/>
                      <w:sz w:val="21"/>
                      <w:szCs w:val="21"/>
                    </w:rPr>
                  </w:pPr>
                  <w:r>
                    <w:rPr>
                      <w:rFonts w:ascii="Times New Roman" w:hAnsi="Times New Roman"/>
                      <w:b/>
                      <w:bCs/>
                      <w:color w:val="auto"/>
                      <w:sz w:val="21"/>
                      <w:szCs w:val="21"/>
                    </w:rPr>
                    <w:t>包装废物数量（桶）</w:t>
                  </w:r>
                </w:p>
              </w:tc>
              <w:tc>
                <w:tcPr>
                  <w:tcW w:w="759" w:type="pct"/>
                  <w:vAlign w:val="center"/>
                </w:tcPr>
                <w:p w14:paraId="1CF5279F">
                  <w:pPr>
                    <w:pStyle w:val="103"/>
                    <w:adjustRightInd w:val="0"/>
                    <w:snapToGrid w:val="0"/>
                    <w:rPr>
                      <w:rFonts w:ascii="Times New Roman" w:hAnsi="Times New Roman" w:eastAsia="宋体" w:cs="Times New Roman"/>
                      <w:b/>
                      <w:bCs/>
                      <w:color w:val="auto"/>
                      <w:szCs w:val="21"/>
                    </w:rPr>
                  </w:pPr>
                  <w:r>
                    <w:rPr>
                      <w:rFonts w:ascii="Times New Roman" w:hAnsi="Times New Roman" w:eastAsia="宋体" w:cs="Times New Roman"/>
                      <w:b/>
                      <w:bCs/>
                      <w:color w:val="auto"/>
                      <w:szCs w:val="21"/>
                    </w:rPr>
                    <w:t>净重kg/桶</w:t>
                  </w:r>
                </w:p>
              </w:tc>
              <w:tc>
                <w:tcPr>
                  <w:tcW w:w="572" w:type="pct"/>
                  <w:vAlign w:val="center"/>
                </w:tcPr>
                <w:p w14:paraId="03FDBD1B">
                  <w:pPr>
                    <w:pStyle w:val="103"/>
                    <w:adjustRightInd w:val="0"/>
                    <w:snapToGrid w:val="0"/>
                    <w:rPr>
                      <w:rFonts w:ascii="Times New Roman" w:hAnsi="Times New Roman" w:eastAsia="宋体" w:cs="Times New Roman"/>
                      <w:b/>
                      <w:bCs/>
                      <w:color w:val="auto"/>
                      <w:szCs w:val="21"/>
                    </w:rPr>
                  </w:pPr>
                  <w:r>
                    <w:rPr>
                      <w:rFonts w:ascii="Times New Roman" w:hAnsi="Times New Roman" w:eastAsia="宋体" w:cs="Times New Roman"/>
                      <w:b/>
                      <w:bCs/>
                      <w:color w:val="auto"/>
                      <w:szCs w:val="21"/>
                    </w:rPr>
                    <w:t>总重/t</w:t>
                  </w:r>
                </w:p>
              </w:tc>
            </w:tr>
            <w:tr w14:paraId="0122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 w:type="pct"/>
                  <w:vAlign w:val="center"/>
                </w:tcPr>
                <w:p w14:paraId="670181EA">
                  <w:pPr>
                    <w:widowControl/>
                    <w:numPr>
                      <w:ilvl w:val="0"/>
                      <w:numId w:val="22"/>
                    </w:numPr>
                    <w:jc w:val="center"/>
                    <w:textAlignment w:val="center"/>
                    <w:rPr>
                      <w:color w:val="auto"/>
                      <w:szCs w:val="21"/>
                    </w:rPr>
                  </w:pPr>
                </w:p>
              </w:tc>
              <w:tc>
                <w:tcPr>
                  <w:tcW w:w="1092" w:type="pct"/>
                  <w:vAlign w:val="center"/>
                </w:tcPr>
                <w:p w14:paraId="3FE1CC31">
                  <w:pPr>
                    <w:widowControl/>
                    <w:jc w:val="center"/>
                    <w:textAlignment w:val="center"/>
                    <w:rPr>
                      <w:color w:val="auto"/>
                      <w:kern w:val="0"/>
                      <w:szCs w:val="21"/>
                      <w:lang w:bidi="ar"/>
                    </w:rPr>
                  </w:pPr>
                  <w:r>
                    <w:rPr>
                      <w:color w:val="auto"/>
                      <w:kern w:val="0"/>
                      <w:szCs w:val="21"/>
                      <w:lang w:bidi="ar"/>
                    </w:rPr>
                    <w:t>氯氟醚菊酯</w:t>
                  </w:r>
                </w:p>
              </w:tc>
              <w:tc>
                <w:tcPr>
                  <w:tcW w:w="659" w:type="pct"/>
                  <w:vAlign w:val="center"/>
                </w:tcPr>
                <w:p w14:paraId="54635A01">
                  <w:pPr>
                    <w:widowControl/>
                    <w:jc w:val="center"/>
                    <w:textAlignment w:val="center"/>
                    <w:rPr>
                      <w:color w:val="auto"/>
                      <w:szCs w:val="21"/>
                    </w:rPr>
                  </w:pPr>
                  <w:r>
                    <w:rPr>
                      <w:color w:val="auto"/>
                      <w:kern w:val="0"/>
                      <w:szCs w:val="21"/>
                      <w:lang w:bidi="ar"/>
                    </w:rPr>
                    <w:t>1.635t</w:t>
                  </w:r>
                </w:p>
              </w:tc>
              <w:tc>
                <w:tcPr>
                  <w:tcW w:w="736" w:type="pct"/>
                  <w:vAlign w:val="center"/>
                </w:tcPr>
                <w:p w14:paraId="0280A8EA">
                  <w:pPr>
                    <w:widowControl/>
                    <w:jc w:val="center"/>
                    <w:textAlignment w:val="center"/>
                    <w:rPr>
                      <w:color w:val="auto"/>
                      <w:szCs w:val="21"/>
                    </w:rPr>
                  </w:pPr>
                  <w:r>
                    <w:rPr>
                      <w:color w:val="auto"/>
                      <w:szCs w:val="21"/>
                    </w:rPr>
                    <w:t>50kg/桶</w:t>
                  </w:r>
                </w:p>
              </w:tc>
              <w:tc>
                <w:tcPr>
                  <w:tcW w:w="1548" w:type="dxa"/>
                  <w:vAlign w:val="center"/>
                </w:tcPr>
                <w:p w14:paraId="1CDCD69A">
                  <w:pPr>
                    <w:widowControl/>
                    <w:jc w:val="center"/>
                    <w:textAlignment w:val="center"/>
                    <w:rPr>
                      <w:color w:val="auto"/>
                      <w:kern w:val="0"/>
                      <w:sz w:val="22"/>
                      <w:szCs w:val="22"/>
                      <w:lang w:bidi="ar"/>
                    </w:rPr>
                  </w:pPr>
                  <w:r>
                    <w:rPr>
                      <w:color w:val="auto"/>
                      <w:kern w:val="0"/>
                      <w:szCs w:val="21"/>
                      <w:lang w:bidi="ar"/>
                    </w:rPr>
                    <w:t>33</w:t>
                  </w:r>
                </w:p>
              </w:tc>
              <w:tc>
                <w:tcPr>
                  <w:tcW w:w="1291" w:type="dxa"/>
                  <w:vAlign w:val="center"/>
                </w:tcPr>
                <w:p w14:paraId="5F219143">
                  <w:pPr>
                    <w:widowControl/>
                    <w:jc w:val="center"/>
                    <w:textAlignment w:val="center"/>
                    <w:rPr>
                      <w:color w:val="auto"/>
                      <w:kern w:val="0"/>
                      <w:sz w:val="22"/>
                      <w:szCs w:val="22"/>
                      <w:lang w:bidi="ar"/>
                    </w:rPr>
                  </w:pPr>
                  <w:r>
                    <w:rPr>
                      <w:color w:val="auto"/>
                      <w:kern w:val="0"/>
                      <w:szCs w:val="21"/>
                      <w:lang w:bidi="ar"/>
                    </w:rPr>
                    <w:t>2.5</w:t>
                  </w:r>
                </w:p>
              </w:tc>
              <w:tc>
                <w:tcPr>
                  <w:tcW w:w="973" w:type="dxa"/>
                  <w:vAlign w:val="center"/>
                </w:tcPr>
                <w:p w14:paraId="25CE947A">
                  <w:pPr>
                    <w:widowControl/>
                    <w:jc w:val="center"/>
                    <w:textAlignment w:val="center"/>
                    <w:rPr>
                      <w:color w:val="auto"/>
                      <w:kern w:val="0"/>
                      <w:sz w:val="22"/>
                      <w:szCs w:val="22"/>
                      <w:lang w:bidi="ar"/>
                    </w:rPr>
                  </w:pPr>
                  <w:r>
                    <w:rPr>
                      <w:color w:val="auto"/>
                      <w:kern w:val="0"/>
                      <w:szCs w:val="21"/>
                      <w:lang w:bidi="ar"/>
                    </w:rPr>
                    <w:t>0.08</w:t>
                  </w:r>
                </w:p>
              </w:tc>
            </w:tr>
            <w:tr w14:paraId="3E11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 w:type="pct"/>
                  <w:vAlign w:val="center"/>
                </w:tcPr>
                <w:p w14:paraId="319FB32E">
                  <w:pPr>
                    <w:widowControl/>
                    <w:numPr>
                      <w:ilvl w:val="0"/>
                      <w:numId w:val="22"/>
                    </w:numPr>
                    <w:jc w:val="center"/>
                    <w:textAlignment w:val="center"/>
                    <w:rPr>
                      <w:color w:val="auto"/>
                      <w:szCs w:val="21"/>
                    </w:rPr>
                  </w:pPr>
                </w:p>
              </w:tc>
              <w:tc>
                <w:tcPr>
                  <w:tcW w:w="1092" w:type="pct"/>
                  <w:vAlign w:val="center"/>
                </w:tcPr>
                <w:p w14:paraId="56A9CA6C">
                  <w:pPr>
                    <w:widowControl/>
                    <w:jc w:val="center"/>
                    <w:textAlignment w:val="center"/>
                    <w:rPr>
                      <w:color w:val="auto"/>
                      <w:kern w:val="0"/>
                      <w:szCs w:val="21"/>
                      <w:lang w:bidi="ar"/>
                    </w:rPr>
                  </w:pPr>
                  <w:r>
                    <w:rPr>
                      <w:color w:val="auto"/>
                      <w:kern w:val="0"/>
                      <w:szCs w:val="21"/>
                      <w:lang w:bidi="ar"/>
                    </w:rPr>
                    <w:t>煤油（轻质白油）</w:t>
                  </w:r>
                </w:p>
              </w:tc>
              <w:tc>
                <w:tcPr>
                  <w:tcW w:w="659" w:type="pct"/>
                  <w:vAlign w:val="center"/>
                </w:tcPr>
                <w:p w14:paraId="4AC766FD">
                  <w:pPr>
                    <w:widowControl/>
                    <w:jc w:val="center"/>
                    <w:textAlignment w:val="center"/>
                    <w:rPr>
                      <w:color w:val="auto"/>
                      <w:szCs w:val="21"/>
                    </w:rPr>
                  </w:pPr>
                  <w:r>
                    <w:rPr>
                      <w:color w:val="auto"/>
                      <w:kern w:val="0"/>
                      <w:szCs w:val="21"/>
                      <w:lang w:bidi="ar"/>
                    </w:rPr>
                    <w:t>33.35t</w:t>
                  </w:r>
                </w:p>
              </w:tc>
              <w:tc>
                <w:tcPr>
                  <w:tcW w:w="736" w:type="pct"/>
                  <w:vAlign w:val="center"/>
                </w:tcPr>
                <w:p w14:paraId="5EC6E0A9">
                  <w:pPr>
                    <w:widowControl/>
                    <w:jc w:val="center"/>
                    <w:textAlignment w:val="center"/>
                    <w:rPr>
                      <w:color w:val="auto"/>
                      <w:szCs w:val="21"/>
                    </w:rPr>
                  </w:pPr>
                  <w:r>
                    <w:rPr>
                      <w:color w:val="auto"/>
                      <w:szCs w:val="21"/>
                    </w:rPr>
                    <w:t>165kg/桶</w:t>
                  </w:r>
                </w:p>
              </w:tc>
              <w:tc>
                <w:tcPr>
                  <w:tcW w:w="1548" w:type="dxa"/>
                  <w:vAlign w:val="center"/>
                </w:tcPr>
                <w:p w14:paraId="0EA58AB0">
                  <w:pPr>
                    <w:widowControl/>
                    <w:jc w:val="center"/>
                    <w:textAlignment w:val="center"/>
                    <w:rPr>
                      <w:color w:val="auto"/>
                      <w:kern w:val="0"/>
                      <w:sz w:val="22"/>
                      <w:szCs w:val="22"/>
                      <w:lang w:bidi="ar"/>
                    </w:rPr>
                  </w:pPr>
                  <w:r>
                    <w:rPr>
                      <w:color w:val="auto"/>
                      <w:kern w:val="0"/>
                      <w:szCs w:val="21"/>
                      <w:lang w:bidi="ar"/>
                    </w:rPr>
                    <w:t>202</w:t>
                  </w:r>
                </w:p>
              </w:tc>
              <w:tc>
                <w:tcPr>
                  <w:tcW w:w="1291" w:type="dxa"/>
                  <w:vAlign w:val="center"/>
                </w:tcPr>
                <w:p w14:paraId="7FC64CDD">
                  <w:pPr>
                    <w:widowControl/>
                    <w:jc w:val="center"/>
                    <w:textAlignment w:val="center"/>
                    <w:rPr>
                      <w:color w:val="auto"/>
                      <w:kern w:val="0"/>
                      <w:sz w:val="22"/>
                      <w:szCs w:val="22"/>
                      <w:lang w:bidi="ar"/>
                    </w:rPr>
                  </w:pPr>
                  <w:r>
                    <w:rPr>
                      <w:color w:val="auto"/>
                      <w:kern w:val="0"/>
                      <w:szCs w:val="21"/>
                      <w:lang w:bidi="ar"/>
                    </w:rPr>
                    <w:t>8</w:t>
                  </w:r>
                </w:p>
              </w:tc>
              <w:tc>
                <w:tcPr>
                  <w:tcW w:w="973" w:type="dxa"/>
                  <w:vAlign w:val="center"/>
                </w:tcPr>
                <w:p w14:paraId="757FACB3">
                  <w:pPr>
                    <w:widowControl/>
                    <w:jc w:val="center"/>
                    <w:textAlignment w:val="center"/>
                    <w:rPr>
                      <w:color w:val="auto"/>
                      <w:kern w:val="0"/>
                      <w:sz w:val="22"/>
                      <w:szCs w:val="22"/>
                      <w:lang w:bidi="ar"/>
                    </w:rPr>
                  </w:pPr>
                  <w:r>
                    <w:rPr>
                      <w:color w:val="auto"/>
                      <w:kern w:val="0"/>
                      <w:szCs w:val="21"/>
                      <w:lang w:bidi="ar"/>
                    </w:rPr>
                    <w:t>1.62</w:t>
                  </w:r>
                </w:p>
              </w:tc>
            </w:tr>
            <w:tr w14:paraId="6FF2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0" w:type="pct"/>
                  <w:vAlign w:val="center"/>
                </w:tcPr>
                <w:p w14:paraId="35760615">
                  <w:pPr>
                    <w:pStyle w:val="104"/>
                    <w:numPr>
                      <w:ilvl w:val="0"/>
                      <w:numId w:val="22"/>
                    </w:numPr>
                    <w:adjustRightInd w:val="0"/>
                    <w:snapToGrid w:val="0"/>
                    <w:spacing w:line="240" w:lineRule="auto"/>
                    <w:ind w:firstLineChars="0"/>
                    <w:jc w:val="center"/>
                    <w:rPr>
                      <w:color w:val="auto"/>
                      <w:szCs w:val="21"/>
                    </w:rPr>
                  </w:pPr>
                </w:p>
              </w:tc>
              <w:tc>
                <w:tcPr>
                  <w:tcW w:w="4157" w:type="pct"/>
                  <w:gridSpan w:val="5"/>
                  <w:vAlign w:val="center"/>
                </w:tcPr>
                <w:p w14:paraId="0BD42C7F">
                  <w:pPr>
                    <w:widowControl/>
                    <w:jc w:val="center"/>
                    <w:textAlignment w:val="center"/>
                    <w:rPr>
                      <w:color w:val="auto"/>
                      <w:kern w:val="0"/>
                      <w:sz w:val="22"/>
                      <w:szCs w:val="22"/>
                      <w:lang w:bidi="ar"/>
                    </w:rPr>
                  </w:pPr>
                  <w:r>
                    <w:rPr>
                      <w:color w:val="auto"/>
                      <w:kern w:val="0"/>
                      <w:sz w:val="22"/>
                      <w:szCs w:val="22"/>
                      <w:lang w:bidi="ar"/>
                    </w:rPr>
                    <w:t>合计</w:t>
                  </w:r>
                </w:p>
              </w:tc>
              <w:tc>
                <w:tcPr>
                  <w:tcW w:w="572" w:type="pct"/>
                  <w:shd w:val="clear" w:color="auto" w:fill="auto"/>
                  <w:vAlign w:val="center"/>
                </w:tcPr>
                <w:p w14:paraId="65BBC7F2">
                  <w:pPr>
                    <w:widowControl/>
                    <w:jc w:val="center"/>
                    <w:textAlignment w:val="center"/>
                    <w:rPr>
                      <w:color w:val="auto"/>
                      <w:szCs w:val="21"/>
                    </w:rPr>
                  </w:pPr>
                  <w:r>
                    <w:rPr>
                      <w:color w:val="auto"/>
                      <w:kern w:val="0"/>
                      <w:szCs w:val="21"/>
                      <w:lang w:bidi="ar"/>
                    </w:rPr>
                    <w:t>1.7</w:t>
                  </w:r>
                </w:p>
              </w:tc>
            </w:tr>
          </w:tbl>
          <w:p w14:paraId="43DFCC4F">
            <w:pPr>
              <w:pStyle w:val="109"/>
              <w:adjustRightInd w:val="0"/>
              <w:snapToGrid w:val="0"/>
              <w:ind w:firstLine="420"/>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根据上表核算，本项目废原料包装桶产生量约为1.7t/a，属于《国家危险废物名录（2025版）》中的HW49其他废物中的“含有或沾染毒性、感染性危险废物的废弃包装物、容器、过滤吸附介质”，代码为900-041-49。暂存在危废间内，交由有资质单位进行处理。</w:t>
            </w:r>
          </w:p>
          <w:p w14:paraId="7BADC5F1">
            <w:pPr>
              <w:pStyle w:val="91"/>
              <w:ind w:firstLine="480"/>
              <w:rPr>
                <w:rFonts w:ascii="Times New Roman" w:hAnsi="Times New Roman"/>
                <w:color w:val="auto"/>
                <w:sz w:val="24"/>
                <w:szCs w:val="24"/>
              </w:rPr>
            </w:pPr>
            <w:r>
              <w:rPr>
                <w:rFonts w:hint="eastAsia" w:ascii="宋体" w:cs="宋体"/>
                <w:color w:val="auto"/>
                <w:sz w:val="24"/>
                <w:szCs w:val="24"/>
              </w:rPr>
              <w:t>②</w:t>
            </w:r>
            <w:r>
              <w:rPr>
                <w:rFonts w:ascii="Times New Roman" w:hAnsi="Times New Roman"/>
                <w:color w:val="auto"/>
                <w:sz w:val="24"/>
                <w:szCs w:val="24"/>
              </w:rPr>
              <w:t>废活性炭</w:t>
            </w:r>
          </w:p>
          <w:p w14:paraId="548FA72F">
            <w:pPr>
              <w:pStyle w:val="91"/>
              <w:ind w:firstLine="420"/>
              <w:rPr>
                <w:rFonts w:ascii="Times New Roman" w:hAnsi="Times New Roman"/>
                <w:color w:val="auto"/>
                <w:sz w:val="24"/>
                <w:szCs w:val="24"/>
              </w:rPr>
            </w:pPr>
            <w:r>
              <w:rPr>
                <w:rFonts w:ascii="Times New Roman" w:hAnsi="Times New Roman"/>
                <w:color w:val="auto"/>
                <w:sz w:val="24"/>
                <w:szCs w:val="24"/>
              </w:rPr>
              <w:t>项目生产过程中会产生有机废气。本项目的有机废气的处理设施均为“二级活性炭吸附装置”，根据上文二级活性炭装置技术参数分析及计算，废活性炭产生量共</w:t>
            </w:r>
            <w:r>
              <w:rPr>
                <w:rFonts w:hint="eastAsia" w:ascii="Times New Roman" w:hAnsi="Times New Roman"/>
                <w:color w:val="auto"/>
                <w:sz w:val="24"/>
                <w:szCs w:val="24"/>
                <w:lang w:val="en-US" w:eastAsia="zh-CN"/>
              </w:rPr>
              <w:t>0.289734</w:t>
            </w:r>
            <w:r>
              <w:rPr>
                <w:rFonts w:ascii="Times New Roman" w:hAnsi="Times New Roman"/>
                <w:color w:val="auto"/>
                <w:sz w:val="24"/>
                <w:szCs w:val="24"/>
              </w:rPr>
              <w:t>t/a，属于《国家危险废物名录》（2025年版）规定的危险废物（类别为HW49其他废物，代码900-039-49），交由有资质单位进行处理。</w:t>
            </w:r>
          </w:p>
          <w:p w14:paraId="260DA100">
            <w:pPr>
              <w:pStyle w:val="16"/>
              <w:autoSpaceDE w:val="0"/>
              <w:autoSpaceDN w:val="0"/>
              <w:adjustRightInd w:val="0"/>
              <w:snapToGrid w:val="0"/>
              <w:spacing w:line="360" w:lineRule="auto"/>
              <w:jc w:val="center"/>
              <w:rPr>
                <w:rFonts w:ascii="Times New Roman" w:hAnsi="Times New Roman" w:eastAsia="宋体"/>
                <w:b/>
                <w:bCs/>
                <w:color w:val="auto"/>
                <w:sz w:val="24"/>
                <w:szCs w:val="24"/>
              </w:rPr>
            </w:pPr>
            <w:r>
              <w:rPr>
                <w:rFonts w:ascii="Times New Roman" w:hAnsi="Times New Roman" w:eastAsia="宋体"/>
                <w:b/>
                <w:bCs/>
                <w:color w:val="auto"/>
                <w:sz w:val="24"/>
                <w:szCs w:val="24"/>
              </w:rPr>
              <w:t>表</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表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49</w:t>
            </w:r>
            <w:r>
              <w:rPr>
                <w:rFonts w:ascii="Times New Roman" w:hAnsi="Times New Roman" w:eastAsia="宋体"/>
                <w:b/>
                <w:bCs/>
                <w:color w:val="auto"/>
                <w:sz w:val="24"/>
                <w:szCs w:val="24"/>
              </w:rPr>
              <w:fldChar w:fldCharType="end"/>
            </w:r>
            <w:r>
              <w:rPr>
                <w:rFonts w:ascii="Times New Roman" w:hAnsi="Times New Roman" w:eastAsia="宋体"/>
                <w:b/>
                <w:bCs/>
                <w:color w:val="auto"/>
                <w:sz w:val="24"/>
                <w:szCs w:val="24"/>
              </w:rPr>
              <w:t xml:space="preserve">  </w:t>
            </w:r>
            <w:r>
              <w:rPr>
                <w:rFonts w:ascii="Times New Roman" w:hAnsi="Times New Roman" w:eastAsia="宋体"/>
                <w:b/>
                <w:bCs/>
                <w:color w:val="auto"/>
                <w:kern w:val="0"/>
                <w:sz w:val="24"/>
                <w:szCs w:val="24"/>
              </w:rPr>
              <w:t>项目危险废物汇总</w:t>
            </w:r>
            <w:r>
              <w:rPr>
                <w:rFonts w:ascii="Times New Roman" w:hAnsi="Times New Roman" w:eastAsia="宋体"/>
                <w:b/>
                <w:bCs/>
                <w:color w:val="auto"/>
                <w:sz w:val="24"/>
                <w:szCs w:val="24"/>
              </w:rPr>
              <w:t>表</w:t>
            </w:r>
          </w:p>
          <w:tbl>
            <w:tblPr>
              <w:tblStyle w:val="3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816"/>
              <w:gridCol w:w="938"/>
              <w:gridCol w:w="1176"/>
              <w:gridCol w:w="855"/>
              <w:gridCol w:w="690"/>
              <w:gridCol w:w="419"/>
              <w:gridCol w:w="695"/>
              <w:gridCol w:w="503"/>
              <w:gridCol w:w="561"/>
              <w:gridCol w:w="641"/>
              <w:gridCol w:w="615"/>
            </w:tblGrid>
            <w:tr w14:paraId="66CB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263" w:type="pct"/>
                  <w:vAlign w:val="center"/>
                </w:tcPr>
                <w:p w14:paraId="73E63831">
                  <w:pPr>
                    <w:adjustRightInd w:val="0"/>
                    <w:snapToGrid w:val="0"/>
                    <w:jc w:val="center"/>
                    <w:rPr>
                      <w:b/>
                      <w:bCs/>
                      <w:color w:val="auto"/>
                    </w:rPr>
                  </w:pPr>
                  <w:r>
                    <w:rPr>
                      <w:b/>
                      <w:bCs/>
                      <w:color w:val="auto"/>
                    </w:rPr>
                    <w:t>序号</w:t>
                  </w:r>
                </w:p>
              </w:tc>
              <w:tc>
                <w:tcPr>
                  <w:tcW w:w="488" w:type="pct"/>
                  <w:vAlign w:val="center"/>
                </w:tcPr>
                <w:p w14:paraId="62069CAB">
                  <w:pPr>
                    <w:adjustRightInd w:val="0"/>
                    <w:snapToGrid w:val="0"/>
                    <w:jc w:val="center"/>
                    <w:rPr>
                      <w:b/>
                      <w:bCs/>
                      <w:color w:val="auto"/>
                    </w:rPr>
                  </w:pPr>
                  <w:r>
                    <w:rPr>
                      <w:b/>
                      <w:bCs/>
                      <w:color w:val="auto"/>
                    </w:rPr>
                    <w:t>危险废物名称</w:t>
                  </w:r>
                </w:p>
              </w:tc>
              <w:tc>
                <w:tcPr>
                  <w:tcW w:w="561" w:type="pct"/>
                  <w:vAlign w:val="center"/>
                </w:tcPr>
                <w:p w14:paraId="32B5497A">
                  <w:pPr>
                    <w:adjustRightInd w:val="0"/>
                    <w:snapToGrid w:val="0"/>
                    <w:jc w:val="center"/>
                    <w:rPr>
                      <w:b/>
                      <w:bCs/>
                      <w:color w:val="auto"/>
                    </w:rPr>
                  </w:pPr>
                  <w:r>
                    <w:rPr>
                      <w:b/>
                      <w:bCs/>
                      <w:color w:val="auto"/>
                    </w:rPr>
                    <w:t>危险废物类别</w:t>
                  </w:r>
                </w:p>
              </w:tc>
              <w:tc>
                <w:tcPr>
                  <w:tcW w:w="703" w:type="pct"/>
                  <w:vAlign w:val="center"/>
                </w:tcPr>
                <w:p w14:paraId="6FD0A2BC">
                  <w:pPr>
                    <w:adjustRightInd w:val="0"/>
                    <w:snapToGrid w:val="0"/>
                    <w:jc w:val="center"/>
                    <w:rPr>
                      <w:b/>
                      <w:bCs/>
                      <w:color w:val="auto"/>
                    </w:rPr>
                  </w:pPr>
                  <w:r>
                    <w:rPr>
                      <w:b/>
                      <w:bCs/>
                      <w:color w:val="auto"/>
                    </w:rPr>
                    <w:t>危险废物代码</w:t>
                  </w:r>
                </w:p>
              </w:tc>
              <w:tc>
                <w:tcPr>
                  <w:tcW w:w="512" w:type="pct"/>
                  <w:vAlign w:val="center"/>
                </w:tcPr>
                <w:p w14:paraId="32000933">
                  <w:pPr>
                    <w:adjustRightInd w:val="0"/>
                    <w:snapToGrid w:val="0"/>
                    <w:jc w:val="center"/>
                    <w:rPr>
                      <w:b/>
                      <w:bCs/>
                      <w:color w:val="auto"/>
                    </w:rPr>
                  </w:pPr>
                  <w:r>
                    <w:rPr>
                      <w:b/>
                      <w:bCs/>
                      <w:color w:val="auto"/>
                    </w:rPr>
                    <w:t>产生量（t/a）</w:t>
                  </w:r>
                </w:p>
              </w:tc>
              <w:tc>
                <w:tcPr>
                  <w:tcW w:w="413" w:type="pct"/>
                  <w:vAlign w:val="center"/>
                </w:tcPr>
                <w:p w14:paraId="466DA997">
                  <w:pPr>
                    <w:adjustRightInd w:val="0"/>
                    <w:snapToGrid w:val="0"/>
                    <w:jc w:val="center"/>
                    <w:rPr>
                      <w:b/>
                      <w:bCs/>
                      <w:color w:val="auto"/>
                    </w:rPr>
                  </w:pPr>
                  <w:r>
                    <w:rPr>
                      <w:b/>
                      <w:bCs/>
                      <w:color w:val="auto"/>
                    </w:rPr>
                    <w:t>产生工序及装置</w:t>
                  </w:r>
                </w:p>
              </w:tc>
              <w:tc>
                <w:tcPr>
                  <w:tcW w:w="251" w:type="pct"/>
                  <w:vAlign w:val="center"/>
                </w:tcPr>
                <w:p w14:paraId="780FEB4E">
                  <w:pPr>
                    <w:adjustRightInd w:val="0"/>
                    <w:snapToGrid w:val="0"/>
                    <w:jc w:val="center"/>
                    <w:rPr>
                      <w:b/>
                      <w:bCs/>
                      <w:color w:val="auto"/>
                    </w:rPr>
                  </w:pPr>
                  <w:r>
                    <w:rPr>
                      <w:b/>
                      <w:bCs/>
                      <w:color w:val="auto"/>
                    </w:rPr>
                    <w:t>形态</w:t>
                  </w:r>
                </w:p>
              </w:tc>
              <w:tc>
                <w:tcPr>
                  <w:tcW w:w="416" w:type="pct"/>
                  <w:vAlign w:val="center"/>
                </w:tcPr>
                <w:p w14:paraId="15C30D4B">
                  <w:pPr>
                    <w:adjustRightInd w:val="0"/>
                    <w:snapToGrid w:val="0"/>
                    <w:jc w:val="center"/>
                    <w:rPr>
                      <w:b/>
                      <w:bCs/>
                      <w:color w:val="auto"/>
                    </w:rPr>
                  </w:pPr>
                  <w:r>
                    <w:rPr>
                      <w:b/>
                      <w:bCs/>
                      <w:color w:val="auto"/>
                    </w:rPr>
                    <w:t>主要成分</w:t>
                  </w:r>
                </w:p>
              </w:tc>
              <w:tc>
                <w:tcPr>
                  <w:tcW w:w="301" w:type="pct"/>
                  <w:vAlign w:val="center"/>
                </w:tcPr>
                <w:p w14:paraId="76E1B6C2">
                  <w:pPr>
                    <w:adjustRightInd w:val="0"/>
                    <w:snapToGrid w:val="0"/>
                    <w:jc w:val="center"/>
                    <w:rPr>
                      <w:b/>
                      <w:bCs/>
                      <w:color w:val="auto"/>
                    </w:rPr>
                  </w:pPr>
                  <w:r>
                    <w:rPr>
                      <w:b/>
                      <w:bCs/>
                      <w:color w:val="auto"/>
                    </w:rPr>
                    <w:t>有害成分</w:t>
                  </w:r>
                </w:p>
              </w:tc>
              <w:tc>
                <w:tcPr>
                  <w:tcW w:w="336" w:type="pct"/>
                  <w:vAlign w:val="center"/>
                </w:tcPr>
                <w:p w14:paraId="4C2D1960">
                  <w:pPr>
                    <w:adjustRightInd w:val="0"/>
                    <w:snapToGrid w:val="0"/>
                    <w:jc w:val="center"/>
                    <w:rPr>
                      <w:b/>
                      <w:bCs/>
                      <w:color w:val="auto"/>
                    </w:rPr>
                  </w:pPr>
                  <w:r>
                    <w:rPr>
                      <w:b/>
                      <w:bCs/>
                      <w:color w:val="auto"/>
                    </w:rPr>
                    <w:t>产废周期</w:t>
                  </w:r>
                </w:p>
              </w:tc>
              <w:tc>
                <w:tcPr>
                  <w:tcW w:w="384" w:type="pct"/>
                  <w:vAlign w:val="center"/>
                </w:tcPr>
                <w:p w14:paraId="79335D1A">
                  <w:pPr>
                    <w:adjustRightInd w:val="0"/>
                    <w:snapToGrid w:val="0"/>
                    <w:jc w:val="center"/>
                    <w:rPr>
                      <w:b/>
                      <w:bCs/>
                      <w:color w:val="auto"/>
                    </w:rPr>
                  </w:pPr>
                  <w:r>
                    <w:rPr>
                      <w:b/>
                      <w:bCs/>
                      <w:color w:val="auto"/>
                    </w:rPr>
                    <w:t>危险特征</w:t>
                  </w:r>
                </w:p>
              </w:tc>
              <w:tc>
                <w:tcPr>
                  <w:tcW w:w="368" w:type="pct"/>
                  <w:vAlign w:val="center"/>
                </w:tcPr>
                <w:p w14:paraId="4287977F">
                  <w:pPr>
                    <w:adjustRightInd w:val="0"/>
                    <w:snapToGrid w:val="0"/>
                    <w:jc w:val="center"/>
                    <w:rPr>
                      <w:b/>
                      <w:bCs/>
                      <w:color w:val="auto"/>
                    </w:rPr>
                  </w:pPr>
                  <w:r>
                    <w:rPr>
                      <w:b/>
                      <w:bCs/>
                      <w:color w:val="auto"/>
                    </w:rPr>
                    <w:t>污染防治措施</w:t>
                  </w:r>
                </w:p>
              </w:tc>
            </w:tr>
            <w:tr w14:paraId="77B4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63" w:type="pct"/>
                  <w:vAlign w:val="center"/>
                </w:tcPr>
                <w:p w14:paraId="2F2F2ABD">
                  <w:pPr>
                    <w:keepNext w:val="0"/>
                    <w:keepLines w:val="0"/>
                    <w:pageBreakBefore w:val="0"/>
                    <w:widowControl w:val="0"/>
                    <w:numPr>
                      <w:ilvl w:val="0"/>
                      <w:numId w:val="23"/>
                    </w:numPr>
                    <w:kinsoku/>
                    <w:wordWrap/>
                    <w:overflowPunct/>
                    <w:topLinePunct w:val="0"/>
                    <w:autoSpaceDE/>
                    <w:autoSpaceDN/>
                    <w:bidi w:val="0"/>
                    <w:adjustRightInd w:val="0"/>
                    <w:snapToGrid w:val="0"/>
                    <w:ind w:firstLine="0" w:firstLineChars="0"/>
                    <w:jc w:val="center"/>
                    <w:textAlignment w:val="auto"/>
                    <w:rPr>
                      <w:color w:val="auto"/>
                      <w:sz w:val="21"/>
                      <w:szCs w:val="21"/>
                    </w:rPr>
                  </w:pPr>
                </w:p>
              </w:tc>
              <w:tc>
                <w:tcPr>
                  <w:tcW w:w="488" w:type="pct"/>
                  <w:shd w:val="clear" w:color="auto" w:fill="auto"/>
                  <w:vAlign w:val="center"/>
                </w:tcPr>
                <w:p w14:paraId="3F8759F8">
                  <w:pPr>
                    <w:pStyle w:val="7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废原料包装桶</w:t>
                  </w:r>
                </w:p>
              </w:tc>
              <w:tc>
                <w:tcPr>
                  <w:tcW w:w="561" w:type="pct"/>
                  <w:shd w:val="clear" w:color="auto" w:fill="auto"/>
                  <w:vAlign w:val="center"/>
                </w:tcPr>
                <w:p w14:paraId="4693599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 w:val="21"/>
                      <w:szCs w:val="21"/>
                    </w:rPr>
                  </w:pPr>
                  <w:r>
                    <w:rPr>
                      <w:color w:val="auto"/>
                      <w:sz w:val="21"/>
                      <w:szCs w:val="21"/>
                    </w:rPr>
                    <w:t>HW49其他废物</w:t>
                  </w:r>
                </w:p>
              </w:tc>
              <w:tc>
                <w:tcPr>
                  <w:tcW w:w="703" w:type="pct"/>
                  <w:shd w:val="clear" w:color="auto" w:fill="auto"/>
                  <w:vAlign w:val="center"/>
                </w:tcPr>
                <w:p w14:paraId="1DE1795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 w:val="21"/>
                      <w:szCs w:val="21"/>
                    </w:rPr>
                  </w:pPr>
                  <w:r>
                    <w:rPr>
                      <w:color w:val="auto"/>
                      <w:sz w:val="21"/>
                      <w:szCs w:val="21"/>
                    </w:rPr>
                    <w:t>900-041-49</w:t>
                  </w:r>
                </w:p>
              </w:tc>
              <w:tc>
                <w:tcPr>
                  <w:tcW w:w="512" w:type="pct"/>
                  <w:shd w:val="clear" w:color="auto" w:fill="auto"/>
                  <w:vAlign w:val="center"/>
                </w:tcPr>
                <w:p w14:paraId="6DF88C8A">
                  <w:pPr>
                    <w:pStyle w:val="7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1.7</w:t>
                  </w:r>
                </w:p>
              </w:tc>
              <w:tc>
                <w:tcPr>
                  <w:tcW w:w="413" w:type="pct"/>
                  <w:shd w:val="clear" w:color="auto" w:fill="auto"/>
                  <w:vAlign w:val="center"/>
                </w:tcPr>
                <w:p w14:paraId="7334821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 w:val="21"/>
                      <w:szCs w:val="21"/>
                    </w:rPr>
                  </w:pPr>
                  <w:r>
                    <w:rPr>
                      <w:color w:val="auto"/>
                      <w:sz w:val="21"/>
                      <w:szCs w:val="21"/>
                    </w:rPr>
                    <w:t>生产过程</w:t>
                  </w:r>
                </w:p>
              </w:tc>
              <w:tc>
                <w:tcPr>
                  <w:tcW w:w="251" w:type="pct"/>
                  <w:shd w:val="clear" w:color="auto" w:fill="auto"/>
                  <w:vAlign w:val="center"/>
                </w:tcPr>
                <w:p w14:paraId="406FA53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 w:val="21"/>
                      <w:szCs w:val="21"/>
                    </w:rPr>
                  </w:pPr>
                  <w:r>
                    <w:rPr>
                      <w:color w:val="auto"/>
                      <w:sz w:val="21"/>
                      <w:szCs w:val="21"/>
                    </w:rPr>
                    <w:t>固体</w:t>
                  </w:r>
                </w:p>
              </w:tc>
              <w:tc>
                <w:tcPr>
                  <w:tcW w:w="416" w:type="pct"/>
                  <w:shd w:val="clear" w:color="auto" w:fill="auto"/>
                  <w:vAlign w:val="center"/>
                </w:tcPr>
                <w:p w14:paraId="1622085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 w:val="21"/>
                      <w:szCs w:val="21"/>
                    </w:rPr>
                  </w:pPr>
                  <w:r>
                    <w:rPr>
                      <w:color w:val="auto"/>
                      <w:sz w:val="21"/>
                      <w:szCs w:val="21"/>
                    </w:rPr>
                    <w:t>化学品</w:t>
                  </w:r>
                </w:p>
              </w:tc>
              <w:tc>
                <w:tcPr>
                  <w:tcW w:w="301" w:type="pct"/>
                  <w:shd w:val="clear" w:color="auto" w:fill="auto"/>
                  <w:vAlign w:val="center"/>
                </w:tcPr>
                <w:p w14:paraId="32A7F2B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 w:val="21"/>
                      <w:szCs w:val="21"/>
                    </w:rPr>
                  </w:pPr>
                  <w:r>
                    <w:rPr>
                      <w:color w:val="auto"/>
                      <w:sz w:val="21"/>
                      <w:szCs w:val="21"/>
                    </w:rPr>
                    <w:t>有机物</w:t>
                  </w:r>
                </w:p>
              </w:tc>
              <w:tc>
                <w:tcPr>
                  <w:tcW w:w="336" w:type="pct"/>
                  <w:shd w:val="clear" w:color="auto" w:fill="auto"/>
                  <w:vAlign w:val="center"/>
                </w:tcPr>
                <w:p w14:paraId="7018086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 w:val="21"/>
                      <w:szCs w:val="21"/>
                    </w:rPr>
                  </w:pPr>
                  <w:r>
                    <w:rPr>
                      <w:color w:val="auto"/>
                      <w:sz w:val="21"/>
                      <w:szCs w:val="21"/>
                    </w:rPr>
                    <w:t>每天</w:t>
                  </w:r>
                </w:p>
              </w:tc>
              <w:tc>
                <w:tcPr>
                  <w:tcW w:w="384" w:type="pct"/>
                  <w:shd w:val="clear" w:color="auto" w:fill="auto"/>
                  <w:vAlign w:val="center"/>
                </w:tcPr>
                <w:p w14:paraId="6507967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 w:val="21"/>
                      <w:szCs w:val="21"/>
                    </w:rPr>
                  </w:pPr>
                  <w:r>
                    <w:rPr>
                      <w:color w:val="auto"/>
                      <w:sz w:val="21"/>
                      <w:szCs w:val="21"/>
                    </w:rPr>
                    <w:t>T/I</w:t>
                  </w:r>
                  <w:r>
                    <w:rPr>
                      <w:rStyle w:val="44"/>
                      <w:rFonts w:eastAsiaTheme="minorEastAsia"/>
                      <w:color w:val="auto"/>
                      <w:sz w:val="21"/>
                      <w:szCs w:val="21"/>
                    </w:rPr>
                    <w:t>n</w:t>
                  </w:r>
                </w:p>
              </w:tc>
              <w:tc>
                <w:tcPr>
                  <w:tcW w:w="368" w:type="pct"/>
                  <w:vMerge w:val="restart"/>
                  <w:vAlign w:val="center"/>
                </w:tcPr>
                <w:p w14:paraId="6F24F414">
                  <w:pPr>
                    <w:adjustRightInd w:val="0"/>
                    <w:snapToGrid w:val="0"/>
                    <w:jc w:val="center"/>
                    <w:rPr>
                      <w:color w:val="auto"/>
                    </w:rPr>
                  </w:pPr>
                  <w:r>
                    <w:rPr>
                      <w:color w:val="auto"/>
                    </w:rPr>
                    <w:t>交由有资质单位进行处理</w:t>
                  </w:r>
                </w:p>
              </w:tc>
            </w:tr>
            <w:tr w14:paraId="7B9F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63" w:type="pct"/>
                  <w:vAlign w:val="center"/>
                </w:tcPr>
                <w:p w14:paraId="637AD7C2">
                  <w:pPr>
                    <w:keepNext w:val="0"/>
                    <w:keepLines w:val="0"/>
                    <w:pageBreakBefore w:val="0"/>
                    <w:widowControl w:val="0"/>
                    <w:numPr>
                      <w:ilvl w:val="0"/>
                      <w:numId w:val="23"/>
                    </w:numPr>
                    <w:kinsoku/>
                    <w:wordWrap/>
                    <w:overflowPunct/>
                    <w:topLinePunct w:val="0"/>
                    <w:autoSpaceDE/>
                    <w:autoSpaceDN/>
                    <w:bidi w:val="0"/>
                    <w:adjustRightInd w:val="0"/>
                    <w:snapToGrid w:val="0"/>
                    <w:ind w:firstLine="0" w:firstLineChars="0"/>
                    <w:jc w:val="center"/>
                    <w:textAlignment w:val="auto"/>
                    <w:rPr>
                      <w:color w:val="auto"/>
                      <w:sz w:val="21"/>
                      <w:szCs w:val="21"/>
                    </w:rPr>
                  </w:pPr>
                </w:p>
              </w:tc>
              <w:tc>
                <w:tcPr>
                  <w:tcW w:w="488" w:type="pct"/>
                  <w:shd w:val="clear" w:color="auto" w:fill="auto"/>
                  <w:vAlign w:val="center"/>
                </w:tcPr>
                <w:p w14:paraId="7AB40750">
                  <w:pPr>
                    <w:pStyle w:val="7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废活性炭</w:t>
                  </w:r>
                </w:p>
              </w:tc>
              <w:tc>
                <w:tcPr>
                  <w:tcW w:w="561" w:type="pct"/>
                  <w:shd w:val="clear" w:color="auto" w:fill="auto"/>
                  <w:vAlign w:val="center"/>
                </w:tcPr>
                <w:p w14:paraId="67898018">
                  <w:pPr>
                    <w:pStyle w:val="7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HW49其他废物</w:t>
                  </w:r>
                </w:p>
              </w:tc>
              <w:tc>
                <w:tcPr>
                  <w:tcW w:w="703" w:type="pct"/>
                  <w:shd w:val="clear" w:color="auto" w:fill="auto"/>
                  <w:vAlign w:val="center"/>
                </w:tcPr>
                <w:p w14:paraId="210418A0">
                  <w:pPr>
                    <w:pStyle w:val="7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900-039-49</w:t>
                  </w:r>
                </w:p>
              </w:tc>
              <w:tc>
                <w:tcPr>
                  <w:tcW w:w="512" w:type="pct"/>
                  <w:shd w:val="clear" w:color="auto" w:fill="auto"/>
                  <w:vAlign w:val="center"/>
                </w:tcPr>
                <w:p w14:paraId="353167ED">
                  <w:pPr>
                    <w:pStyle w:val="7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ascii="Times New Roman" w:hAnsi="Times New Roman" w:eastAsia="宋体" w:cs="Times New Roman"/>
                      <w:color w:val="auto"/>
                      <w:sz w:val="21"/>
                      <w:szCs w:val="21"/>
                    </w:rPr>
                  </w:pPr>
                  <w:r>
                    <w:rPr>
                      <w:rFonts w:hint="eastAsia" w:ascii="Times New Roman" w:hAnsi="Times New Roman"/>
                      <w:color w:val="auto"/>
                      <w:sz w:val="21"/>
                      <w:szCs w:val="21"/>
                      <w:lang w:val="en-US" w:eastAsia="zh-CN"/>
                    </w:rPr>
                    <w:t>0.289734</w:t>
                  </w:r>
                </w:p>
              </w:tc>
              <w:tc>
                <w:tcPr>
                  <w:tcW w:w="413" w:type="pct"/>
                  <w:shd w:val="clear" w:color="auto" w:fill="auto"/>
                  <w:vAlign w:val="center"/>
                </w:tcPr>
                <w:p w14:paraId="436CB29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 w:val="21"/>
                      <w:szCs w:val="21"/>
                    </w:rPr>
                  </w:pPr>
                  <w:r>
                    <w:rPr>
                      <w:color w:val="auto"/>
                      <w:sz w:val="21"/>
                      <w:szCs w:val="21"/>
                    </w:rPr>
                    <w:t>废气处理</w:t>
                  </w:r>
                </w:p>
              </w:tc>
              <w:tc>
                <w:tcPr>
                  <w:tcW w:w="251" w:type="pct"/>
                  <w:shd w:val="clear" w:color="auto" w:fill="auto"/>
                  <w:vAlign w:val="center"/>
                </w:tcPr>
                <w:p w14:paraId="3C0CD76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 w:val="21"/>
                      <w:szCs w:val="21"/>
                    </w:rPr>
                  </w:pPr>
                  <w:r>
                    <w:rPr>
                      <w:color w:val="auto"/>
                      <w:sz w:val="21"/>
                      <w:szCs w:val="21"/>
                    </w:rPr>
                    <w:t>固体</w:t>
                  </w:r>
                </w:p>
              </w:tc>
              <w:tc>
                <w:tcPr>
                  <w:tcW w:w="416" w:type="pct"/>
                  <w:shd w:val="clear" w:color="auto" w:fill="auto"/>
                  <w:vAlign w:val="center"/>
                </w:tcPr>
                <w:p w14:paraId="53B03DE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 w:val="21"/>
                      <w:szCs w:val="21"/>
                    </w:rPr>
                  </w:pPr>
                  <w:r>
                    <w:rPr>
                      <w:color w:val="auto"/>
                      <w:sz w:val="21"/>
                      <w:szCs w:val="21"/>
                    </w:rPr>
                    <w:t>废活性炭</w:t>
                  </w:r>
                </w:p>
              </w:tc>
              <w:tc>
                <w:tcPr>
                  <w:tcW w:w="301" w:type="pct"/>
                  <w:shd w:val="clear" w:color="auto" w:fill="auto"/>
                  <w:vAlign w:val="center"/>
                </w:tcPr>
                <w:p w14:paraId="2B434BD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 w:val="21"/>
                      <w:szCs w:val="21"/>
                    </w:rPr>
                  </w:pPr>
                  <w:r>
                    <w:rPr>
                      <w:color w:val="auto"/>
                      <w:sz w:val="21"/>
                      <w:szCs w:val="21"/>
                    </w:rPr>
                    <w:t>有机物</w:t>
                  </w:r>
                </w:p>
              </w:tc>
              <w:tc>
                <w:tcPr>
                  <w:tcW w:w="336" w:type="pct"/>
                  <w:shd w:val="clear" w:color="auto" w:fill="auto"/>
                  <w:vAlign w:val="center"/>
                </w:tcPr>
                <w:p w14:paraId="4FC236A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eastAsia="宋体"/>
                      <w:color w:val="auto"/>
                      <w:sz w:val="21"/>
                      <w:szCs w:val="21"/>
                      <w:lang w:eastAsia="zh-CN"/>
                    </w:rPr>
                  </w:pPr>
                  <w:r>
                    <w:rPr>
                      <w:rFonts w:hint="eastAsia"/>
                      <w:color w:val="auto"/>
                      <w:sz w:val="21"/>
                      <w:szCs w:val="21"/>
                      <w:lang w:val="en-US" w:eastAsia="zh-CN"/>
                    </w:rPr>
                    <w:t>每年</w:t>
                  </w:r>
                </w:p>
              </w:tc>
              <w:tc>
                <w:tcPr>
                  <w:tcW w:w="384" w:type="pct"/>
                  <w:shd w:val="clear" w:color="auto" w:fill="auto"/>
                  <w:vAlign w:val="center"/>
                </w:tcPr>
                <w:p w14:paraId="68B8591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color w:val="auto"/>
                      <w:sz w:val="21"/>
                      <w:szCs w:val="21"/>
                    </w:rPr>
                  </w:pPr>
                  <w:r>
                    <w:rPr>
                      <w:color w:val="auto"/>
                      <w:sz w:val="21"/>
                      <w:szCs w:val="21"/>
                    </w:rPr>
                    <w:t>T</w:t>
                  </w:r>
                </w:p>
              </w:tc>
              <w:tc>
                <w:tcPr>
                  <w:tcW w:w="368" w:type="pct"/>
                  <w:vMerge w:val="continue"/>
                  <w:vAlign w:val="center"/>
                </w:tcPr>
                <w:p w14:paraId="033DF9A9">
                  <w:pPr>
                    <w:adjustRightInd w:val="0"/>
                    <w:snapToGrid w:val="0"/>
                    <w:jc w:val="center"/>
                    <w:rPr>
                      <w:color w:val="auto"/>
                    </w:rPr>
                  </w:pPr>
                </w:p>
              </w:tc>
            </w:tr>
          </w:tbl>
          <w:p w14:paraId="2E4C239D">
            <w:pPr>
              <w:pStyle w:val="16"/>
              <w:autoSpaceDE w:val="0"/>
              <w:autoSpaceDN w:val="0"/>
              <w:adjustRightInd w:val="0"/>
              <w:snapToGrid w:val="0"/>
              <w:spacing w:line="360" w:lineRule="auto"/>
              <w:jc w:val="center"/>
              <w:rPr>
                <w:rFonts w:ascii="Times New Roman" w:hAnsi="Times New Roman" w:eastAsia="宋体"/>
                <w:b/>
                <w:bCs/>
                <w:color w:val="auto"/>
                <w:kern w:val="0"/>
                <w:sz w:val="21"/>
                <w:szCs w:val="21"/>
              </w:rPr>
            </w:pPr>
            <w:r>
              <w:rPr>
                <w:rFonts w:ascii="Times New Roman" w:hAnsi="Times New Roman" w:eastAsia="宋体"/>
                <w:b/>
                <w:bCs/>
                <w:color w:val="auto"/>
                <w:sz w:val="24"/>
                <w:szCs w:val="24"/>
              </w:rPr>
              <w:t>表</w:t>
            </w:r>
            <w:r>
              <w:rPr>
                <w:rFonts w:ascii="Times New Roman" w:hAnsi="Times New Roman" w:eastAsia="宋体"/>
                <w:b/>
                <w:bCs/>
                <w:color w:val="auto"/>
                <w:sz w:val="24"/>
                <w:szCs w:val="24"/>
              </w:rPr>
              <w:fldChar w:fldCharType="begin"/>
            </w:r>
            <w:r>
              <w:rPr>
                <w:rFonts w:ascii="Times New Roman" w:hAnsi="Times New Roman" w:eastAsia="宋体"/>
                <w:b/>
                <w:bCs/>
                <w:color w:val="auto"/>
                <w:sz w:val="24"/>
                <w:szCs w:val="24"/>
              </w:rPr>
              <w:instrText xml:space="preserve"> SEQ 表 \* ARABIC </w:instrText>
            </w:r>
            <w:r>
              <w:rPr>
                <w:rFonts w:ascii="Times New Roman" w:hAnsi="Times New Roman" w:eastAsia="宋体"/>
                <w:b/>
                <w:bCs/>
                <w:color w:val="auto"/>
                <w:sz w:val="24"/>
                <w:szCs w:val="24"/>
              </w:rPr>
              <w:fldChar w:fldCharType="separate"/>
            </w:r>
            <w:r>
              <w:rPr>
                <w:rFonts w:ascii="Times New Roman" w:hAnsi="Times New Roman" w:eastAsia="宋体"/>
                <w:b/>
                <w:bCs/>
                <w:color w:val="auto"/>
                <w:sz w:val="24"/>
                <w:szCs w:val="24"/>
              </w:rPr>
              <w:t>50</w:t>
            </w:r>
            <w:r>
              <w:rPr>
                <w:rFonts w:ascii="Times New Roman" w:hAnsi="Times New Roman" w:eastAsia="宋体"/>
                <w:b/>
                <w:bCs/>
                <w:color w:val="auto"/>
                <w:sz w:val="24"/>
                <w:szCs w:val="24"/>
              </w:rPr>
              <w:fldChar w:fldCharType="end"/>
            </w:r>
            <w:r>
              <w:rPr>
                <w:rFonts w:ascii="Times New Roman" w:hAnsi="Times New Roman" w:eastAsia="宋体"/>
                <w:color w:val="auto"/>
                <w:sz w:val="24"/>
                <w:szCs w:val="24"/>
              </w:rPr>
              <w:t xml:space="preserve">  </w:t>
            </w:r>
            <w:r>
              <w:rPr>
                <w:rFonts w:ascii="Times New Roman" w:hAnsi="Times New Roman" w:eastAsia="宋体"/>
                <w:b/>
                <w:bCs/>
                <w:color w:val="auto"/>
                <w:kern w:val="0"/>
                <w:sz w:val="24"/>
                <w:szCs w:val="24"/>
              </w:rPr>
              <w:t>项目危险废物贮存场所基本情况表</w:t>
            </w:r>
          </w:p>
          <w:tbl>
            <w:tblPr>
              <w:tblStyle w:val="3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459"/>
              <w:gridCol w:w="838"/>
              <w:gridCol w:w="1025"/>
              <w:gridCol w:w="1035"/>
              <w:gridCol w:w="1318"/>
              <w:gridCol w:w="827"/>
              <w:gridCol w:w="900"/>
              <w:gridCol w:w="663"/>
              <w:gridCol w:w="665"/>
              <w:gridCol w:w="620"/>
            </w:tblGrid>
            <w:tr w14:paraId="2FD0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tblHeader/>
                <w:jc w:val="center"/>
              </w:trPr>
              <w:tc>
                <w:tcPr>
                  <w:tcW w:w="274" w:type="pct"/>
                  <w:tcBorders>
                    <w:tl2br w:val="nil"/>
                    <w:tr2bl w:val="nil"/>
                  </w:tcBorders>
                  <w:vAlign w:val="center"/>
                </w:tcPr>
                <w:p w14:paraId="39FF0332">
                  <w:pPr>
                    <w:jc w:val="center"/>
                    <w:rPr>
                      <w:color w:val="auto"/>
                      <w:szCs w:val="21"/>
                    </w:rPr>
                  </w:pPr>
                  <w:bookmarkStart w:id="45" w:name="_Toc21141"/>
                  <w:bookmarkStart w:id="46" w:name="_Toc24342"/>
                  <w:bookmarkStart w:id="47" w:name="_Toc19686"/>
                  <w:bookmarkStart w:id="48" w:name="_Toc16731"/>
                  <w:bookmarkStart w:id="49" w:name="_Toc15763"/>
                  <w:bookmarkStart w:id="50" w:name="_Toc1040"/>
                  <w:bookmarkStart w:id="51" w:name="_Toc12359"/>
                  <w:bookmarkStart w:id="52" w:name="_Toc2136"/>
                  <w:bookmarkStart w:id="53" w:name="_Toc22035"/>
                  <w:r>
                    <w:rPr>
                      <w:color w:val="auto"/>
                      <w:szCs w:val="21"/>
                    </w:rPr>
                    <w:t>序号</w:t>
                  </w:r>
                  <w:bookmarkEnd w:id="45"/>
                  <w:bookmarkEnd w:id="46"/>
                  <w:bookmarkEnd w:id="47"/>
                  <w:bookmarkEnd w:id="48"/>
                  <w:bookmarkEnd w:id="49"/>
                  <w:bookmarkEnd w:id="50"/>
                  <w:bookmarkEnd w:id="51"/>
                  <w:bookmarkEnd w:id="52"/>
                  <w:bookmarkEnd w:id="53"/>
                </w:p>
              </w:tc>
              <w:tc>
                <w:tcPr>
                  <w:tcW w:w="501" w:type="pct"/>
                  <w:tcBorders>
                    <w:tl2br w:val="nil"/>
                    <w:tr2bl w:val="nil"/>
                  </w:tcBorders>
                  <w:vAlign w:val="center"/>
                </w:tcPr>
                <w:p w14:paraId="072A61BF">
                  <w:pPr>
                    <w:jc w:val="center"/>
                    <w:rPr>
                      <w:color w:val="auto"/>
                      <w:szCs w:val="21"/>
                    </w:rPr>
                  </w:pPr>
                  <w:bookmarkStart w:id="54" w:name="_Toc26928"/>
                  <w:bookmarkStart w:id="55" w:name="_Toc19245"/>
                  <w:bookmarkStart w:id="56" w:name="_Toc21208"/>
                  <w:bookmarkStart w:id="57" w:name="_Toc1471"/>
                  <w:bookmarkStart w:id="58" w:name="_Toc18402"/>
                  <w:bookmarkStart w:id="59" w:name="_Toc2976"/>
                  <w:bookmarkStart w:id="60" w:name="_Toc26394"/>
                  <w:bookmarkStart w:id="61" w:name="_Toc15679"/>
                  <w:bookmarkStart w:id="62" w:name="_Toc2933"/>
                  <w:r>
                    <w:rPr>
                      <w:color w:val="auto"/>
                      <w:szCs w:val="21"/>
                    </w:rPr>
                    <w:t>贮存场所名称</w:t>
                  </w:r>
                  <w:bookmarkEnd w:id="54"/>
                  <w:bookmarkEnd w:id="55"/>
                  <w:bookmarkEnd w:id="56"/>
                  <w:bookmarkEnd w:id="57"/>
                  <w:bookmarkEnd w:id="58"/>
                  <w:bookmarkEnd w:id="59"/>
                  <w:bookmarkEnd w:id="60"/>
                  <w:bookmarkEnd w:id="61"/>
                  <w:bookmarkEnd w:id="62"/>
                </w:p>
              </w:tc>
              <w:tc>
                <w:tcPr>
                  <w:tcW w:w="613" w:type="pct"/>
                  <w:tcBorders>
                    <w:tl2br w:val="nil"/>
                    <w:tr2bl w:val="nil"/>
                  </w:tcBorders>
                  <w:vAlign w:val="center"/>
                </w:tcPr>
                <w:p w14:paraId="7FF481EC">
                  <w:pPr>
                    <w:jc w:val="center"/>
                    <w:rPr>
                      <w:color w:val="auto"/>
                      <w:szCs w:val="21"/>
                    </w:rPr>
                  </w:pPr>
                  <w:bookmarkStart w:id="63" w:name="_Toc20434"/>
                  <w:bookmarkStart w:id="64" w:name="_Toc26640"/>
                  <w:bookmarkStart w:id="65" w:name="_Toc27125"/>
                  <w:bookmarkStart w:id="66" w:name="_Toc10530"/>
                  <w:bookmarkStart w:id="67" w:name="_Toc27597"/>
                  <w:bookmarkStart w:id="68" w:name="_Toc6177"/>
                  <w:bookmarkStart w:id="69" w:name="_Toc26414"/>
                  <w:bookmarkStart w:id="70" w:name="_Toc23959"/>
                  <w:bookmarkStart w:id="71" w:name="_Toc12690"/>
                  <w:r>
                    <w:rPr>
                      <w:color w:val="auto"/>
                      <w:szCs w:val="21"/>
                    </w:rPr>
                    <w:t>危险废物名称</w:t>
                  </w:r>
                  <w:bookmarkEnd w:id="63"/>
                  <w:bookmarkEnd w:id="64"/>
                  <w:bookmarkEnd w:id="65"/>
                  <w:bookmarkEnd w:id="66"/>
                  <w:bookmarkEnd w:id="67"/>
                  <w:bookmarkEnd w:id="68"/>
                  <w:bookmarkEnd w:id="69"/>
                  <w:bookmarkEnd w:id="70"/>
                  <w:bookmarkEnd w:id="71"/>
                </w:p>
              </w:tc>
              <w:tc>
                <w:tcPr>
                  <w:tcW w:w="620" w:type="pct"/>
                  <w:tcBorders>
                    <w:tl2br w:val="nil"/>
                    <w:tr2bl w:val="nil"/>
                  </w:tcBorders>
                  <w:vAlign w:val="center"/>
                </w:tcPr>
                <w:p w14:paraId="62293B03">
                  <w:pPr>
                    <w:jc w:val="center"/>
                    <w:rPr>
                      <w:color w:val="auto"/>
                      <w:szCs w:val="21"/>
                    </w:rPr>
                  </w:pPr>
                  <w:bookmarkStart w:id="72" w:name="_Toc9391"/>
                  <w:bookmarkStart w:id="73" w:name="_Toc1307"/>
                  <w:bookmarkStart w:id="74" w:name="_Toc2474"/>
                  <w:bookmarkStart w:id="75" w:name="_Toc17655"/>
                  <w:bookmarkStart w:id="76" w:name="_Toc16628"/>
                  <w:bookmarkStart w:id="77" w:name="_Toc15339"/>
                  <w:bookmarkStart w:id="78" w:name="_Toc17803"/>
                  <w:bookmarkStart w:id="79" w:name="_Toc23204"/>
                  <w:bookmarkStart w:id="80" w:name="_Toc9737"/>
                  <w:r>
                    <w:rPr>
                      <w:color w:val="auto"/>
                      <w:szCs w:val="21"/>
                    </w:rPr>
                    <w:t>危险废物类别</w:t>
                  </w:r>
                  <w:bookmarkEnd w:id="72"/>
                  <w:bookmarkEnd w:id="73"/>
                  <w:bookmarkEnd w:id="74"/>
                  <w:bookmarkEnd w:id="75"/>
                  <w:bookmarkEnd w:id="76"/>
                  <w:bookmarkEnd w:id="77"/>
                  <w:bookmarkEnd w:id="78"/>
                  <w:bookmarkEnd w:id="79"/>
                  <w:bookmarkEnd w:id="80"/>
                </w:p>
              </w:tc>
              <w:tc>
                <w:tcPr>
                  <w:tcW w:w="788" w:type="pct"/>
                  <w:tcBorders>
                    <w:tl2br w:val="nil"/>
                    <w:tr2bl w:val="nil"/>
                  </w:tcBorders>
                  <w:vAlign w:val="center"/>
                </w:tcPr>
                <w:p w14:paraId="62C9BABA">
                  <w:pPr>
                    <w:jc w:val="center"/>
                    <w:rPr>
                      <w:color w:val="auto"/>
                      <w:szCs w:val="21"/>
                    </w:rPr>
                  </w:pPr>
                  <w:bookmarkStart w:id="81" w:name="_Toc31694"/>
                  <w:bookmarkStart w:id="82" w:name="_Toc31985"/>
                  <w:bookmarkStart w:id="83" w:name="_Toc17072"/>
                  <w:bookmarkStart w:id="84" w:name="_Toc4521"/>
                  <w:bookmarkStart w:id="85" w:name="_Toc32194"/>
                  <w:bookmarkStart w:id="86" w:name="_Toc24403"/>
                  <w:bookmarkStart w:id="87" w:name="_Toc18409"/>
                  <w:bookmarkStart w:id="88" w:name="_Toc26029"/>
                  <w:bookmarkStart w:id="89" w:name="_Toc25803"/>
                  <w:r>
                    <w:rPr>
                      <w:color w:val="auto"/>
                      <w:szCs w:val="21"/>
                    </w:rPr>
                    <w:t>危险废物代码</w:t>
                  </w:r>
                  <w:bookmarkEnd w:id="81"/>
                  <w:bookmarkEnd w:id="82"/>
                  <w:bookmarkEnd w:id="83"/>
                  <w:bookmarkEnd w:id="84"/>
                  <w:bookmarkEnd w:id="85"/>
                  <w:bookmarkEnd w:id="86"/>
                  <w:bookmarkEnd w:id="87"/>
                  <w:bookmarkEnd w:id="88"/>
                  <w:bookmarkEnd w:id="89"/>
                </w:p>
              </w:tc>
              <w:tc>
                <w:tcPr>
                  <w:tcW w:w="495" w:type="pct"/>
                  <w:tcBorders>
                    <w:tl2br w:val="nil"/>
                    <w:tr2bl w:val="nil"/>
                  </w:tcBorders>
                  <w:vAlign w:val="center"/>
                </w:tcPr>
                <w:p w14:paraId="700D6D33">
                  <w:pPr>
                    <w:jc w:val="center"/>
                    <w:rPr>
                      <w:color w:val="auto"/>
                      <w:szCs w:val="21"/>
                    </w:rPr>
                  </w:pPr>
                  <w:bookmarkStart w:id="90" w:name="_Toc1591"/>
                  <w:bookmarkStart w:id="91" w:name="_Toc20243"/>
                  <w:bookmarkStart w:id="92" w:name="_Toc27214"/>
                  <w:bookmarkStart w:id="93" w:name="_Toc17005"/>
                  <w:bookmarkStart w:id="94" w:name="_Toc15122"/>
                  <w:bookmarkStart w:id="95" w:name="_Toc16333"/>
                  <w:bookmarkStart w:id="96" w:name="_Toc15618"/>
                  <w:bookmarkStart w:id="97" w:name="_Toc4270"/>
                  <w:bookmarkStart w:id="98" w:name="_Toc6981"/>
                  <w:r>
                    <w:rPr>
                      <w:color w:val="auto"/>
                      <w:szCs w:val="21"/>
                    </w:rPr>
                    <w:t>位置</w:t>
                  </w:r>
                  <w:bookmarkEnd w:id="90"/>
                  <w:bookmarkEnd w:id="91"/>
                  <w:bookmarkEnd w:id="92"/>
                  <w:bookmarkEnd w:id="93"/>
                  <w:bookmarkEnd w:id="94"/>
                  <w:bookmarkEnd w:id="95"/>
                  <w:bookmarkEnd w:id="96"/>
                  <w:bookmarkEnd w:id="97"/>
                  <w:bookmarkEnd w:id="98"/>
                </w:p>
              </w:tc>
              <w:tc>
                <w:tcPr>
                  <w:tcW w:w="539" w:type="pct"/>
                  <w:tcBorders>
                    <w:tl2br w:val="nil"/>
                    <w:tr2bl w:val="nil"/>
                  </w:tcBorders>
                  <w:vAlign w:val="center"/>
                </w:tcPr>
                <w:p w14:paraId="4E23327D">
                  <w:pPr>
                    <w:jc w:val="center"/>
                    <w:rPr>
                      <w:color w:val="auto"/>
                      <w:szCs w:val="21"/>
                    </w:rPr>
                  </w:pPr>
                  <w:bookmarkStart w:id="99" w:name="_Toc10624"/>
                  <w:bookmarkStart w:id="100" w:name="_Toc5088"/>
                  <w:bookmarkStart w:id="101" w:name="_Toc15091"/>
                  <w:bookmarkStart w:id="102" w:name="_Toc25767"/>
                  <w:bookmarkStart w:id="103" w:name="_Toc7187"/>
                  <w:bookmarkStart w:id="104" w:name="_Toc5430"/>
                  <w:bookmarkStart w:id="105" w:name="_Toc31271"/>
                  <w:bookmarkStart w:id="106" w:name="_Toc18313"/>
                  <w:bookmarkStart w:id="107" w:name="_Toc29892"/>
                  <w:r>
                    <w:rPr>
                      <w:color w:val="auto"/>
                      <w:szCs w:val="21"/>
                    </w:rPr>
                    <w:t>占地面积</w:t>
                  </w:r>
                  <w:bookmarkEnd w:id="99"/>
                  <w:bookmarkEnd w:id="100"/>
                  <w:bookmarkEnd w:id="101"/>
                  <w:bookmarkEnd w:id="102"/>
                  <w:bookmarkEnd w:id="103"/>
                  <w:bookmarkEnd w:id="104"/>
                  <w:bookmarkEnd w:id="105"/>
                  <w:bookmarkEnd w:id="106"/>
                  <w:bookmarkEnd w:id="107"/>
                </w:p>
              </w:tc>
              <w:tc>
                <w:tcPr>
                  <w:tcW w:w="397" w:type="pct"/>
                  <w:tcBorders>
                    <w:tl2br w:val="nil"/>
                    <w:tr2bl w:val="nil"/>
                  </w:tcBorders>
                  <w:vAlign w:val="center"/>
                </w:tcPr>
                <w:p w14:paraId="3754D415">
                  <w:pPr>
                    <w:jc w:val="center"/>
                    <w:rPr>
                      <w:color w:val="auto"/>
                      <w:szCs w:val="21"/>
                    </w:rPr>
                  </w:pPr>
                  <w:bookmarkStart w:id="108" w:name="_Toc8086"/>
                  <w:bookmarkStart w:id="109" w:name="_Toc20892"/>
                  <w:bookmarkStart w:id="110" w:name="_Toc11469"/>
                  <w:bookmarkStart w:id="111" w:name="_Toc27351"/>
                  <w:bookmarkStart w:id="112" w:name="_Toc17773"/>
                  <w:bookmarkStart w:id="113" w:name="_Toc32348"/>
                  <w:bookmarkStart w:id="114" w:name="_Toc22812"/>
                  <w:bookmarkStart w:id="115" w:name="_Toc13388"/>
                  <w:bookmarkStart w:id="116" w:name="_Toc31758"/>
                  <w:r>
                    <w:rPr>
                      <w:color w:val="auto"/>
                      <w:szCs w:val="21"/>
                    </w:rPr>
                    <w:t>贮存方式</w:t>
                  </w:r>
                  <w:bookmarkEnd w:id="108"/>
                  <w:bookmarkEnd w:id="109"/>
                  <w:bookmarkEnd w:id="110"/>
                  <w:bookmarkEnd w:id="111"/>
                  <w:bookmarkEnd w:id="112"/>
                  <w:bookmarkEnd w:id="113"/>
                  <w:bookmarkEnd w:id="114"/>
                  <w:bookmarkEnd w:id="115"/>
                  <w:bookmarkEnd w:id="116"/>
                </w:p>
              </w:tc>
              <w:tc>
                <w:tcPr>
                  <w:tcW w:w="398" w:type="pct"/>
                  <w:tcBorders>
                    <w:tl2br w:val="nil"/>
                    <w:tr2bl w:val="nil"/>
                  </w:tcBorders>
                  <w:vAlign w:val="center"/>
                </w:tcPr>
                <w:p w14:paraId="4C58E7F8">
                  <w:pPr>
                    <w:jc w:val="center"/>
                    <w:rPr>
                      <w:color w:val="auto"/>
                      <w:szCs w:val="21"/>
                    </w:rPr>
                  </w:pPr>
                  <w:bookmarkStart w:id="117" w:name="_Toc32317"/>
                  <w:bookmarkStart w:id="118" w:name="_Toc22413"/>
                  <w:bookmarkStart w:id="119" w:name="_Toc32127"/>
                  <w:bookmarkStart w:id="120" w:name="_Toc25536"/>
                  <w:bookmarkStart w:id="121" w:name="_Toc15515"/>
                  <w:bookmarkStart w:id="122" w:name="_Toc9473"/>
                  <w:bookmarkStart w:id="123" w:name="_Toc24169"/>
                  <w:bookmarkStart w:id="124" w:name="_Toc9529"/>
                  <w:bookmarkStart w:id="125" w:name="_Toc30849"/>
                  <w:r>
                    <w:rPr>
                      <w:color w:val="auto"/>
                      <w:szCs w:val="21"/>
                    </w:rPr>
                    <w:t>贮存</w:t>
                  </w:r>
                  <w:bookmarkEnd w:id="117"/>
                  <w:bookmarkEnd w:id="118"/>
                  <w:bookmarkEnd w:id="119"/>
                  <w:bookmarkEnd w:id="120"/>
                  <w:bookmarkEnd w:id="121"/>
                  <w:bookmarkEnd w:id="122"/>
                  <w:bookmarkEnd w:id="123"/>
                  <w:bookmarkEnd w:id="124"/>
                  <w:bookmarkEnd w:id="125"/>
                </w:p>
                <w:p w14:paraId="09C7F3BB">
                  <w:pPr>
                    <w:jc w:val="center"/>
                    <w:rPr>
                      <w:color w:val="auto"/>
                      <w:szCs w:val="21"/>
                    </w:rPr>
                  </w:pPr>
                  <w:bookmarkStart w:id="126" w:name="_Toc1296"/>
                  <w:bookmarkStart w:id="127" w:name="_Toc11963"/>
                  <w:bookmarkStart w:id="128" w:name="_Toc32097"/>
                  <w:bookmarkStart w:id="129" w:name="_Toc7510"/>
                  <w:bookmarkStart w:id="130" w:name="_Toc22980"/>
                  <w:bookmarkStart w:id="131" w:name="_Toc10291"/>
                  <w:bookmarkStart w:id="132" w:name="_Toc1523"/>
                  <w:bookmarkStart w:id="133" w:name="_Toc12052"/>
                  <w:bookmarkStart w:id="134" w:name="_Toc17596"/>
                  <w:r>
                    <w:rPr>
                      <w:color w:val="auto"/>
                      <w:szCs w:val="21"/>
                    </w:rPr>
                    <w:t>能力</w:t>
                  </w:r>
                  <w:bookmarkEnd w:id="126"/>
                  <w:bookmarkEnd w:id="127"/>
                  <w:bookmarkEnd w:id="128"/>
                  <w:bookmarkEnd w:id="129"/>
                  <w:bookmarkEnd w:id="130"/>
                  <w:bookmarkEnd w:id="131"/>
                  <w:bookmarkEnd w:id="132"/>
                  <w:bookmarkEnd w:id="133"/>
                  <w:bookmarkEnd w:id="134"/>
                </w:p>
              </w:tc>
              <w:tc>
                <w:tcPr>
                  <w:tcW w:w="371" w:type="pct"/>
                  <w:tcBorders>
                    <w:tl2br w:val="nil"/>
                    <w:tr2bl w:val="nil"/>
                  </w:tcBorders>
                  <w:vAlign w:val="center"/>
                </w:tcPr>
                <w:p w14:paraId="56DE1038">
                  <w:pPr>
                    <w:jc w:val="center"/>
                    <w:rPr>
                      <w:color w:val="auto"/>
                      <w:szCs w:val="21"/>
                    </w:rPr>
                  </w:pPr>
                  <w:bookmarkStart w:id="135" w:name="_Toc13872"/>
                  <w:bookmarkStart w:id="136" w:name="_Toc17738"/>
                  <w:bookmarkStart w:id="137" w:name="_Toc8206"/>
                  <w:bookmarkStart w:id="138" w:name="_Toc18331"/>
                  <w:bookmarkStart w:id="139" w:name="_Toc17494"/>
                  <w:bookmarkStart w:id="140" w:name="_Toc7100"/>
                  <w:bookmarkStart w:id="141" w:name="_Toc10434"/>
                  <w:bookmarkStart w:id="142" w:name="_Toc31775"/>
                  <w:bookmarkStart w:id="143" w:name="_Toc20289"/>
                  <w:r>
                    <w:rPr>
                      <w:color w:val="auto"/>
                      <w:szCs w:val="21"/>
                    </w:rPr>
                    <w:t>贮存</w:t>
                  </w:r>
                  <w:bookmarkEnd w:id="135"/>
                  <w:bookmarkEnd w:id="136"/>
                  <w:bookmarkEnd w:id="137"/>
                  <w:bookmarkEnd w:id="138"/>
                  <w:bookmarkEnd w:id="139"/>
                  <w:bookmarkEnd w:id="140"/>
                  <w:bookmarkEnd w:id="141"/>
                  <w:bookmarkEnd w:id="142"/>
                  <w:bookmarkEnd w:id="143"/>
                </w:p>
                <w:p w14:paraId="20211288">
                  <w:pPr>
                    <w:jc w:val="center"/>
                    <w:rPr>
                      <w:color w:val="auto"/>
                      <w:szCs w:val="21"/>
                    </w:rPr>
                  </w:pPr>
                  <w:bookmarkStart w:id="144" w:name="_Toc3953"/>
                  <w:bookmarkStart w:id="145" w:name="_Toc4756"/>
                  <w:bookmarkStart w:id="146" w:name="_Toc1487"/>
                  <w:bookmarkStart w:id="147" w:name="_Toc11957"/>
                  <w:bookmarkStart w:id="148" w:name="_Toc28037"/>
                  <w:bookmarkStart w:id="149" w:name="_Toc1144"/>
                  <w:bookmarkStart w:id="150" w:name="_Toc18641"/>
                  <w:bookmarkStart w:id="151" w:name="_Toc10571"/>
                  <w:bookmarkStart w:id="152" w:name="_Toc9840"/>
                  <w:r>
                    <w:rPr>
                      <w:color w:val="auto"/>
                      <w:szCs w:val="21"/>
                    </w:rPr>
                    <w:t>周期</w:t>
                  </w:r>
                  <w:bookmarkEnd w:id="144"/>
                  <w:bookmarkEnd w:id="145"/>
                  <w:bookmarkEnd w:id="146"/>
                  <w:bookmarkEnd w:id="147"/>
                  <w:bookmarkEnd w:id="148"/>
                  <w:bookmarkEnd w:id="149"/>
                  <w:bookmarkEnd w:id="150"/>
                  <w:bookmarkEnd w:id="151"/>
                  <w:bookmarkEnd w:id="152"/>
                </w:p>
              </w:tc>
            </w:tr>
            <w:tr w14:paraId="05FA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74" w:type="pct"/>
                  <w:tcBorders>
                    <w:tl2br w:val="nil"/>
                    <w:tr2bl w:val="nil"/>
                  </w:tcBorders>
                  <w:vAlign w:val="center"/>
                </w:tcPr>
                <w:p w14:paraId="7346606F">
                  <w:pPr>
                    <w:jc w:val="center"/>
                    <w:rPr>
                      <w:color w:val="auto"/>
                      <w:szCs w:val="21"/>
                    </w:rPr>
                  </w:pPr>
                  <w:bookmarkStart w:id="153" w:name="_Toc18345"/>
                  <w:bookmarkStart w:id="154" w:name="_Toc32191"/>
                  <w:bookmarkStart w:id="155" w:name="_Toc4862"/>
                  <w:bookmarkStart w:id="156" w:name="_Toc17381"/>
                  <w:bookmarkStart w:id="157" w:name="_Toc11473"/>
                  <w:bookmarkStart w:id="158" w:name="_Toc5919"/>
                  <w:bookmarkStart w:id="159" w:name="_Toc27896"/>
                  <w:bookmarkStart w:id="160" w:name="_Toc18093"/>
                  <w:bookmarkStart w:id="161" w:name="_Toc28825"/>
                  <w:r>
                    <w:rPr>
                      <w:color w:val="auto"/>
                      <w:szCs w:val="21"/>
                    </w:rPr>
                    <w:t>1</w:t>
                  </w:r>
                  <w:bookmarkEnd w:id="153"/>
                  <w:bookmarkEnd w:id="154"/>
                  <w:bookmarkEnd w:id="155"/>
                  <w:bookmarkEnd w:id="156"/>
                  <w:bookmarkEnd w:id="157"/>
                  <w:bookmarkEnd w:id="158"/>
                  <w:bookmarkEnd w:id="159"/>
                  <w:bookmarkEnd w:id="160"/>
                  <w:bookmarkEnd w:id="161"/>
                </w:p>
              </w:tc>
              <w:tc>
                <w:tcPr>
                  <w:tcW w:w="501" w:type="pct"/>
                  <w:vMerge w:val="restart"/>
                  <w:tcBorders>
                    <w:tl2br w:val="nil"/>
                    <w:tr2bl w:val="nil"/>
                  </w:tcBorders>
                  <w:vAlign w:val="center"/>
                </w:tcPr>
                <w:p w14:paraId="6DEE6647">
                  <w:pPr>
                    <w:jc w:val="center"/>
                    <w:rPr>
                      <w:color w:val="auto"/>
                      <w:szCs w:val="21"/>
                    </w:rPr>
                  </w:pPr>
                  <w:bookmarkStart w:id="162" w:name="_Toc26467"/>
                  <w:bookmarkStart w:id="163" w:name="_Toc26479"/>
                  <w:bookmarkStart w:id="164" w:name="_Toc20672"/>
                  <w:bookmarkStart w:id="165" w:name="_Toc24058"/>
                  <w:bookmarkStart w:id="166" w:name="_Toc18952"/>
                  <w:bookmarkStart w:id="167" w:name="_Toc28950"/>
                  <w:bookmarkStart w:id="168" w:name="_Toc15907"/>
                  <w:bookmarkStart w:id="169" w:name="_Toc29842"/>
                  <w:bookmarkStart w:id="170" w:name="_Toc12821"/>
                  <w:r>
                    <w:rPr>
                      <w:color w:val="auto"/>
                      <w:szCs w:val="21"/>
                    </w:rPr>
                    <w:t>危废暂存间</w:t>
                  </w:r>
                  <w:bookmarkEnd w:id="162"/>
                  <w:bookmarkEnd w:id="163"/>
                  <w:bookmarkEnd w:id="164"/>
                  <w:bookmarkEnd w:id="165"/>
                  <w:bookmarkEnd w:id="166"/>
                  <w:bookmarkEnd w:id="167"/>
                  <w:bookmarkEnd w:id="168"/>
                  <w:bookmarkEnd w:id="169"/>
                  <w:bookmarkEnd w:id="170"/>
                </w:p>
              </w:tc>
              <w:tc>
                <w:tcPr>
                  <w:tcW w:w="613" w:type="pct"/>
                  <w:tcBorders>
                    <w:tl2br w:val="nil"/>
                    <w:tr2bl w:val="nil"/>
                  </w:tcBorders>
                  <w:shd w:val="clear" w:color="auto" w:fill="auto"/>
                  <w:vAlign w:val="center"/>
                </w:tcPr>
                <w:p w14:paraId="6DD6979E">
                  <w:pPr>
                    <w:pStyle w:val="7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废原料包装桶</w:t>
                  </w:r>
                </w:p>
              </w:tc>
              <w:tc>
                <w:tcPr>
                  <w:tcW w:w="620" w:type="pct"/>
                  <w:tcBorders>
                    <w:tl2br w:val="nil"/>
                    <w:tr2bl w:val="nil"/>
                  </w:tcBorders>
                  <w:shd w:val="clear" w:color="auto" w:fill="auto"/>
                  <w:vAlign w:val="center"/>
                </w:tcPr>
                <w:p w14:paraId="5C8382E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HW49其他废物</w:t>
                  </w:r>
                </w:p>
              </w:tc>
              <w:tc>
                <w:tcPr>
                  <w:tcW w:w="788" w:type="pct"/>
                  <w:tcBorders>
                    <w:tl2br w:val="nil"/>
                    <w:tr2bl w:val="nil"/>
                  </w:tcBorders>
                  <w:shd w:val="clear" w:color="auto" w:fill="auto"/>
                  <w:vAlign w:val="center"/>
                </w:tcPr>
                <w:p w14:paraId="3C41D785">
                  <w:pPr>
                    <w:adjustRightInd w:val="0"/>
                    <w:snapToGrid w:val="0"/>
                    <w:jc w:val="center"/>
                    <w:rPr>
                      <w:color w:val="auto"/>
                      <w:szCs w:val="21"/>
                    </w:rPr>
                  </w:pPr>
                  <w:r>
                    <w:rPr>
                      <w:color w:val="auto"/>
                    </w:rPr>
                    <w:t>900-041-49</w:t>
                  </w:r>
                </w:p>
              </w:tc>
              <w:tc>
                <w:tcPr>
                  <w:tcW w:w="495" w:type="pct"/>
                  <w:vMerge w:val="restart"/>
                  <w:tcBorders>
                    <w:tl2br w:val="nil"/>
                    <w:tr2bl w:val="nil"/>
                  </w:tcBorders>
                  <w:vAlign w:val="center"/>
                </w:tcPr>
                <w:p w14:paraId="44F5EFF8">
                  <w:pPr>
                    <w:jc w:val="center"/>
                    <w:rPr>
                      <w:color w:val="auto"/>
                      <w:szCs w:val="21"/>
                    </w:rPr>
                  </w:pPr>
                  <w:bookmarkStart w:id="171" w:name="_Toc6443"/>
                  <w:bookmarkStart w:id="172" w:name="_Toc18306"/>
                  <w:bookmarkStart w:id="173" w:name="_Toc21832"/>
                  <w:bookmarkStart w:id="174" w:name="_Toc26489"/>
                  <w:bookmarkStart w:id="175" w:name="_Toc26849"/>
                  <w:r>
                    <w:rPr>
                      <w:color w:val="auto"/>
                      <w:szCs w:val="21"/>
                    </w:rPr>
                    <w:t>厂区</w:t>
                  </w:r>
                  <w:bookmarkEnd w:id="171"/>
                  <w:bookmarkEnd w:id="172"/>
                  <w:bookmarkEnd w:id="173"/>
                  <w:bookmarkEnd w:id="174"/>
                  <w:bookmarkEnd w:id="175"/>
                  <w:r>
                    <w:rPr>
                      <w:color w:val="auto"/>
                      <w:szCs w:val="21"/>
                    </w:rPr>
                    <w:t>东南侧</w:t>
                  </w:r>
                </w:p>
              </w:tc>
              <w:tc>
                <w:tcPr>
                  <w:tcW w:w="539" w:type="pct"/>
                  <w:vMerge w:val="restart"/>
                  <w:tcBorders>
                    <w:tl2br w:val="nil"/>
                    <w:tr2bl w:val="nil"/>
                  </w:tcBorders>
                  <w:vAlign w:val="center"/>
                </w:tcPr>
                <w:p w14:paraId="2A03D117">
                  <w:pPr>
                    <w:jc w:val="center"/>
                    <w:rPr>
                      <w:color w:val="auto"/>
                      <w:szCs w:val="21"/>
                    </w:rPr>
                  </w:pPr>
                  <w:bookmarkStart w:id="176" w:name="_Toc20750"/>
                  <w:bookmarkStart w:id="177" w:name="_Toc16074"/>
                  <w:bookmarkStart w:id="178" w:name="_Toc2215"/>
                  <w:bookmarkStart w:id="179" w:name="_Toc12265"/>
                  <w:bookmarkStart w:id="180" w:name="_Toc26536"/>
                  <w:bookmarkStart w:id="181" w:name="_Toc30254"/>
                  <w:bookmarkStart w:id="182" w:name="_Toc20696"/>
                  <w:bookmarkStart w:id="183" w:name="_Toc19323"/>
                  <w:bookmarkStart w:id="184" w:name="_Toc22344"/>
                  <w:r>
                    <w:rPr>
                      <w:color w:val="auto"/>
                      <w:szCs w:val="21"/>
                    </w:rPr>
                    <w:t>10m</w:t>
                  </w:r>
                  <w:r>
                    <w:rPr>
                      <w:color w:val="auto"/>
                      <w:szCs w:val="21"/>
                      <w:vertAlign w:val="superscript"/>
                    </w:rPr>
                    <w:t>2</w:t>
                  </w:r>
                  <w:bookmarkEnd w:id="176"/>
                  <w:bookmarkEnd w:id="177"/>
                  <w:bookmarkEnd w:id="178"/>
                  <w:bookmarkEnd w:id="179"/>
                  <w:bookmarkEnd w:id="180"/>
                  <w:bookmarkEnd w:id="181"/>
                  <w:bookmarkEnd w:id="182"/>
                  <w:bookmarkEnd w:id="183"/>
                  <w:bookmarkEnd w:id="184"/>
                </w:p>
              </w:tc>
              <w:tc>
                <w:tcPr>
                  <w:tcW w:w="397" w:type="pct"/>
                  <w:tcBorders>
                    <w:tl2br w:val="nil"/>
                    <w:tr2bl w:val="nil"/>
                  </w:tcBorders>
                  <w:vAlign w:val="center"/>
                </w:tcPr>
                <w:p w14:paraId="6F792A95">
                  <w:pPr>
                    <w:jc w:val="center"/>
                    <w:rPr>
                      <w:color w:val="auto"/>
                      <w:szCs w:val="21"/>
                    </w:rPr>
                  </w:pPr>
                  <w:bookmarkStart w:id="185" w:name="_Toc11398"/>
                  <w:bookmarkStart w:id="186" w:name="_Toc27399"/>
                  <w:bookmarkStart w:id="187" w:name="_Toc27340"/>
                  <w:bookmarkStart w:id="188" w:name="_Toc19089"/>
                  <w:bookmarkStart w:id="189" w:name="_Toc22760"/>
                  <w:bookmarkStart w:id="190" w:name="_Toc22417"/>
                  <w:bookmarkStart w:id="191" w:name="_Toc29307"/>
                  <w:bookmarkStart w:id="192" w:name="_Toc1406"/>
                  <w:bookmarkStart w:id="193" w:name="_Toc7920"/>
                  <w:r>
                    <w:rPr>
                      <w:rFonts w:hint="eastAsia"/>
                      <w:color w:val="auto"/>
                      <w:szCs w:val="21"/>
                      <w:lang w:val="en-US" w:eastAsia="zh-CN"/>
                    </w:rPr>
                    <w:t>堆放</w:t>
                  </w:r>
                  <w:bookmarkEnd w:id="185"/>
                  <w:bookmarkEnd w:id="186"/>
                  <w:bookmarkEnd w:id="187"/>
                  <w:bookmarkEnd w:id="188"/>
                  <w:bookmarkEnd w:id="189"/>
                  <w:bookmarkEnd w:id="190"/>
                  <w:bookmarkEnd w:id="191"/>
                  <w:bookmarkEnd w:id="192"/>
                  <w:bookmarkEnd w:id="193"/>
                </w:p>
              </w:tc>
              <w:tc>
                <w:tcPr>
                  <w:tcW w:w="398" w:type="pct"/>
                  <w:vMerge w:val="restart"/>
                  <w:tcBorders>
                    <w:tl2br w:val="nil"/>
                    <w:tr2bl w:val="nil"/>
                  </w:tcBorders>
                  <w:vAlign w:val="center"/>
                </w:tcPr>
                <w:p w14:paraId="16637E0F">
                  <w:pPr>
                    <w:adjustRightInd w:val="0"/>
                    <w:jc w:val="center"/>
                    <w:rPr>
                      <w:color w:val="auto"/>
                      <w:szCs w:val="21"/>
                    </w:rPr>
                  </w:pPr>
                  <w:bookmarkStart w:id="194" w:name="_Toc5267"/>
                  <w:bookmarkStart w:id="195" w:name="_Toc30176"/>
                  <w:bookmarkStart w:id="196" w:name="_Toc11802"/>
                  <w:bookmarkStart w:id="197" w:name="_Toc6401"/>
                  <w:bookmarkStart w:id="198" w:name="_Toc15290"/>
                  <w:bookmarkStart w:id="199" w:name="_Toc1442"/>
                  <w:r>
                    <w:rPr>
                      <w:color w:val="auto"/>
                      <w:szCs w:val="21"/>
                    </w:rPr>
                    <w:t>5t</w:t>
                  </w:r>
                  <w:bookmarkEnd w:id="194"/>
                  <w:bookmarkEnd w:id="195"/>
                  <w:bookmarkEnd w:id="196"/>
                  <w:bookmarkEnd w:id="197"/>
                  <w:bookmarkEnd w:id="198"/>
                  <w:bookmarkEnd w:id="199"/>
                </w:p>
              </w:tc>
              <w:tc>
                <w:tcPr>
                  <w:tcW w:w="371" w:type="pct"/>
                  <w:tcBorders>
                    <w:tl2br w:val="nil"/>
                    <w:tr2bl w:val="nil"/>
                  </w:tcBorders>
                  <w:vAlign w:val="center"/>
                </w:tcPr>
                <w:p w14:paraId="01E7B688">
                  <w:pPr>
                    <w:adjustRightInd w:val="0"/>
                    <w:jc w:val="center"/>
                    <w:rPr>
                      <w:color w:val="auto"/>
                      <w:szCs w:val="21"/>
                    </w:rPr>
                  </w:pPr>
                  <w:bookmarkStart w:id="200" w:name="_Toc30349"/>
                  <w:bookmarkStart w:id="201" w:name="_Toc9661"/>
                  <w:bookmarkStart w:id="202" w:name="_Toc11935"/>
                </w:p>
                <w:p w14:paraId="315231E9">
                  <w:pPr>
                    <w:adjustRightInd w:val="0"/>
                    <w:jc w:val="center"/>
                    <w:rPr>
                      <w:color w:val="auto"/>
                      <w:szCs w:val="21"/>
                    </w:rPr>
                  </w:pPr>
                  <w:bookmarkStart w:id="203" w:name="_Toc24434"/>
                  <w:bookmarkStart w:id="204" w:name="_Toc22862"/>
                  <w:bookmarkStart w:id="205" w:name="_Toc5066"/>
                  <w:bookmarkStart w:id="206" w:name="_Toc18872"/>
                  <w:bookmarkStart w:id="207" w:name="_Toc16411"/>
                  <w:bookmarkStart w:id="208" w:name="_Toc29753"/>
                  <w:r>
                    <w:rPr>
                      <w:color w:val="auto"/>
                      <w:szCs w:val="21"/>
                    </w:rPr>
                    <w:t>1</w:t>
                  </w:r>
                  <w:bookmarkEnd w:id="200"/>
                  <w:bookmarkEnd w:id="201"/>
                  <w:bookmarkEnd w:id="202"/>
                  <w:bookmarkEnd w:id="203"/>
                  <w:bookmarkEnd w:id="204"/>
                  <w:bookmarkEnd w:id="205"/>
                  <w:bookmarkEnd w:id="206"/>
                  <w:bookmarkEnd w:id="207"/>
                  <w:bookmarkEnd w:id="208"/>
                  <w:r>
                    <w:rPr>
                      <w:color w:val="auto"/>
                      <w:szCs w:val="21"/>
                    </w:rPr>
                    <w:t>年</w:t>
                  </w:r>
                </w:p>
                <w:p w14:paraId="39517B75">
                  <w:pPr>
                    <w:adjustRightInd w:val="0"/>
                    <w:jc w:val="center"/>
                    <w:rPr>
                      <w:color w:val="auto"/>
                      <w:szCs w:val="21"/>
                    </w:rPr>
                  </w:pPr>
                </w:p>
              </w:tc>
            </w:tr>
            <w:tr w14:paraId="7937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74" w:type="pct"/>
                  <w:tcBorders>
                    <w:tl2br w:val="nil"/>
                    <w:tr2bl w:val="nil"/>
                  </w:tcBorders>
                  <w:vAlign w:val="center"/>
                </w:tcPr>
                <w:p w14:paraId="65612FAC">
                  <w:pPr>
                    <w:jc w:val="center"/>
                    <w:rPr>
                      <w:color w:val="auto"/>
                      <w:szCs w:val="21"/>
                    </w:rPr>
                  </w:pPr>
                  <w:bookmarkStart w:id="209" w:name="_Toc14702"/>
                  <w:bookmarkStart w:id="210" w:name="_Toc11190"/>
                  <w:bookmarkStart w:id="211" w:name="_Toc7540"/>
                  <w:bookmarkStart w:id="212" w:name="_Toc14612"/>
                  <w:bookmarkStart w:id="213" w:name="_Toc29856"/>
                  <w:bookmarkStart w:id="214" w:name="_Toc22143"/>
                  <w:bookmarkStart w:id="215" w:name="_Toc24426"/>
                  <w:bookmarkStart w:id="216" w:name="_Toc17909"/>
                  <w:bookmarkStart w:id="217" w:name="_Toc1342"/>
                  <w:r>
                    <w:rPr>
                      <w:color w:val="auto"/>
                      <w:szCs w:val="21"/>
                    </w:rPr>
                    <w:t>2</w:t>
                  </w:r>
                </w:p>
              </w:tc>
              <w:tc>
                <w:tcPr>
                  <w:tcW w:w="501" w:type="pct"/>
                  <w:vMerge w:val="continue"/>
                  <w:tcBorders>
                    <w:tl2br w:val="nil"/>
                    <w:tr2bl w:val="nil"/>
                  </w:tcBorders>
                  <w:vAlign w:val="center"/>
                </w:tcPr>
                <w:p w14:paraId="5C6ED3D7">
                  <w:pPr>
                    <w:jc w:val="center"/>
                    <w:rPr>
                      <w:color w:val="auto"/>
                      <w:szCs w:val="21"/>
                    </w:rPr>
                  </w:pPr>
                </w:p>
              </w:tc>
              <w:tc>
                <w:tcPr>
                  <w:tcW w:w="613" w:type="pct"/>
                  <w:tcBorders>
                    <w:tl2br w:val="nil"/>
                    <w:tr2bl w:val="nil"/>
                  </w:tcBorders>
                  <w:shd w:val="clear" w:color="auto" w:fill="auto"/>
                  <w:vAlign w:val="center"/>
                </w:tcPr>
                <w:p w14:paraId="22C1D0B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废活性炭</w:t>
                  </w:r>
                </w:p>
              </w:tc>
              <w:tc>
                <w:tcPr>
                  <w:tcW w:w="620" w:type="pct"/>
                  <w:tcBorders>
                    <w:tl2br w:val="nil"/>
                    <w:tr2bl w:val="nil"/>
                  </w:tcBorders>
                  <w:shd w:val="clear" w:color="auto" w:fill="auto"/>
                  <w:vAlign w:val="center"/>
                </w:tcPr>
                <w:p w14:paraId="0070249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HW49其他废物</w:t>
                  </w:r>
                </w:p>
              </w:tc>
              <w:tc>
                <w:tcPr>
                  <w:tcW w:w="788" w:type="pct"/>
                  <w:tcBorders>
                    <w:tl2br w:val="nil"/>
                    <w:tr2bl w:val="nil"/>
                  </w:tcBorders>
                  <w:shd w:val="clear" w:color="auto" w:fill="auto"/>
                  <w:vAlign w:val="center"/>
                </w:tcPr>
                <w:p w14:paraId="69388C3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900-039-49</w:t>
                  </w:r>
                </w:p>
              </w:tc>
              <w:tc>
                <w:tcPr>
                  <w:tcW w:w="495" w:type="pct"/>
                  <w:vMerge w:val="continue"/>
                  <w:tcBorders>
                    <w:tl2br w:val="nil"/>
                    <w:tr2bl w:val="nil"/>
                  </w:tcBorders>
                  <w:vAlign w:val="center"/>
                </w:tcPr>
                <w:p w14:paraId="3968389B">
                  <w:pPr>
                    <w:jc w:val="center"/>
                    <w:rPr>
                      <w:color w:val="auto"/>
                      <w:szCs w:val="21"/>
                    </w:rPr>
                  </w:pPr>
                </w:p>
              </w:tc>
              <w:tc>
                <w:tcPr>
                  <w:tcW w:w="539" w:type="pct"/>
                  <w:vMerge w:val="continue"/>
                  <w:tcBorders>
                    <w:tl2br w:val="nil"/>
                    <w:tr2bl w:val="nil"/>
                  </w:tcBorders>
                  <w:vAlign w:val="center"/>
                </w:tcPr>
                <w:p w14:paraId="6E5065B4">
                  <w:pPr>
                    <w:jc w:val="center"/>
                    <w:rPr>
                      <w:color w:val="auto"/>
                      <w:szCs w:val="21"/>
                    </w:rPr>
                  </w:pPr>
                </w:p>
              </w:tc>
              <w:tc>
                <w:tcPr>
                  <w:tcW w:w="397" w:type="pct"/>
                  <w:tcBorders>
                    <w:tl2br w:val="nil"/>
                    <w:tr2bl w:val="nil"/>
                  </w:tcBorders>
                  <w:vAlign w:val="center"/>
                </w:tcPr>
                <w:p w14:paraId="1D5A8A9A">
                  <w:pPr>
                    <w:jc w:val="center"/>
                    <w:rPr>
                      <w:color w:val="auto"/>
                      <w:szCs w:val="21"/>
                    </w:rPr>
                  </w:pPr>
                  <w:r>
                    <w:rPr>
                      <w:rFonts w:hint="eastAsia"/>
                      <w:color w:val="auto"/>
                      <w:szCs w:val="21"/>
                      <w:lang w:val="en-US" w:eastAsia="zh-CN"/>
                    </w:rPr>
                    <w:t>密封袋装</w:t>
                  </w:r>
                </w:p>
              </w:tc>
              <w:tc>
                <w:tcPr>
                  <w:tcW w:w="398" w:type="pct"/>
                  <w:vMerge w:val="continue"/>
                  <w:tcBorders>
                    <w:tl2br w:val="nil"/>
                    <w:tr2bl w:val="nil"/>
                  </w:tcBorders>
                  <w:vAlign w:val="center"/>
                </w:tcPr>
                <w:p w14:paraId="3583F21D">
                  <w:pPr>
                    <w:jc w:val="center"/>
                    <w:rPr>
                      <w:color w:val="auto"/>
                      <w:szCs w:val="21"/>
                    </w:rPr>
                  </w:pPr>
                </w:p>
              </w:tc>
              <w:tc>
                <w:tcPr>
                  <w:tcW w:w="371" w:type="pct"/>
                  <w:tcBorders>
                    <w:tl2br w:val="nil"/>
                    <w:tr2bl w:val="nil"/>
                  </w:tcBorders>
                  <w:vAlign w:val="center"/>
                </w:tcPr>
                <w:p w14:paraId="21EC16E8">
                  <w:pPr>
                    <w:adjustRightInd w:val="0"/>
                    <w:jc w:val="center"/>
                    <w:rPr>
                      <w:color w:val="auto"/>
                      <w:szCs w:val="21"/>
                    </w:rPr>
                  </w:pPr>
                  <w:r>
                    <w:rPr>
                      <w:color w:val="auto"/>
                      <w:szCs w:val="21"/>
                    </w:rPr>
                    <w:t>1年</w:t>
                  </w:r>
                </w:p>
              </w:tc>
            </w:tr>
            <w:bookmarkEnd w:id="209"/>
            <w:bookmarkEnd w:id="210"/>
            <w:bookmarkEnd w:id="211"/>
            <w:bookmarkEnd w:id="212"/>
            <w:bookmarkEnd w:id="213"/>
            <w:bookmarkEnd w:id="214"/>
            <w:bookmarkEnd w:id="215"/>
            <w:bookmarkEnd w:id="216"/>
            <w:bookmarkEnd w:id="217"/>
          </w:tbl>
          <w:p w14:paraId="62B5823B">
            <w:pPr>
              <w:pStyle w:val="89"/>
              <w:spacing w:before="0" w:beforeLines="0"/>
              <w:ind w:firstLine="422"/>
              <w:jc w:val="center"/>
              <w:rPr>
                <w:rFonts w:cs="Times New Roman"/>
                <w:b/>
                <w:bCs/>
                <w:color w:val="auto"/>
                <w:sz w:val="24"/>
                <w:szCs w:val="24"/>
              </w:rPr>
            </w:pPr>
            <w:bookmarkStart w:id="218" w:name="_Ref69111936"/>
            <w:r>
              <w:rPr>
                <w:rFonts w:cs="Times New Roman"/>
                <w:b/>
                <w:bCs/>
                <w:color w:val="auto"/>
                <w:sz w:val="24"/>
                <w:szCs w:val="24"/>
              </w:rPr>
              <w:t>表</w:t>
            </w:r>
            <w:r>
              <w:rPr>
                <w:rFonts w:cs="Times New Roman"/>
                <w:b/>
                <w:bCs/>
                <w:color w:val="auto"/>
                <w:sz w:val="24"/>
                <w:szCs w:val="24"/>
              </w:rPr>
              <w:fldChar w:fldCharType="begin"/>
            </w:r>
            <w:r>
              <w:rPr>
                <w:rFonts w:cs="Times New Roman"/>
                <w:b/>
                <w:bCs/>
                <w:color w:val="auto"/>
                <w:sz w:val="24"/>
                <w:szCs w:val="24"/>
              </w:rPr>
              <w:instrText xml:space="preserve"> SEQ 表 \* ARABIC </w:instrText>
            </w:r>
            <w:r>
              <w:rPr>
                <w:rFonts w:cs="Times New Roman"/>
                <w:b/>
                <w:bCs/>
                <w:color w:val="auto"/>
                <w:sz w:val="24"/>
                <w:szCs w:val="24"/>
              </w:rPr>
              <w:fldChar w:fldCharType="separate"/>
            </w:r>
            <w:r>
              <w:rPr>
                <w:rFonts w:cs="Times New Roman"/>
                <w:b/>
                <w:bCs/>
                <w:color w:val="auto"/>
                <w:sz w:val="24"/>
                <w:szCs w:val="24"/>
              </w:rPr>
              <w:t>51</w:t>
            </w:r>
            <w:r>
              <w:rPr>
                <w:rFonts w:cs="Times New Roman"/>
                <w:b/>
                <w:bCs/>
                <w:color w:val="auto"/>
                <w:sz w:val="24"/>
                <w:szCs w:val="24"/>
              </w:rPr>
              <w:fldChar w:fldCharType="end"/>
            </w:r>
            <w:bookmarkEnd w:id="218"/>
            <w:r>
              <w:rPr>
                <w:rFonts w:cs="Times New Roman"/>
                <w:b/>
                <w:bCs/>
                <w:color w:val="auto"/>
                <w:sz w:val="24"/>
                <w:szCs w:val="24"/>
              </w:rPr>
              <w:t xml:space="preserve">  固体废弃物排放情况一览表</w:t>
            </w:r>
          </w:p>
          <w:tbl>
            <w:tblPr>
              <w:tblStyle w:val="37"/>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
              <w:gridCol w:w="720"/>
              <w:gridCol w:w="1762"/>
              <w:gridCol w:w="1495"/>
              <w:gridCol w:w="1146"/>
              <w:gridCol w:w="2669"/>
            </w:tblGrid>
            <w:tr w14:paraId="065C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4" w:type="pct"/>
                  <w:vAlign w:val="center"/>
                </w:tcPr>
                <w:p w14:paraId="6851EAAC">
                  <w:pPr>
                    <w:jc w:val="center"/>
                    <w:rPr>
                      <w:b/>
                      <w:bCs/>
                      <w:color w:val="auto"/>
                    </w:rPr>
                  </w:pPr>
                  <w:r>
                    <w:rPr>
                      <w:b/>
                      <w:bCs/>
                      <w:color w:val="auto"/>
                    </w:rPr>
                    <w:t>序号</w:t>
                  </w:r>
                </w:p>
              </w:tc>
              <w:tc>
                <w:tcPr>
                  <w:tcW w:w="1486" w:type="pct"/>
                  <w:gridSpan w:val="2"/>
                  <w:vAlign w:val="center"/>
                </w:tcPr>
                <w:p w14:paraId="29A4AF23">
                  <w:pPr>
                    <w:jc w:val="center"/>
                    <w:rPr>
                      <w:b/>
                      <w:bCs/>
                      <w:color w:val="auto"/>
                    </w:rPr>
                  </w:pPr>
                  <w:r>
                    <w:rPr>
                      <w:b/>
                      <w:bCs/>
                      <w:color w:val="auto"/>
                      <w:szCs w:val="21"/>
                    </w:rPr>
                    <w:t>名称</w:t>
                  </w:r>
                </w:p>
              </w:tc>
              <w:tc>
                <w:tcPr>
                  <w:tcW w:w="895" w:type="pct"/>
                  <w:vAlign w:val="center"/>
                </w:tcPr>
                <w:p w14:paraId="2DDFA5B6">
                  <w:pPr>
                    <w:jc w:val="center"/>
                    <w:rPr>
                      <w:b/>
                      <w:bCs/>
                      <w:color w:val="auto"/>
                      <w:szCs w:val="21"/>
                    </w:rPr>
                  </w:pPr>
                  <w:r>
                    <w:rPr>
                      <w:b/>
                      <w:bCs/>
                      <w:color w:val="auto"/>
                      <w:szCs w:val="21"/>
                    </w:rPr>
                    <w:t>代码</w:t>
                  </w:r>
                </w:p>
              </w:tc>
              <w:tc>
                <w:tcPr>
                  <w:tcW w:w="686" w:type="pct"/>
                  <w:vAlign w:val="center"/>
                </w:tcPr>
                <w:p w14:paraId="77E50258">
                  <w:pPr>
                    <w:jc w:val="center"/>
                    <w:rPr>
                      <w:b/>
                      <w:bCs/>
                      <w:color w:val="auto"/>
                    </w:rPr>
                  </w:pPr>
                  <w:r>
                    <w:rPr>
                      <w:b/>
                      <w:bCs/>
                      <w:color w:val="auto"/>
                      <w:szCs w:val="21"/>
                    </w:rPr>
                    <w:t>产生量（t/a）</w:t>
                  </w:r>
                </w:p>
              </w:tc>
              <w:tc>
                <w:tcPr>
                  <w:tcW w:w="1597" w:type="pct"/>
                  <w:vAlign w:val="center"/>
                </w:tcPr>
                <w:p w14:paraId="2797D1E5">
                  <w:pPr>
                    <w:jc w:val="center"/>
                    <w:rPr>
                      <w:b/>
                      <w:bCs/>
                      <w:color w:val="auto"/>
                    </w:rPr>
                  </w:pPr>
                  <w:r>
                    <w:rPr>
                      <w:b/>
                      <w:bCs/>
                      <w:color w:val="auto"/>
                      <w:szCs w:val="21"/>
                    </w:rPr>
                    <w:t>处理方式</w:t>
                  </w:r>
                </w:p>
              </w:tc>
            </w:tr>
            <w:tr w14:paraId="34F3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4" w:type="pct"/>
                  <w:vAlign w:val="center"/>
                </w:tcPr>
                <w:p w14:paraId="15B6C0B8">
                  <w:pPr>
                    <w:numPr>
                      <w:ilvl w:val="0"/>
                      <w:numId w:val="24"/>
                    </w:numPr>
                    <w:jc w:val="center"/>
                    <w:rPr>
                      <w:color w:val="auto"/>
                    </w:rPr>
                  </w:pPr>
                </w:p>
              </w:tc>
              <w:tc>
                <w:tcPr>
                  <w:tcW w:w="431" w:type="pct"/>
                  <w:vMerge w:val="restart"/>
                  <w:vAlign w:val="center"/>
                </w:tcPr>
                <w:p w14:paraId="1F0C16A8">
                  <w:pPr>
                    <w:jc w:val="center"/>
                    <w:rPr>
                      <w:color w:val="auto"/>
                    </w:rPr>
                  </w:pPr>
                  <w:r>
                    <w:rPr>
                      <w:color w:val="auto"/>
                    </w:rPr>
                    <w:t>一般固废</w:t>
                  </w:r>
                </w:p>
              </w:tc>
              <w:tc>
                <w:tcPr>
                  <w:tcW w:w="1055" w:type="pct"/>
                  <w:vAlign w:val="center"/>
                </w:tcPr>
                <w:p w14:paraId="2DCDED45">
                  <w:pPr>
                    <w:adjustRightInd w:val="0"/>
                    <w:snapToGrid w:val="0"/>
                    <w:jc w:val="center"/>
                    <w:rPr>
                      <w:color w:val="auto"/>
                      <w:szCs w:val="21"/>
                    </w:rPr>
                  </w:pPr>
                  <w:r>
                    <w:rPr>
                      <w:color w:val="auto"/>
                      <w:szCs w:val="21"/>
                    </w:rPr>
                    <w:t>生活垃圾</w:t>
                  </w:r>
                </w:p>
              </w:tc>
              <w:tc>
                <w:tcPr>
                  <w:tcW w:w="895" w:type="pct"/>
                  <w:vAlign w:val="center"/>
                </w:tcPr>
                <w:p w14:paraId="5014396C">
                  <w:pPr>
                    <w:adjustRightInd w:val="0"/>
                    <w:snapToGrid w:val="0"/>
                    <w:jc w:val="center"/>
                    <w:rPr>
                      <w:color w:val="auto"/>
                      <w:szCs w:val="21"/>
                    </w:rPr>
                  </w:pPr>
                  <w:r>
                    <w:rPr>
                      <w:color w:val="auto"/>
                      <w:szCs w:val="21"/>
                    </w:rPr>
                    <w:t>900- 099-S64</w:t>
                  </w:r>
                </w:p>
              </w:tc>
              <w:tc>
                <w:tcPr>
                  <w:tcW w:w="686" w:type="pct"/>
                  <w:vAlign w:val="center"/>
                </w:tcPr>
                <w:p w14:paraId="32EBB768">
                  <w:pPr>
                    <w:keepNext w:val="0"/>
                    <w:keepLines w:val="0"/>
                    <w:pageBreakBefore w:val="0"/>
                    <w:kinsoku/>
                    <w:wordWrap/>
                    <w:overflowPunct/>
                    <w:topLinePunct w:val="0"/>
                    <w:autoSpaceDE/>
                    <w:autoSpaceDN/>
                    <w:bidi w:val="0"/>
                    <w:adjustRightInd w:val="0"/>
                    <w:snapToGrid w:val="0"/>
                    <w:jc w:val="center"/>
                    <w:rPr>
                      <w:color w:val="auto"/>
                      <w:sz w:val="21"/>
                      <w:szCs w:val="21"/>
                    </w:rPr>
                  </w:pPr>
                  <w:r>
                    <w:rPr>
                      <w:color w:val="auto"/>
                      <w:sz w:val="21"/>
                      <w:szCs w:val="21"/>
                    </w:rPr>
                    <w:t>1.95</w:t>
                  </w:r>
                </w:p>
              </w:tc>
              <w:tc>
                <w:tcPr>
                  <w:tcW w:w="1597" w:type="pct"/>
                  <w:vAlign w:val="center"/>
                </w:tcPr>
                <w:p w14:paraId="17E7DC16">
                  <w:pPr>
                    <w:adjustRightInd w:val="0"/>
                    <w:snapToGrid w:val="0"/>
                    <w:jc w:val="center"/>
                    <w:rPr>
                      <w:color w:val="auto"/>
                      <w:szCs w:val="21"/>
                    </w:rPr>
                  </w:pPr>
                  <w:r>
                    <w:rPr>
                      <w:color w:val="auto"/>
                      <w:szCs w:val="21"/>
                    </w:rPr>
                    <w:t>交由环卫部门统一清运</w:t>
                  </w:r>
                </w:p>
              </w:tc>
            </w:tr>
            <w:tr w14:paraId="00BC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4" w:type="pct"/>
                  <w:vAlign w:val="center"/>
                </w:tcPr>
                <w:p w14:paraId="6967E7EC">
                  <w:pPr>
                    <w:numPr>
                      <w:ilvl w:val="0"/>
                      <w:numId w:val="24"/>
                    </w:numPr>
                    <w:jc w:val="center"/>
                    <w:rPr>
                      <w:color w:val="auto"/>
                    </w:rPr>
                  </w:pPr>
                </w:p>
              </w:tc>
              <w:tc>
                <w:tcPr>
                  <w:tcW w:w="431" w:type="pct"/>
                  <w:vMerge w:val="continue"/>
                  <w:vAlign w:val="center"/>
                </w:tcPr>
                <w:p w14:paraId="5239415E">
                  <w:pPr>
                    <w:jc w:val="center"/>
                    <w:rPr>
                      <w:color w:val="auto"/>
                    </w:rPr>
                  </w:pPr>
                </w:p>
              </w:tc>
              <w:tc>
                <w:tcPr>
                  <w:tcW w:w="1055" w:type="pct"/>
                  <w:vAlign w:val="center"/>
                </w:tcPr>
                <w:p w14:paraId="798D9DEB">
                  <w:pPr>
                    <w:keepNext w:val="0"/>
                    <w:keepLines w:val="0"/>
                    <w:pageBreakBefore w:val="0"/>
                    <w:kinsoku/>
                    <w:wordWrap/>
                    <w:overflowPunct/>
                    <w:topLinePunct w:val="0"/>
                    <w:autoSpaceDE/>
                    <w:autoSpaceDN/>
                    <w:bidi w:val="0"/>
                    <w:adjustRightInd w:val="0"/>
                    <w:snapToGrid w:val="0"/>
                    <w:jc w:val="center"/>
                    <w:rPr>
                      <w:color w:val="auto"/>
                      <w:sz w:val="21"/>
                      <w:szCs w:val="21"/>
                    </w:rPr>
                  </w:pPr>
                  <w:r>
                    <w:rPr>
                      <w:color w:val="auto"/>
                      <w:sz w:val="21"/>
                      <w:szCs w:val="21"/>
                    </w:rPr>
                    <w:t>一般废包装材料</w:t>
                  </w:r>
                </w:p>
              </w:tc>
              <w:tc>
                <w:tcPr>
                  <w:tcW w:w="895" w:type="pct"/>
                  <w:vAlign w:val="center"/>
                </w:tcPr>
                <w:p w14:paraId="48F03A5B">
                  <w:pPr>
                    <w:keepNext w:val="0"/>
                    <w:keepLines w:val="0"/>
                    <w:pageBreakBefore w:val="0"/>
                    <w:kinsoku/>
                    <w:wordWrap/>
                    <w:overflowPunct/>
                    <w:topLinePunct w:val="0"/>
                    <w:autoSpaceDE/>
                    <w:autoSpaceDN/>
                    <w:bidi w:val="0"/>
                    <w:adjustRightInd w:val="0"/>
                    <w:snapToGrid w:val="0"/>
                    <w:jc w:val="center"/>
                    <w:rPr>
                      <w:color w:val="auto"/>
                      <w:sz w:val="21"/>
                      <w:szCs w:val="21"/>
                    </w:rPr>
                  </w:pPr>
                  <w:r>
                    <w:rPr>
                      <w:color w:val="auto"/>
                      <w:sz w:val="21"/>
                      <w:szCs w:val="21"/>
                    </w:rPr>
                    <w:t>900-003-S17、900-005-S17</w:t>
                  </w:r>
                </w:p>
              </w:tc>
              <w:tc>
                <w:tcPr>
                  <w:tcW w:w="686" w:type="pct"/>
                  <w:vAlign w:val="center"/>
                </w:tcPr>
                <w:p w14:paraId="42FB83CF">
                  <w:pPr>
                    <w:keepNext w:val="0"/>
                    <w:keepLines w:val="0"/>
                    <w:pageBreakBefore w:val="0"/>
                    <w:kinsoku/>
                    <w:wordWrap/>
                    <w:overflowPunct/>
                    <w:topLinePunct w:val="0"/>
                    <w:autoSpaceDE/>
                    <w:autoSpaceDN/>
                    <w:bidi w:val="0"/>
                    <w:adjustRightInd w:val="0"/>
                    <w:snapToGrid w:val="0"/>
                    <w:jc w:val="center"/>
                    <w:rPr>
                      <w:color w:val="auto"/>
                      <w:sz w:val="21"/>
                      <w:szCs w:val="21"/>
                    </w:rPr>
                  </w:pPr>
                  <w:r>
                    <w:rPr>
                      <w:color w:val="auto"/>
                      <w:sz w:val="21"/>
                      <w:szCs w:val="21"/>
                    </w:rPr>
                    <w:t>0.2</w:t>
                  </w:r>
                </w:p>
              </w:tc>
              <w:tc>
                <w:tcPr>
                  <w:tcW w:w="1597" w:type="pct"/>
                  <w:vAlign w:val="center"/>
                </w:tcPr>
                <w:p w14:paraId="45FC725E">
                  <w:pPr>
                    <w:adjustRightInd w:val="0"/>
                    <w:snapToGrid w:val="0"/>
                    <w:jc w:val="center"/>
                    <w:rPr>
                      <w:color w:val="auto"/>
                      <w:szCs w:val="21"/>
                    </w:rPr>
                  </w:pPr>
                  <w:r>
                    <w:rPr>
                      <w:color w:val="auto"/>
                      <w:szCs w:val="21"/>
                    </w:rPr>
                    <w:t>交由专业单位回收处理</w:t>
                  </w:r>
                </w:p>
              </w:tc>
            </w:tr>
            <w:tr w14:paraId="013F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4" w:type="pct"/>
                  <w:vAlign w:val="center"/>
                </w:tcPr>
                <w:p w14:paraId="542E5815">
                  <w:pPr>
                    <w:numPr>
                      <w:ilvl w:val="0"/>
                      <w:numId w:val="24"/>
                    </w:numPr>
                    <w:jc w:val="center"/>
                    <w:rPr>
                      <w:color w:val="auto"/>
                    </w:rPr>
                  </w:pPr>
                </w:p>
              </w:tc>
              <w:tc>
                <w:tcPr>
                  <w:tcW w:w="431" w:type="pct"/>
                  <w:vMerge w:val="restart"/>
                  <w:vAlign w:val="center"/>
                </w:tcPr>
                <w:p w14:paraId="10F5FFDD">
                  <w:pPr>
                    <w:jc w:val="center"/>
                    <w:rPr>
                      <w:color w:val="auto"/>
                    </w:rPr>
                  </w:pPr>
                  <w:r>
                    <w:rPr>
                      <w:color w:val="auto"/>
                    </w:rPr>
                    <w:t>危险废物</w:t>
                  </w:r>
                </w:p>
              </w:tc>
              <w:tc>
                <w:tcPr>
                  <w:tcW w:w="1055" w:type="pct"/>
                  <w:shd w:val="clear" w:color="auto" w:fill="auto"/>
                  <w:vAlign w:val="center"/>
                </w:tcPr>
                <w:p w14:paraId="4865853F">
                  <w:pPr>
                    <w:keepNext w:val="0"/>
                    <w:keepLines w:val="0"/>
                    <w:pageBreakBefore w:val="0"/>
                    <w:kinsoku/>
                    <w:wordWrap/>
                    <w:overflowPunct/>
                    <w:topLinePunct w:val="0"/>
                    <w:autoSpaceDE/>
                    <w:autoSpaceDN/>
                    <w:bidi w:val="0"/>
                    <w:adjustRightInd w:val="0"/>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废原料包装桶</w:t>
                  </w:r>
                </w:p>
              </w:tc>
              <w:tc>
                <w:tcPr>
                  <w:tcW w:w="895" w:type="pct"/>
                  <w:shd w:val="clear" w:color="auto" w:fill="auto"/>
                  <w:vAlign w:val="center"/>
                </w:tcPr>
                <w:p w14:paraId="79B5920F">
                  <w:pPr>
                    <w:keepNext w:val="0"/>
                    <w:keepLines w:val="0"/>
                    <w:pageBreakBefore w:val="0"/>
                    <w:kinsoku/>
                    <w:wordWrap/>
                    <w:overflowPunct/>
                    <w:topLinePunct w:val="0"/>
                    <w:autoSpaceDE/>
                    <w:autoSpaceDN/>
                    <w:bidi w:val="0"/>
                    <w:adjustRightInd w:val="0"/>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900-041-49</w:t>
                  </w:r>
                </w:p>
              </w:tc>
              <w:tc>
                <w:tcPr>
                  <w:tcW w:w="686" w:type="pct"/>
                  <w:shd w:val="clear" w:color="auto" w:fill="auto"/>
                  <w:vAlign w:val="center"/>
                </w:tcPr>
                <w:p w14:paraId="45B130ED">
                  <w:pPr>
                    <w:keepNext w:val="0"/>
                    <w:keepLines w:val="0"/>
                    <w:pageBreakBefore w:val="0"/>
                    <w:kinsoku/>
                    <w:wordWrap/>
                    <w:overflowPunct/>
                    <w:topLinePunct w:val="0"/>
                    <w:autoSpaceDE/>
                    <w:autoSpaceDN/>
                    <w:bidi w:val="0"/>
                    <w:adjustRightInd w:val="0"/>
                    <w:snapToGrid w:val="0"/>
                    <w:jc w:val="center"/>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1.7</w:t>
                  </w:r>
                </w:p>
              </w:tc>
              <w:tc>
                <w:tcPr>
                  <w:tcW w:w="1597" w:type="pct"/>
                  <w:vMerge w:val="restart"/>
                  <w:vAlign w:val="center"/>
                </w:tcPr>
                <w:p w14:paraId="39AEC818">
                  <w:pPr>
                    <w:jc w:val="center"/>
                    <w:rPr>
                      <w:color w:val="auto"/>
                      <w:szCs w:val="21"/>
                    </w:rPr>
                  </w:pPr>
                  <w:r>
                    <w:rPr>
                      <w:color w:val="auto"/>
                      <w:szCs w:val="21"/>
                    </w:rPr>
                    <w:t>交有资质单位处理</w:t>
                  </w:r>
                </w:p>
              </w:tc>
            </w:tr>
            <w:tr w14:paraId="2373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4" w:type="pct"/>
                  <w:vAlign w:val="center"/>
                </w:tcPr>
                <w:p w14:paraId="6ABA2AD6">
                  <w:pPr>
                    <w:numPr>
                      <w:ilvl w:val="0"/>
                      <w:numId w:val="24"/>
                    </w:numPr>
                    <w:jc w:val="center"/>
                    <w:rPr>
                      <w:color w:val="auto"/>
                    </w:rPr>
                  </w:pPr>
                </w:p>
              </w:tc>
              <w:tc>
                <w:tcPr>
                  <w:tcW w:w="431" w:type="pct"/>
                  <w:vMerge w:val="continue"/>
                  <w:vAlign w:val="center"/>
                </w:tcPr>
                <w:p w14:paraId="030A517A">
                  <w:pPr>
                    <w:jc w:val="center"/>
                    <w:rPr>
                      <w:color w:val="auto"/>
                    </w:rPr>
                  </w:pPr>
                </w:p>
              </w:tc>
              <w:tc>
                <w:tcPr>
                  <w:tcW w:w="1055" w:type="pct"/>
                  <w:vAlign w:val="center"/>
                </w:tcPr>
                <w:p w14:paraId="3DE46C51">
                  <w:pPr>
                    <w:keepNext w:val="0"/>
                    <w:keepLines w:val="0"/>
                    <w:pageBreakBefore w:val="0"/>
                    <w:kinsoku/>
                    <w:wordWrap/>
                    <w:overflowPunct/>
                    <w:topLinePunct w:val="0"/>
                    <w:autoSpaceDE/>
                    <w:autoSpaceDN/>
                    <w:bidi w:val="0"/>
                    <w:adjustRightInd w:val="0"/>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废活性炭</w:t>
                  </w:r>
                </w:p>
              </w:tc>
              <w:tc>
                <w:tcPr>
                  <w:tcW w:w="895" w:type="pct"/>
                  <w:vAlign w:val="center"/>
                </w:tcPr>
                <w:p w14:paraId="7F1C45B4">
                  <w:pPr>
                    <w:keepNext w:val="0"/>
                    <w:keepLines w:val="0"/>
                    <w:pageBreakBefore w:val="0"/>
                    <w:kinsoku/>
                    <w:wordWrap/>
                    <w:overflowPunct/>
                    <w:topLinePunct w:val="0"/>
                    <w:autoSpaceDE/>
                    <w:autoSpaceDN/>
                    <w:bidi w:val="0"/>
                    <w:adjustRightInd w:val="0"/>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900-039-49</w:t>
                  </w:r>
                </w:p>
              </w:tc>
              <w:tc>
                <w:tcPr>
                  <w:tcW w:w="686" w:type="pct"/>
                  <w:vAlign w:val="center"/>
                </w:tcPr>
                <w:p w14:paraId="7AAAF8E8">
                  <w:pPr>
                    <w:keepNext w:val="0"/>
                    <w:keepLines w:val="0"/>
                    <w:pageBreakBefore w:val="0"/>
                    <w:kinsoku/>
                    <w:wordWrap/>
                    <w:overflowPunct/>
                    <w:topLinePunct w:val="0"/>
                    <w:autoSpaceDE/>
                    <w:autoSpaceDN/>
                    <w:bidi w:val="0"/>
                    <w:adjustRightInd w:val="0"/>
                    <w:snapToGrid w:val="0"/>
                    <w:jc w:val="center"/>
                    <w:rPr>
                      <w:rFonts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0.289734</w:t>
                  </w:r>
                </w:p>
              </w:tc>
              <w:tc>
                <w:tcPr>
                  <w:tcW w:w="1597" w:type="pct"/>
                  <w:vMerge w:val="continue"/>
                  <w:vAlign w:val="center"/>
                </w:tcPr>
                <w:p w14:paraId="0C1BD97D">
                  <w:pPr>
                    <w:jc w:val="center"/>
                    <w:rPr>
                      <w:color w:val="auto"/>
                      <w:szCs w:val="21"/>
                    </w:rPr>
                  </w:pPr>
                </w:p>
              </w:tc>
            </w:tr>
          </w:tbl>
          <w:p w14:paraId="1B028A7B">
            <w:pPr>
              <w:pStyle w:val="16"/>
              <w:snapToGrid w:val="0"/>
              <w:spacing w:line="360" w:lineRule="auto"/>
              <w:ind w:firstLine="482" w:firstLineChars="200"/>
              <w:rPr>
                <w:rFonts w:ascii="Times New Roman" w:hAnsi="Times New Roman" w:eastAsia="宋体"/>
                <w:b/>
                <w:bCs/>
                <w:color w:val="auto"/>
                <w:sz w:val="24"/>
                <w:szCs w:val="24"/>
              </w:rPr>
            </w:pPr>
            <w:r>
              <w:rPr>
                <w:rFonts w:ascii="Times New Roman" w:hAnsi="Times New Roman" w:eastAsia="宋体"/>
                <w:b/>
                <w:bCs/>
                <w:color w:val="auto"/>
                <w:sz w:val="24"/>
                <w:szCs w:val="24"/>
              </w:rPr>
              <w:t>（3）环境管理要求</w:t>
            </w:r>
          </w:p>
          <w:p w14:paraId="4B874BCD">
            <w:pPr>
              <w:snapToGrid w:val="0"/>
              <w:spacing w:line="360" w:lineRule="auto"/>
              <w:ind w:firstLine="480" w:firstLineChars="200"/>
              <w:rPr>
                <w:color w:val="auto"/>
                <w:sz w:val="24"/>
                <w:szCs w:val="24"/>
                <w:lang w:val="zh-CN"/>
              </w:rPr>
            </w:pPr>
            <w:bookmarkStart w:id="219" w:name="_Toc5818"/>
            <w:bookmarkStart w:id="220" w:name="_Toc14697"/>
            <w:bookmarkStart w:id="221" w:name="_Toc7678"/>
            <w:r>
              <w:rPr>
                <w:rFonts w:hint="eastAsia" w:ascii="宋体" w:hAnsi="宋体" w:cs="宋体"/>
                <w:color w:val="auto"/>
                <w:sz w:val="24"/>
                <w:szCs w:val="24"/>
              </w:rPr>
              <w:t>①</w:t>
            </w:r>
            <w:r>
              <w:rPr>
                <w:color w:val="auto"/>
                <w:sz w:val="24"/>
                <w:szCs w:val="24"/>
              </w:rPr>
              <w:t xml:space="preserve">工业固废管理要求： </w:t>
            </w:r>
          </w:p>
          <w:p w14:paraId="2073DD61">
            <w:pPr>
              <w:snapToGrid w:val="0"/>
              <w:spacing w:line="360" w:lineRule="auto"/>
              <w:ind w:firstLine="480" w:firstLineChars="200"/>
              <w:rPr>
                <w:color w:val="auto"/>
                <w:sz w:val="24"/>
                <w:szCs w:val="24"/>
                <w:lang w:val="zh-CN"/>
              </w:rPr>
            </w:pPr>
            <w:r>
              <w:rPr>
                <w:color w:val="auto"/>
                <w:sz w:val="24"/>
                <w:szCs w:val="24"/>
              </w:rPr>
              <w:t xml:space="preserve">本项目固体废物应认真落实《中华人民共和国固体废物污染环境防治法》（2020 修订）、《广东省固体废物污染环境防治条例》相关要求，具体如下： </w:t>
            </w:r>
          </w:p>
          <w:p w14:paraId="180086EA">
            <w:pPr>
              <w:snapToGrid w:val="0"/>
              <w:spacing w:line="360" w:lineRule="auto"/>
              <w:ind w:firstLine="480" w:firstLineChars="200"/>
              <w:rPr>
                <w:color w:val="auto"/>
                <w:sz w:val="24"/>
                <w:szCs w:val="24"/>
                <w:lang w:val="zh-CN"/>
              </w:rPr>
            </w:pPr>
            <w:r>
              <w:rPr>
                <w:color w:val="auto"/>
                <w:sz w:val="24"/>
                <w:szCs w:val="24"/>
              </w:rPr>
              <w:t xml:space="preserve">A.实行工业固体废物申报登记制度。一般工业固体废物产生单位必须如实申报正常作业条件下工业固体废物的种类、产生量、流向、贮存、利用、处置状况等有关资料，以及执行有关法律、法规的真实情况，不得隐瞒不报或者虚报、谎报。一般工业固体废物产生单位应按要求在网上申报登记上一年度的信息，通过省固体废物管理信息平台依法申报固体废物的种类、产生量、流向、交接、贮存、利用、处置情况。申报企业要签署承诺书，依法向县级生态环境部门申报登记信息，确保申报数据的真实性、准确性和完整性。 </w:t>
            </w:r>
          </w:p>
          <w:p w14:paraId="67448D15">
            <w:pPr>
              <w:snapToGrid w:val="0"/>
              <w:spacing w:line="360" w:lineRule="auto"/>
              <w:ind w:firstLine="480" w:firstLineChars="200"/>
              <w:rPr>
                <w:color w:val="auto"/>
                <w:sz w:val="24"/>
                <w:szCs w:val="24"/>
              </w:rPr>
            </w:pPr>
            <w:r>
              <w:rPr>
                <w:color w:val="auto"/>
                <w:sz w:val="24"/>
                <w:szCs w:val="24"/>
              </w:rPr>
              <w:t>B.在厂内应设立专用工业固废堆放场地，做好防渗漏、防雨等防护措施，设专人管理，并做好运输途中防泄漏、防洒落措施。一般工业固体废物的贮存设施、场所必须采取防扬散、防流失、防渗漏或者其他防止污染环境的措施，必须符合国家环境保护标准，并对未处理的固体废物做出妥善处理，安全存放。对暂时不利用或者不能回收利用的一般工业固体废物，必须配套建设防雨淋、防渗漏、易识别等符合环境保护标准和管理要求的贮存设施或场所，以及足够的流转空间，按照国家环境保护的技术和管理要求，有专人看管，建立便于核查的进、出物料的台账记录和固体废物明细表。</w:t>
            </w:r>
          </w:p>
          <w:bookmarkEnd w:id="219"/>
          <w:bookmarkEnd w:id="220"/>
          <w:bookmarkEnd w:id="221"/>
          <w:p w14:paraId="4BE542CF">
            <w:pPr>
              <w:snapToGrid w:val="0"/>
              <w:spacing w:line="360" w:lineRule="auto"/>
              <w:ind w:firstLine="480" w:firstLineChars="200"/>
              <w:jc w:val="left"/>
              <w:rPr>
                <w:color w:val="auto"/>
                <w:sz w:val="24"/>
                <w:szCs w:val="24"/>
              </w:rPr>
            </w:pPr>
            <w:r>
              <w:rPr>
                <w:rFonts w:hint="eastAsia" w:ascii="宋体" w:hAnsi="宋体" w:cs="宋体"/>
                <w:color w:val="auto"/>
                <w:sz w:val="24"/>
                <w:szCs w:val="24"/>
              </w:rPr>
              <w:t>②</w:t>
            </w:r>
            <w:r>
              <w:rPr>
                <w:color w:val="auto"/>
                <w:sz w:val="24"/>
                <w:szCs w:val="24"/>
              </w:rPr>
              <w:t>危险废物管理要求</w:t>
            </w:r>
          </w:p>
          <w:p w14:paraId="3540D36B">
            <w:pPr>
              <w:snapToGrid w:val="0"/>
              <w:spacing w:line="360" w:lineRule="auto"/>
              <w:ind w:firstLine="480" w:firstLineChars="200"/>
              <w:rPr>
                <w:color w:val="auto"/>
                <w:sz w:val="24"/>
                <w:szCs w:val="24"/>
                <w:lang w:val="zh-CN"/>
              </w:rPr>
            </w:pPr>
            <w:r>
              <w:rPr>
                <w:color w:val="auto"/>
                <w:sz w:val="24"/>
                <w:szCs w:val="24"/>
              </w:rPr>
              <w:t>A</w:t>
            </w:r>
            <w:r>
              <w:rPr>
                <w:color w:val="auto"/>
                <w:sz w:val="24"/>
                <w:szCs w:val="24"/>
                <w:lang w:val="zh-CN"/>
              </w:rPr>
              <w:t>.危险废物的收集要求</w:t>
            </w:r>
          </w:p>
          <w:p w14:paraId="12FB9002">
            <w:pPr>
              <w:snapToGrid w:val="0"/>
              <w:spacing w:line="360" w:lineRule="auto"/>
              <w:ind w:firstLine="480" w:firstLineChars="200"/>
              <w:rPr>
                <w:color w:val="auto"/>
                <w:sz w:val="24"/>
                <w:szCs w:val="24"/>
                <w:lang w:val="zh-CN"/>
              </w:rPr>
            </w:pPr>
            <w:r>
              <w:rPr>
                <w:color w:val="auto"/>
                <w:sz w:val="24"/>
                <w:szCs w:val="24"/>
              </w:rPr>
              <w:t>(1)</w:t>
            </w:r>
            <w:r>
              <w:rPr>
                <w:color w:val="auto"/>
                <w:sz w:val="24"/>
                <w:szCs w:val="24"/>
                <w:lang w:val="zh-CN"/>
              </w:rPr>
              <w:t>性质类似的废物可收集到同一容器中、性质不相容的危险废物不应混合包装；</w:t>
            </w:r>
            <w:r>
              <w:rPr>
                <w:color w:val="auto"/>
                <w:sz w:val="24"/>
                <w:szCs w:val="24"/>
              </w:rPr>
              <w:t>(2)</w:t>
            </w:r>
            <w:r>
              <w:rPr>
                <w:color w:val="auto"/>
                <w:sz w:val="24"/>
                <w:szCs w:val="24"/>
                <w:lang w:val="zh-CN"/>
              </w:rPr>
              <w:t>危险废物包装应能有效隔断危险废物迁移扩散途径，并达到防渗、防漏要求；</w:t>
            </w:r>
            <w:r>
              <w:rPr>
                <w:color w:val="auto"/>
                <w:sz w:val="24"/>
                <w:szCs w:val="24"/>
              </w:rPr>
              <w:t>(3)</w:t>
            </w:r>
            <w:r>
              <w:rPr>
                <w:color w:val="auto"/>
                <w:sz w:val="24"/>
                <w:szCs w:val="24"/>
                <w:lang w:val="zh-CN"/>
              </w:rPr>
              <w:t>在危险废物的收集和</w:t>
            </w:r>
            <w:r>
              <w:rPr>
                <w:color w:val="auto"/>
                <w:sz w:val="24"/>
                <w:szCs w:val="24"/>
              </w:rPr>
              <w:t>转</w:t>
            </w:r>
            <w:r>
              <w:rPr>
                <w:color w:val="auto"/>
                <w:sz w:val="24"/>
                <w:szCs w:val="24"/>
                <w:lang w:val="zh-CN"/>
              </w:rPr>
              <w:t>运过程中，应采取相应的安全防护和污染防治措施，包括防爆、防火、防渗漏、防风、防雨或其它防止污染环境的措施；</w:t>
            </w:r>
            <w:r>
              <w:rPr>
                <w:color w:val="auto"/>
                <w:sz w:val="24"/>
                <w:szCs w:val="24"/>
              </w:rPr>
              <w:t>(4)</w:t>
            </w:r>
            <w:r>
              <w:rPr>
                <w:color w:val="auto"/>
                <w:sz w:val="24"/>
                <w:szCs w:val="24"/>
                <w:lang w:val="zh-CN"/>
              </w:rPr>
              <w:t>危险废物内部转运应综合考虑厂区的实际情况确定转运路线，尽量避开办公区和生活区；</w:t>
            </w:r>
            <w:r>
              <w:rPr>
                <w:color w:val="auto"/>
                <w:sz w:val="24"/>
                <w:szCs w:val="24"/>
              </w:rPr>
              <w:t>(5)</w:t>
            </w:r>
            <w:r>
              <w:rPr>
                <w:color w:val="auto"/>
                <w:sz w:val="24"/>
                <w:szCs w:val="24"/>
                <w:lang w:val="zh-CN"/>
              </w:rPr>
              <w:t>危险废物内部转运结束后，应对转运路线进行检查和清理，确保无危险废物遗失在转运路线上；回收过危险废物的容器、设备、设施、场所及其它物品转作他用时，应消除污染，确保其使用安全。</w:t>
            </w:r>
          </w:p>
          <w:p w14:paraId="57D051ED">
            <w:pPr>
              <w:snapToGrid w:val="0"/>
              <w:spacing w:line="360" w:lineRule="auto"/>
              <w:ind w:firstLine="480" w:firstLineChars="200"/>
              <w:jc w:val="left"/>
              <w:rPr>
                <w:color w:val="auto"/>
                <w:sz w:val="24"/>
                <w:szCs w:val="24"/>
                <w:lang w:val="zh-CN"/>
              </w:rPr>
            </w:pPr>
            <w:r>
              <w:rPr>
                <w:color w:val="auto"/>
                <w:sz w:val="24"/>
                <w:szCs w:val="24"/>
              </w:rPr>
              <w:t>B.贮存设施污染控制一般</w:t>
            </w:r>
            <w:r>
              <w:rPr>
                <w:color w:val="auto"/>
                <w:sz w:val="24"/>
                <w:szCs w:val="24"/>
                <w:lang w:val="zh-CN"/>
              </w:rPr>
              <w:t>要求</w:t>
            </w:r>
          </w:p>
          <w:p w14:paraId="6DE3C996">
            <w:pPr>
              <w:snapToGrid w:val="0"/>
              <w:spacing w:line="360" w:lineRule="auto"/>
              <w:ind w:firstLine="480" w:firstLineChars="200"/>
              <w:rPr>
                <w:color w:val="auto"/>
                <w:sz w:val="24"/>
                <w:szCs w:val="24"/>
              </w:rPr>
            </w:pPr>
            <w:r>
              <w:rPr>
                <w:color w:val="auto"/>
                <w:sz w:val="24"/>
                <w:szCs w:val="24"/>
              </w:rPr>
              <w:t>(1)贮存设施应根据危险废物的形态、物理化学性质、包装形式和污染物迁移途径，采取必要的防风、防晒、防雨、防漏、防渗、防腐以及其他环境污染防治措施，不应露天堆放危险废物。</w:t>
            </w:r>
          </w:p>
          <w:p w14:paraId="56B96D30">
            <w:pPr>
              <w:snapToGrid w:val="0"/>
              <w:spacing w:line="360" w:lineRule="auto"/>
              <w:ind w:firstLine="480" w:firstLineChars="200"/>
              <w:rPr>
                <w:color w:val="auto"/>
                <w:sz w:val="24"/>
                <w:szCs w:val="24"/>
              </w:rPr>
            </w:pPr>
            <w:r>
              <w:rPr>
                <w:color w:val="auto"/>
                <w:sz w:val="24"/>
                <w:szCs w:val="24"/>
              </w:rPr>
              <w:t>(2)贮存设施应根据危险废物的类别、数量、形态、物理化学性质和污染防治等要求设置必要的贮存分区，避免不相容的危险废物接触、混合。</w:t>
            </w:r>
          </w:p>
          <w:p w14:paraId="229EA148">
            <w:pPr>
              <w:snapToGrid w:val="0"/>
              <w:spacing w:line="360" w:lineRule="auto"/>
              <w:ind w:firstLine="480" w:firstLineChars="200"/>
              <w:rPr>
                <w:color w:val="auto"/>
                <w:sz w:val="24"/>
                <w:szCs w:val="24"/>
              </w:rPr>
            </w:pPr>
            <w:r>
              <w:rPr>
                <w:color w:val="auto"/>
                <w:sz w:val="24"/>
                <w:szCs w:val="24"/>
              </w:rPr>
              <w:t>(3)贮存设施或贮存分区内地面、墙面裙脚、堵截泄漏的围堰、接触危险废物的隔板和墙体等应采用坚固的材料建造，表面无裂缝。</w:t>
            </w:r>
          </w:p>
          <w:p w14:paraId="3A9E0EA3">
            <w:pPr>
              <w:snapToGrid w:val="0"/>
              <w:spacing w:line="360" w:lineRule="auto"/>
              <w:ind w:firstLine="480" w:firstLineChars="200"/>
              <w:rPr>
                <w:color w:val="auto"/>
                <w:sz w:val="24"/>
                <w:szCs w:val="24"/>
              </w:rPr>
            </w:pPr>
            <w:r>
              <w:rPr>
                <w:color w:val="auto"/>
                <w:sz w:val="24"/>
                <w:szCs w:val="24"/>
              </w:rPr>
              <w:t>(4)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 m厚黏土层(渗透系数不大于10</w:t>
            </w:r>
            <w:r>
              <w:rPr>
                <w:color w:val="auto"/>
                <w:sz w:val="24"/>
                <w:szCs w:val="24"/>
                <w:vertAlign w:val="superscript"/>
              </w:rPr>
              <w:t>-7</w:t>
            </w:r>
            <w:r>
              <w:rPr>
                <w:color w:val="auto"/>
                <w:sz w:val="24"/>
                <w:szCs w:val="24"/>
              </w:rPr>
              <w:t>cm/s)，或至少2mm厚高密度聚乙烯膜等人工防渗材料(渗透系数不大于10</w:t>
            </w:r>
            <w:r>
              <w:rPr>
                <w:color w:val="auto"/>
                <w:sz w:val="24"/>
                <w:szCs w:val="24"/>
                <w:vertAlign w:val="superscript"/>
              </w:rPr>
              <w:t>-10</w:t>
            </w:r>
            <w:r>
              <w:rPr>
                <w:color w:val="auto"/>
                <w:sz w:val="24"/>
                <w:szCs w:val="24"/>
              </w:rPr>
              <w:t xml:space="preserve"> cm/s)，或其他防渗性能等效的材料</w:t>
            </w:r>
          </w:p>
          <w:p w14:paraId="5CA467FE">
            <w:pPr>
              <w:snapToGrid w:val="0"/>
              <w:spacing w:line="360" w:lineRule="auto"/>
              <w:ind w:firstLine="480" w:firstLineChars="200"/>
              <w:rPr>
                <w:color w:val="auto"/>
                <w:sz w:val="24"/>
                <w:szCs w:val="24"/>
              </w:rPr>
            </w:pPr>
            <w:r>
              <w:rPr>
                <w:color w:val="auto"/>
                <w:sz w:val="24"/>
                <w:szCs w:val="24"/>
              </w:rPr>
              <w:t>(5)同一贮存设施宜采用相同的防渗、防腐工艺(包括防渗、防腐结构或材料)，防渗、防腐材料应覆盖所有可能与废物及其渗滤液、渗漏液等接触的构筑物表面，采用不同防渗、防腐工艺应分别建设贮存分区；</w:t>
            </w:r>
          </w:p>
          <w:p w14:paraId="2A3660E1">
            <w:pPr>
              <w:snapToGrid w:val="0"/>
              <w:spacing w:line="360" w:lineRule="auto"/>
              <w:ind w:firstLine="480" w:firstLineChars="200"/>
              <w:rPr>
                <w:color w:val="auto"/>
                <w:sz w:val="24"/>
                <w:szCs w:val="24"/>
                <w:lang w:val="zh-CN"/>
              </w:rPr>
            </w:pPr>
            <w:r>
              <w:rPr>
                <w:color w:val="auto"/>
                <w:sz w:val="24"/>
                <w:szCs w:val="24"/>
              </w:rPr>
              <w:t>(6)贮存设施应采取技术和管理措施防止无关人员进入。</w:t>
            </w:r>
          </w:p>
          <w:p w14:paraId="032F56E8">
            <w:pPr>
              <w:snapToGrid w:val="0"/>
              <w:spacing w:line="360" w:lineRule="auto"/>
              <w:ind w:firstLine="480" w:firstLineChars="200"/>
              <w:rPr>
                <w:color w:val="auto"/>
                <w:sz w:val="24"/>
                <w:szCs w:val="24"/>
              </w:rPr>
            </w:pPr>
            <w:r>
              <w:rPr>
                <w:color w:val="auto"/>
                <w:sz w:val="24"/>
                <w:szCs w:val="24"/>
              </w:rPr>
              <w:t>C.危险废物的管理要求：</w:t>
            </w:r>
          </w:p>
          <w:p w14:paraId="4A25BA7A">
            <w:pPr>
              <w:snapToGrid w:val="0"/>
              <w:spacing w:line="360" w:lineRule="auto"/>
              <w:ind w:firstLine="480" w:firstLineChars="200"/>
              <w:rPr>
                <w:color w:val="auto"/>
                <w:sz w:val="24"/>
                <w:szCs w:val="24"/>
              </w:rPr>
            </w:pPr>
            <w:r>
              <w:rPr>
                <w:color w:val="auto"/>
                <w:sz w:val="24"/>
                <w:szCs w:val="24"/>
              </w:rPr>
              <w:t>建设单位运营过程应该对本项目产生的危险废物从收集、贮存、运输利用、处置各环节进行全过程的监管，各环节应严格执行《危险废物收集、贮存、运输技术规范》(HI2025-2012)的相关要求。</w:t>
            </w:r>
          </w:p>
          <w:p w14:paraId="246FBD01">
            <w:pPr>
              <w:snapToGrid w:val="0"/>
              <w:spacing w:line="360" w:lineRule="auto"/>
              <w:ind w:firstLine="480" w:firstLineChars="200"/>
              <w:rPr>
                <w:color w:val="auto"/>
                <w:sz w:val="24"/>
                <w:szCs w:val="24"/>
              </w:rPr>
            </w:pPr>
            <w:r>
              <w:rPr>
                <w:color w:val="auto"/>
                <w:sz w:val="24"/>
                <w:szCs w:val="24"/>
              </w:rPr>
              <w:t>危险废物暂存过程中应满足《危险废物贮存污染控制标准》(GB18597-2023)的相关规定，危险废物的贮存容器须满足下列要求：</w:t>
            </w:r>
          </w:p>
          <w:p w14:paraId="6DB2A24E">
            <w:pPr>
              <w:numPr>
                <w:ilvl w:val="0"/>
                <w:numId w:val="25"/>
              </w:numPr>
              <w:snapToGrid w:val="0"/>
              <w:spacing w:line="360" w:lineRule="auto"/>
              <w:ind w:firstLine="480" w:firstLineChars="200"/>
              <w:rPr>
                <w:color w:val="auto"/>
                <w:sz w:val="24"/>
                <w:szCs w:val="24"/>
              </w:rPr>
            </w:pPr>
            <w:r>
              <w:rPr>
                <w:color w:val="auto"/>
                <w:sz w:val="24"/>
                <w:szCs w:val="24"/>
              </w:rPr>
              <w:t>容器和包装物材质、内衬应与盛装的危险废物相容。</w:t>
            </w:r>
          </w:p>
          <w:p w14:paraId="79098D75">
            <w:pPr>
              <w:numPr>
                <w:ilvl w:val="0"/>
                <w:numId w:val="25"/>
              </w:numPr>
              <w:snapToGrid w:val="0"/>
              <w:spacing w:line="360" w:lineRule="auto"/>
              <w:ind w:firstLine="480" w:firstLineChars="200"/>
              <w:rPr>
                <w:color w:val="auto"/>
                <w:sz w:val="24"/>
                <w:szCs w:val="24"/>
              </w:rPr>
            </w:pPr>
            <w:r>
              <w:rPr>
                <w:color w:val="auto"/>
                <w:sz w:val="24"/>
                <w:szCs w:val="24"/>
              </w:rPr>
              <w:t>针对不同类别、形态、物理化学性质的危险废物，其容器和包装物应满足相应的防渗、防漏、防腐和强度等要求。</w:t>
            </w:r>
          </w:p>
          <w:p w14:paraId="7E84BCE8">
            <w:pPr>
              <w:numPr>
                <w:ilvl w:val="0"/>
                <w:numId w:val="25"/>
              </w:numPr>
              <w:snapToGrid w:val="0"/>
              <w:spacing w:line="360" w:lineRule="auto"/>
              <w:ind w:firstLine="480" w:firstLineChars="200"/>
              <w:rPr>
                <w:color w:val="auto"/>
                <w:sz w:val="24"/>
                <w:szCs w:val="24"/>
              </w:rPr>
            </w:pPr>
            <w:r>
              <w:rPr>
                <w:color w:val="auto"/>
                <w:sz w:val="24"/>
                <w:szCs w:val="24"/>
              </w:rPr>
              <w:t>硬质容器和包装物及其支护结构堆叠码放时不应有明显变形，无破损泄漏</w:t>
            </w:r>
          </w:p>
          <w:p w14:paraId="455016C7">
            <w:pPr>
              <w:numPr>
                <w:ilvl w:val="0"/>
                <w:numId w:val="25"/>
              </w:numPr>
              <w:snapToGrid w:val="0"/>
              <w:spacing w:line="360" w:lineRule="auto"/>
              <w:ind w:firstLine="480" w:firstLineChars="200"/>
              <w:rPr>
                <w:color w:val="auto"/>
                <w:sz w:val="24"/>
                <w:szCs w:val="24"/>
              </w:rPr>
            </w:pPr>
            <w:r>
              <w:rPr>
                <w:color w:val="auto"/>
                <w:sz w:val="24"/>
                <w:szCs w:val="24"/>
              </w:rPr>
              <w:t>柔性容器和包装物堆放码放时应封口严密，无破损泄漏。</w:t>
            </w:r>
          </w:p>
          <w:p w14:paraId="2C86ABEF">
            <w:pPr>
              <w:numPr>
                <w:ilvl w:val="0"/>
                <w:numId w:val="25"/>
              </w:numPr>
              <w:snapToGrid w:val="0"/>
              <w:spacing w:line="360" w:lineRule="auto"/>
              <w:ind w:firstLine="480" w:firstLineChars="200"/>
              <w:rPr>
                <w:color w:val="auto"/>
                <w:sz w:val="24"/>
                <w:szCs w:val="24"/>
              </w:rPr>
            </w:pPr>
            <w:r>
              <w:rPr>
                <w:color w:val="auto"/>
                <w:sz w:val="24"/>
                <w:szCs w:val="24"/>
              </w:rPr>
              <w:t>使用容器承装液态、半固态危险废物时，容器内部应留有适当的空间，以适应因温度变化等可能引发的收缩和膨胀，防止其导致容器渗漏或永久变形。</w:t>
            </w:r>
          </w:p>
          <w:p w14:paraId="457EA8EB">
            <w:pPr>
              <w:numPr>
                <w:ilvl w:val="0"/>
                <w:numId w:val="25"/>
              </w:numPr>
              <w:snapToGrid w:val="0"/>
              <w:spacing w:line="360" w:lineRule="auto"/>
              <w:ind w:firstLine="480" w:firstLineChars="200"/>
              <w:rPr>
                <w:color w:val="auto"/>
                <w:sz w:val="24"/>
                <w:szCs w:val="24"/>
              </w:rPr>
            </w:pPr>
            <w:r>
              <w:rPr>
                <w:color w:val="auto"/>
                <w:sz w:val="24"/>
                <w:szCs w:val="24"/>
              </w:rPr>
              <w:t>容器和包装物外表面应保持清洁。</w:t>
            </w:r>
          </w:p>
          <w:p w14:paraId="272328F2">
            <w:pPr>
              <w:snapToGrid w:val="0"/>
              <w:spacing w:line="360" w:lineRule="auto"/>
              <w:ind w:left="420" w:leftChars="200"/>
              <w:rPr>
                <w:color w:val="auto"/>
                <w:sz w:val="24"/>
                <w:szCs w:val="24"/>
              </w:rPr>
            </w:pPr>
            <w:r>
              <w:rPr>
                <w:color w:val="auto"/>
                <w:sz w:val="24"/>
                <w:szCs w:val="24"/>
              </w:rPr>
              <w:t>D.危险废物贮存设施运行环境管理要求</w:t>
            </w:r>
          </w:p>
          <w:p w14:paraId="0AE6A322">
            <w:pPr>
              <w:numPr>
                <w:ilvl w:val="0"/>
                <w:numId w:val="26"/>
              </w:numPr>
              <w:snapToGrid w:val="0"/>
              <w:spacing w:line="360" w:lineRule="auto"/>
              <w:ind w:firstLine="480" w:firstLineChars="200"/>
              <w:rPr>
                <w:color w:val="auto"/>
                <w:sz w:val="24"/>
                <w:szCs w:val="24"/>
              </w:rPr>
            </w:pPr>
            <w:r>
              <w:rPr>
                <w:color w:val="auto"/>
                <w:sz w:val="24"/>
                <w:szCs w:val="24"/>
              </w:rPr>
              <w:t>危险废物存入贮存设施前应对危险废物类别和特性与危险废物标签等危险废物识别标志的一致性进行核验，不一致的或类别、特性不明的不应存入。</w:t>
            </w:r>
          </w:p>
          <w:p w14:paraId="4D0D1350">
            <w:pPr>
              <w:numPr>
                <w:ilvl w:val="0"/>
                <w:numId w:val="26"/>
              </w:numPr>
              <w:snapToGrid w:val="0"/>
              <w:spacing w:line="360" w:lineRule="auto"/>
              <w:ind w:firstLine="480" w:firstLineChars="200"/>
              <w:rPr>
                <w:color w:val="auto"/>
                <w:sz w:val="24"/>
                <w:szCs w:val="24"/>
              </w:rPr>
            </w:pPr>
            <w:r>
              <w:rPr>
                <w:color w:val="auto"/>
                <w:sz w:val="24"/>
                <w:szCs w:val="24"/>
              </w:rPr>
              <w:t>应定期检查危险废物的贮存状况，及时清理贮存设施地面，更换破损泄漏的危险废物贮存容器和包装物，保证堆存危险废物的防雨、防风、防扬尘等设施功能完好。</w:t>
            </w:r>
          </w:p>
          <w:p w14:paraId="09AAB43D">
            <w:pPr>
              <w:numPr>
                <w:ilvl w:val="0"/>
                <w:numId w:val="26"/>
              </w:numPr>
              <w:snapToGrid w:val="0"/>
              <w:spacing w:line="360" w:lineRule="auto"/>
              <w:ind w:firstLine="480" w:firstLineChars="200"/>
              <w:rPr>
                <w:color w:val="auto"/>
                <w:sz w:val="24"/>
                <w:szCs w:val="24"/>
              </w:rPr>
            </w:pPr>
            <w:r>
              <w:rPr>
                <w:color w:val="auto"/>
                <w:sz w:val="24"/>
                <w:szCs w:val="24"/>
              </w:rPr>
              <w:t>贮存设施运行期间，应按国家有关标准和规定建立危险废物管理台账并保存。</w:t>
            </w:r>
          </w:p>
          <w:p w14:paraId="74D14945">
            <w:pPr>
              <w:numPr>
                <w:ilvl w:val="0"/>
                <w:numId w:val="26"/>
              </w:numPr>
              <w:snapToGrid w:val="0"/>
              <w:spacing w:line="360" w:lineRule="auto"/>
              <w:ind w:firstLine="480" w:firstLineChars="200"/>
              <w:rPr>
                <w:color w:val="auto"/>
                <w:sz w:val="24"/>
                <w:szCs w:val="24"/>
              </w:rPr>
            </w:pPr>
            <w:r>
              <w:rPr>
                <w:color w:val="auto"/>
                <w:sz w:val="24"/>
                <w:szCs w:val="24"/>
              </w:rPr>
              <w:t>贮存设施所有者或运营者应建立贮存设施环境管理制度、管理人员岗位职责制度、设施运行操作制度、人员岗位培训制度等。</w:t>
            </w:r>
          </w:p>
          <w:p w14:paraId="1BF4D65A">
            <w:pPr>
              <w:numPr>
                <w:ilvl w:val="0"/>
                <w:numId w:val="26"/>
              </w:numPr>
              <w:snapToGrid w:val="0"/>
              <w:spacing w:line="360" w:lineRule="auto"/>
              <w:ind w:firstLine="480" w:firstLineChars="200"/>
              <w:rPr>
                <w:color w:val="auto"/>
                <w:sz w:val="24"/>
                <w:szCs w:val="24"/>
              </w:rPr>
            </w:pPr>
            <w:r>
              <w:rPr>
                <w:color w:val="auto"/>
                <w:sz w:val="24"/>
                <w:szCs w:val="24"/>
              </w:rPr>
              <w:t>贮存设施所有者或运营者应建立贮存设施全部档案，包括设计、施工、验收、运行、监测和环境应急等，应按国家有关档案管理的法律法规进行整理和归档。</w:t>
            </w:r>
          </w:p>
          <w:p w14:paraId="1ACFFEF5">
            <w:pPr>
              <w:snapToGrid w:val="0"/>
              <w:spacing w:line="360" w:lineRule="auto"/>
              <w:ind w:firstLine="480" w:firstLineChars="200"/>
              <w:rPr>
                <w:color w:val="auto"/>
                <w:sz w:val="24"/>
                <w:szCs w:val="24"/>
                <w:lang w:val="zh-CN"/>
              </w:rPr>
            </w:pPr>
            <w:r>
              <w:rPr>
                <w:color w:val="auto"/>
                <w:sz w:val="24"/>
                <w:szCs w:val="24"/>
                <w:lang w:val="zh-CN"/>
              </w:rPr>
              <w:t>日常管理要求：</w:t>
            </w:r>
          </w:p>
          <w:p w14:paraId="3874C2B0">
            <w:pPr>
              <w:snapToGrid w:val="0"/>
              <w:spacing w:line="360" w:lineRule="auto"/>
              <w:ind w:firstLine="480" w:firstLineChars="200"/>
              <w:rPr>
                <w:color w:val="auto"/>
                <w:sz w:val="24"/>
                <w:szCs w:val="24"/>
                <w:lang w:val="zh-CN"/>
              </w:rPr>
            </w:pPr>
            <w:r>
              <w:rPr>
                <w:color w:val="auto"/>
                <w:sz w:val="24"/>
                <w:szCs w:val="24"/>
                <w:lang w:val="zh-CN"/>
              </w:rPr>
              <w:t>(1)设专职人员负责本厂内的</w:t>
            </w:r>
            <w:r>
              <w:rPr>
                <w:color w:val="auto"/>
                <w:sz w:val="24"/>
                <w:szCs w:val="24"/>
              </w:rPr>
              <w:t>危险</w:t>
            </w:r>
            <w:r>
              <w:rPr>
                <w:color w:val="auto"/>
                <w:sz w:val="24"/>
                <w:szCs w:val="24"/>
                <w:lang w:val="zh-CN"/>
              </w:rPr>
              <w:t>废物</w:t>
            </w:r>
            <w:r>
              <w:rPr>
                <w:color w:val="auto"/>
                <w:sz w:val="24"/>
                <w:szCs w:val="24"/>
              </w:rPr>
              <w:t>进行</w:t>
            </w:r>
            <w:r>
              <w:rPr>
                <w:color w:val="auto"/>
                <w:sz w:val="24"/>
                <w:szCs w:val="24"/>
                <w:lang w:val="zh-CN"/>
              </w:rPr>
              <w:t>管理，并对委托的有资质废物处理单位进行监督。</w:t>
            </w:r>
          </w:p>
          <w:p w14:paraId="725DB0ED">
            <w:pPr>
              <w:snapToGrid w:val="0"/>
              <w:spacing w:line="360" w:lineRule="auto"/>
              <w:ind w:firstLine="480" w:firstLineChars="200"/>
              <w:rPr>
                <w:color w:val="auto"/>
                <w:sz w:val="24"/>
                <w:szCs w:val="24"/>
                <w:lang w:val="zh-CN"/>
              </w:rPr>
            </w:pPr>
            <w:r>
              <w:rPr>
                <w:color w:val="auto"/>
                <w:sz w:val="24"/>
                <w:szCs w:val="24"/>
                <w:lang w:val="zh-CN"/>
              </w:rPr>
              <w:t>(2)对全部废物进行分类界定，对列入危险废物名录中的废物登记建账进行全过程监管。</w:t>
            </w:r>
          </w:p>
          <w:p w14:paraId="0F596FE2">
            <w:pPr>
              <w:snapToGrid w:val="0"/>
              <w:spacing w:line="360" w:lineRule="auto"/>
              <w:ind w:firstLine="480" w:firstLineChars="200"/>
              <w:rPr>
                <w:color w:val="auto"/>
                <w:sz w:val="24"/>
                <w:szCs w:val="24"/>
                <w:lang w:val="zh-CN"/>
              </w:rPr>
            </w:pPr>
            <w:r>
              <w:rPr>
                <w:color w:val="auto"/>
                <w:sz w:val="24"/>
                <w:szCs w:val="24"/>
                <w:lang w:val="zh-CN"/>
              </w:rPr>
              <w:t>(3)根据危险废物的性质、形态，选择安全的包装材料和包装方式，包装容器的外面必须有表示废物形态、性质的明显标志，并向运输者和接受者提供安全保护要求的文字说明。</w:t>
            </w:r>
          </w:p>
          <w:p w14:paraId="7525E746">
            <w:pPr>
              <w:snapToGrid w:val="0"/>
              <w:spacing w:line="360" w:lineRule="auto"/>
              <w:ind w:firstLine="480" w:firstLineChars="200"/>
              <w:rPr>
                <w:color w:val="auto"/>
                <w:sz w:val="24"/>
                <w:szCs w:val="24"/>
                <w:lang w:val="zh-CN"/>
              </w:rPr>
            </w:pPr>
            <w:r>
              <w:rPr>
                <w:color w:val="auto"/>
                <w:sz w:val="24"/>
                <w:szCs w:val="24"/>
                <w:lang w:val="zh-CN"/>
              </w:rPr>
              <w:t>(4)危险废物的贮存设施必须符合国家标准和有关规定，有防渗漏、防雨淋、防流失措施，并必须设置识别危险废物的明显标志。</w:t>
            </w:r>
          </w:p>
          <w:p w14:paraId="4A264EC8">
            <w:pPr>
              <w:snapToGrid w:val="0"/>
              <w:spacing w:line="360" w:lineRule="auto"/>
              <w:ind w:firstLine="480" w:firstLineChars="200"/>
              <w:rPr>
                <w:color w:val="auto"/>
                <w:sz w:val="24"/>
                <w:szCs w:val="24"/>
                <w:lang w:val="zh-CN"/>
              </w:rPr>
            </w:pPr>
            <w:r>
              <w:rPr>
                <w:color w:val="auto"/>
                <w:sz w:val="24"/>
                <w:szCs w:val="24"/>
                <w:lang w:val="zh-CN"/>
              </w:rPr>
              <w:t>(5)禁止将危险废物与一般固体废物、生活垃圾及其它废物混合堆放。</w:t>
            </w:r>
          </w:p>
          <w:p w14:paraId="3AA92D4B">
            <w:pPr>
              <w:snapToGrid w:val="0"/>
              <w:spacing w:line="360" w:lineRule="auto"/>
              <w:ind w:firstLine="480" w:firstLineChars="200"/>
              <w:rPr>
                <w:color w:val="auto"/>
                <w:sz w:val="24"/>
                <w:szCs w:val="24"/>
                <w:lang w:val="zh-CN"/>
              </w:rPr>
            </w:pPr>
            <w:r>
              <w:rPr>
                <w:color w:val="auto"/>
                <w:sz w:val="24"/>
                <w:szCs w:val="24"/>
              </w:rPr>
              <w:t>(</w:t>
            </w:r>
            <w:r>
              <w:rPr>
                <w:color w:val="auto"/>
                <w:sz w:val="24"/>
                <w:szCs w:val="24"/>
                <w:lang w:val="zh-CN"/>
              </w:rPr>
              <w:t>6)定期向环境主管部门汇报固体废物的处置情况，接受环境主管部门的指导和监督管理。</w:t>
            </w:r>
          </w:p>
          <w:p w14:paraId="073B5989">
            <w:pPr>
              <w:snapToGrid w:val="0"/>
              <w:spacing w:line="360" w:lineRule="auto"/>
              <w:ind w:firstLine="480" w:firstLineChars="200"/>
              <w:rPr>
                <w:color w:val="auto"/>
                <w:sz w:val="24"/>
                <w:szCs w:val="24"/>
                <w:lang w:val="zh-CN"/>
              </w:rPr>
            </w:pPr>
            <w:r>
              <w:rPr>
                <w:color w:val="auto"/>
                <w:sz w:val="24"/>
                <w:szCs w:val="24"/>
                <w:lang w:val="zh-CN"/>
              </w:rPr>
              <w:t>本项目产生的</w:t>
            </w:r>
            <w:r>
              <w:rPr>
                <w:color w:val="auto"/>
                <w:sz w:val="24"/>
                <w:szCs w:val="24"/>
              </w:rPr>
              <w:t>危废均交由有资质单位处理，</w:t>
            </w:r>
            <w:r>
              <w:rPr>
                <w:color w:val="auto"/>
                <w:sz w:val="24"/>
                <w:szCs w:val="24"/>
                <w:lang w:val="zh-CN"/>
              </w:rPr>
              <w:t>采取上述分类收集、分类处理处置的措施后，本项目产生的</w:t>
            </w:r>
            <w:r>
              <w:rPr>
                <w:color w:val="auto"/>
                <w:sz w:val="24"/>
                <w:szCs w:val="24"/>
              </w:rPr>
              <w:t>危险废物</w:t>
            </w:r>
            <w:r>
              <w:rPr>
                <w:color w:val="auto"/>
                <w:sz w:val="24"/>
                <w:szCs w:val="24"/>
                <w:lang w:val="zh-CN"/>
              </w:rPr>
              <w:t>不会对周围环境造成不良影响。</w:t>
            </w:r>
          </w:p>
          <w:p w14:paraId="0AE69498">
            <w:pPr>
              <w:pStyle w:val="16"/>
              <w:snapToGrid w:val="0"/>
              <w:spacing w:line="360" w:lineRule="auto"/>
              <w:jc w:val="center"/>
              <w:rPr>
                <w:rFonts w:ascii="Times New Roman" w:hAnsi="Times New Roman" w:eastAsia="宋体"/>
                <w:b/>
                <w:color w:val="auto"/>
                <w:sz w:val="24"/>
                <w:szCs w:val="24"/>
              </w:rPr>
            </w:pPr>
            <w:r>
              <w:rPr>
                <w:rFonts w:ascii="Times New Roman" w:hAnsi="Times New Roman" w:eastAsia="宋体"/>
                <w:b/>
                <w:color w:val="auto"/>
                <w:sz w:val="24"/>
                <w:szCs w:val="24"/>
              </w:rPr>
              <w:t>表</w:t>
            </w:r>
            <w:r>
              <w:rPr>
                <w:rFonts w:ascii="Times New Roman" w:hAnsi="Times New Roman" w:eastAsia="宋体"/>
                <w:b/>
                <w:color w:val="auto"/>
                <w:sz w:val="24"/>
                <w:szCs w:val="24"/>
              </w:rPr>
              <w:fldChar w:fldCharType="begin"/>
            </w:r>
            <w:r>
              <w:rPr>
                <w:rFonts w:ascii="Times New Roman" w:hAnsi="Times New Roman" w:eastAsia="宋体"/>
                <w:b/>
                <w:color w:val="auto"/>
                <w:sz w:val="24"/>
                <w:szCs w:val="24"/>
              </w:rPr>
              <w:instrText xml:space="preserve"> SEQ 表 \* ARABIC </w:instrText>
            </w:r>
            <w:r>
              <w:rPr>
                <w:rFonts w:ascii="Times New Roman" w:hAnsi="Times New Roman" w:eastAsia="宋体"/>
                <w:b/>
                <w:color w:val="auto"/>
                <w:sz w:val="24"/>
                <w:szCs w:val="24"/>
              </w:rPr>
              <w:fldChar w:fldCharType="separate"/>
            </w:r>
            <w:r>
              <w:rPr>
                <w:rFonts w:ascii="Times New Roman" w:hAnsi="Times New Roman" w:eastAsia="宋体"/>
                <w:b/>
                <w:color w:val="auto"/>
                <w:sz w:val="24"/>
                <w:szCs w:val="24"/>
              </w:rPr>
              <w:t>52</w:t>
            </w:r>
            <w:r>
              <w:rPr>
                <w:rFonts w:ascii="Times New Roman" w:hAnsi="Times New Roman" w:eastAsia="宋体"/>
                <w:b/>
                <w:color w:val="auto"/>
                <w:sz w:val="24"/>
                <w:szCs w:val="24"/>
              </w:rPr>
              <w:fldChar w:fldCharType="end"/>
            </w:r>
            <w:r>
              <w:rPr>
                <w:rFonts w:ascii="Times New Roman" w:hAnsi="Times New Roman" w:eastAsia="宋体"/>
                <w:b/>
                <w:color w:val="auto"/>
                <w:sz w:val="24"/>
                <w:szCs w:val="24"/>
              </w:rPr>
              <w:t xml:space="preserve"> 危废间及危废储存容器标签示例</w:t>
            </w:r>
          </w:p>
          <w:tbl>
            <w:tblPr>
              <w:tblStyle w:val="3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3203"/>
              <w:gridCol w:w="4122"/>
            </w:tblGrid>
            <w:tr w14:paraId="5A6A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pct"/>
                  <w:vAlign w:val="center"/>
                </w:tcPr>
                <w:p w14:paraId="4ADF4B0F">
                  <w:pPr>
                    <w:pStyle w:val="16"/>
                    <w:jc w:val="center"/>
                    <w:rPr>
                      <w:rFonts w:ascii="Times New Roman" w:hAnsi="Times New Roman" w:eastAsia="宋体"/>
                      <w:b/>
                      <w:color w:val="auto"/>
                      <w:sz w:val="21"/>
                      <w:szCs w:val="21"/>
                    </w:rPr>
                  </w:pPr>
                  <w:r>
                    <w:rPr>
                      <w:rFonts w:ascii="Times New Roman" w:hAnsi="Times New Roman" w:eastAsia="宋体"/>
                      <w:b/>
                      <w:color w:val="auto"/>
                      <w:spacing w:val="-1"/>
                      <w:sz w:val="21"/>
                      <w:szCs w:val="21"/>
                      <w:lang w:eastAsia="en-US"/>
                    </w:rPr>
                    <w:t>场合</w:t>
                  </w:r>
                </w:p>
              </w:tc>
              <w:tc>
                <w:tcPr>
                  <w:tcW w:w="1916" w:type="pct"/>
                  <w:vAlign w:val="center"/>
                </w:tcPr>
                <w:p w14:paraId="734F4EFF">
                  <w:pPr>
                    <w:pStyle w:val="16"/>
                    <w:jc w:val="center"/>
                    <w:rPr>
                      <w:rFonts w:ascii="Times New Roman" w:hAnsi="Times New Roman" w:eastAsia="宋体"/>
                      <w:b/>
                      <w:color w:val="auto"/>
                      <w:sz w:val="21"/>
                      <w:szCs w:val="21"/>
                    </w:rPr>
                  </w:pPr>
                  <w:r>
                    <w:rPr>
                      <w:rFonts w:ascii="Times New Roman" w:hAnsi="Times New Roman" w:eastAsia="宋体"/>
                      <w:b/>
                      <w:color w:val="auto"/>
                      <w:spacing w:val="-1"/>
                      <w:sz w:val="21"/>
                      <w:szCs w:val="21"/>
                      <w:lang w:eastAsia="en-US"/>
                    </w:rPr>
                    <w:t>样式</w:t>
                  </w:r>
                </w:p>
              </w:tc>
              <w:tc>
                <w:tcPr>
                  <w:tcW w:w="2466" w:type="pct"/>
                  <w:vAlign w:val="center"/>
                </w:tcPr>
                <w:p w14:paraId="44967097">
                  <w:pPr>
                    <w:jc w:val="center"/>
                    <w:rPr>
                      <w:color w:val="auto"/>
                    </w:rPr>
                  </w:pPr>
                  <w:r>
                    <w:rPr>
                      <w:color w:val="auto"/>
                      <w:spacing w:val="-1"/>
                      <w:szCs w:val="22"/>
                      <w:lang w:eastAsia="en-US"/>
                    </w:rPr>
                    <w:t>要求</w:t>
                  </w:r>
                </w:p>
              </w:tc>
            </w:tr>
            <w:tr w14:paraId="2BF5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pct"/>
                  <w:vAlign w:val="center"/>
                </w:tcPr>
                <w:p w14:paraId="37C0ABA5">
                  <w:pPr>
                    <w:jc w:val="center"/>
                    <w:rPr>
                      <w:b/>
                      <w:bCs/>
                      <w:color w:val="auto"/>
                      <w:szCs w:val="21"/>
                    </w:rPr>
                  </w:pPr>
                  <w:r>
                    <w:rPr>
                      <w:b/>
                      <w:bCs/>
                      <w:color w:val="auto"/>
                      <w:spacing w:val="-5"/>
                      <w:szCs w:val="21"/>
                    </w:rPr>
                    <w:t>室外（粘贴</w:t>
                  </w:r>
                  <w:r>
                    <w:rPr>
                      <w:b/>
                      <w:bCs/>
                      <w:color w:val="auto"/>
                      <w:szCs w:val="21"/>
                    </w:rPr>
                    <w:t>于门上或悬挂）</w:t>
                  </w:r>
                </w:p>
              </w:tc>
              <w:tc>
                <w:tcPr>
                  <w:tcW w:w="1916" w:type="pct"/>
                  <w:vAlign w:val="center"/>
                </w:tcPr>
                <w:p w14:paraId="7585AB23">
                  <w:pPr>
                    <w:pStyle w:val="16"/>
                    <w:jc w:val="center"/>
                    <w:rPr>
                      <w:rFonts w:ascii="Times New Roman" w:hAnsi="Times New Roman" w:eastAsia="宋体"/>
                      <w:b/>
                      <w:color w:val="auto"/>
                      <w:sz w:val="21"/>
                      <w:szCs w:val="21"/>
                    </w:rPr>
                  </w:pPr>
                  <w:r>
                    <w:rPr>
                      <w:rFonts w:ascii="Times New Roman" w:hAnsi="Times New Roman" w:eastAsia="宋体"/>
                      <w:b/>
                      <w:color w:val="auto"/>
                      <w:sz w:val="21"/>
                      <w:szCs w:val="21"/>
                    </w:rPr>
                    <w:drawing>
                      <wp:inline distT="0" distB="0" distL="114300" distR="114300">
                        <wp:extent cx="1903095" cy="1200150"/>
                        <wp:effectExtent l="0" t="0" r="1905" b="0"/>
                        <wp:docPr id="248" name="图片 248" descr="169269395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descr="1692693950014"/>
                                <pic:cNvPicPr>
                                  <a:picLocks noChangeAspect="1"/>
                                </pic:cNvPicPr>
                              </pic:nvPicPr>
                              <pic:blipFill>
                                <a:blip r:embed="rId23"/>
                                <a:stretch>
                                  <a:fillRect/>
                                </a:stretch>
                              </pic:blipFill>
                              <pic:spPr>
                                <a:xfrm>
                                  <a:off x="0" y="0"/>
                                  <a:ext cx="1903095" cy="1200150"/>
                                </a:xfrm>
                                <a:prstGeom prst="rect">
                                  <a:avLst/>
                                </a:prstGeom>
                              </pic:spPr>
                            </pic:pic>
                          </a:graphicData>
                        </a:graphic>
                      </wp:inline>
                    </w:drawing>
                  </w:r>
                </w:p>
              </w:tc>
              <w:tc>
                <w:tcPr>
                  <w:tcW w:w="2466" w:type="pct"/>
                  <w:vAlign w:val="center"/>
                </w:tcPr>
                <w:p w14:paraId="24034185">
                  <w:pPr>
                    <w:rPr>
                      <w:color w:val="auto"/>
                      <w:szCs w:val="21"/>
                    </w:rPr>
                  </w:pPr>
                  <w:r>
                    <w:rPr>
                      <w:color w:val="auto"/>
                      <w:szCs w:val="21"/>
                      <w:lang w:val="zh-CN"/>
                    </w:rPr>
                    <w:t>危险废物贮存、利用、处置设施标志宜采用坚面耐用的材料（如1.5mm~2mm冷轧钢板），并做搪瓷处理或贴膜处理；一般不宜使用</w:t>
                  </w:r>
                  <w:r>
                    <w:rPr>
                      <w:color w:val="auto"/>
                      <w:szCs w:val="21"/>
                    </w:rPr>
                    <w:t>遇水</w:t>
                  </w:r>
                  <w:r>
                    <w:rPr>
                      <w:color w:val="auto"/>
                      <w:szCs w:val="21"/>
                      <w:lang w:val="zh-CN"/>
                    </w:rPr>
                    <w:t>变形、变质或易燃的材料。柱式标志牌的立柱可采用</w:t>
                  </w:r>
                  <w:r>
                    <w:rPr>
                      <w:color w:val="auto"/>
                      <w:szCs w:val="21"/>
                    </w:rPr>
                    <w:t>38*4</w:t>
                  </w:r>
                  <w:r>
                    <w:rPr>
                      <w:color w:val="auto"/>
                      <w:szCs w:val="21"/>
                      <w:lang w:val="zh-CN"/>
                    </w:rPr>
                    <w:t>无缝钢管或其他坚固耐用的材料，并经过防腐处理。</w:t>
                  </w:r>
                </w:p>
              </w:tc>
            </w:tr>
            <w:tr w14:paraId="321B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pct"/>
                  <w:vAlign w:val="center"/>
                </w:tcPr>
                <w:p w14:paraId="7FE604D2">
                  <w:pPr>
                    <w:pStyle w:val="16"/>
                    <w:jc w:val="center"/>
                    <w:rPr>
                      <w:rFonts w:ascii="Times New Roman" w:hAnsi="Times New Roman" w:eastAsia="宋体"/>
                      <w:b/>
                      <w:bCs/>
                      <w:color w:val="auto"/>
                      <w:sz w:val="21"/>
                      <w:szCs w:val="21"/>
                    </w:rPr>
                  </w:pPr>
                  <w:r>
                    <w:rPr>
                      <w:rFonts w:ascii="Times New Roman" w:hAnsi="Times New Roman" w:eastAsia="宋体"/>
                      <w:b/>
                      <w:bCs/>
                      <w:color w:val="auto"/>
                      <w:sz w:val="21"/>
                      <w:szCs w:val="21"/>
                    </w:rPr>
                    <w:t>危险废物分区</w:t>
                  </w:r>
                </w:p>
              </w:tc>
              <w:tc>
                <w:tcPr>
                  <w:tcW w:w="1916" w:type="pct"/>
                  <w:vAlign w:val="center"/>
                </w:tcPr>
                <w:p w14:paraId="3653EC58">
                  <w:pPr>
                    <w:pStyle w:val="16"/>
                    <w:jc w:val="center"/>
                    <w:rPr>
                      <w:rFonts w:ascii="Times New Roman" w:hAnsi="Times New Roman" w:eastAsia="宋体"/>
                      <w:color w:val="auto"/>
                      <w:sz w:val="24"/>
                    </w:rPr>
                  </w:pPr>
                  <w:r>
                    <w:rPr>
                      <w:rFonts w:ascii="Times New Roman" w:hAnsi="Times New Roman" w:eastAsia="宋体"/>
                      <w:color w:val="auto"/>
                      <w:sz w:val="24"/>
                    </w:rPr>
                    <w:drawing>
                      <wp:inline distT="0" distB="0" distL="114300" distR="114300">
                        <wp:extent cx="1809115" cy="1521460"/>
                        <wp:effectExtent l="0" t="0" r="635" b="2540"/>
                        <wp:docPr id="252" name="图片 252" descr="1689823937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descr="1689823937255"/>
                                <pic:cNvPicPr>
                                  <a:picLocks noChangeAspect="1"/>
                                </pic:cNvPicPr>
                              </pic:nvPicPr>
                              <pic:blipFill>
                                <a:blip r:embed="rId24"/>
                                <a:stretch>
                                  <a:fillRect/>
                                </a:stretch>
                              </pic:blipFill>
                              <pic:spPr>
                                <a:xfrm>
                                  <a:off x="0" y="0"/>
                                  <a:ext cx="1809115" cy="1521460"/>
                                </a:xfrm>
                                <a:prstGeom prst="rect">
                                  <a:avLst/>
                                </a:prstGeom>
                              </pic:spPr>
                            </pic:pic>
                          </a:graphicData>
                        </a:graphic>
                      </wp:inline>
                    </w:drawing>
                  </w:r>
                </w:p>
              </w:tc>
              <w:tc>
                <w:tcPr>
                  <w:tcW w:w="2466" w:type="pct"/>
                  <w:vAlign w:val="center"/>
                </w:tcPr>
                <w:p w14:paraId="4C9EAFC7">
                  <w:pPr>
                    <w:rPr>
                      <w:color w:val="auto"/>
                      <w:szCs w:val="21"/>
                      <w:lang w:val="zh-CN"/>
                    </w:rPr>
                  </w:pPr>
                  <w:r>
                    <w:rPr>
                      <w:color w:val="auto"/>
                      <w:szCs w:val="21"/>
                      <w:lang w:val="zh-CN"/>
                    </w:rPr>
                    <w:t>危险废物贮存分区标志的衬底宜采用</w:t>
                  </w:r>
                  <w:r>
                    <w:rPr>
                      <w:color w:val="auto"/>
                      <w:szCs w:val="21"/>
                    </w:rPr>
                    <w:t>坚固</w:t>
                  </w:r>
                  <w:r>
                    <w:rPr>
                      <w:color w:val="auto"/>
                      <w:szCs w:val="21"/>
                      <w:lang w:val="zh-CN"/>
                    </w:rPr>
                    <w:t>耐用的材料，并具有耐用性和防水性。废物贮存种类信息等可采用印刷纸张、不粘胶材质或塑料卡片等，以便固定在衬底上。</w:t>
                  </w:r>
                </w:p>
                <w:p w14:paraId="7ECA4DE4">
                  <w:pPr>
                    <w:rPr>
                      <w:color w:val="auto"/>
                      <w:szCs w:val="21"/>
                      <w:lang w:val="zh-CN"/>
                    </w:rPr>
                  </w:pPr>
                  <w:r>
                    <w:rPr>
                      <w:color w:val="auto"/>
                      <w:szCs w:val="21"/>
                      <w:lang w:val="zh-CN"/>
                    </w:rPr>
                    <w:t>危险废物贮存分区标志的图形和文字应清晰、完整，保证在足够的观察距离条件下不影响阅读。“危险废物贮存分区标志”字样与其他信息宜加黑色分界线区分，分界线的宽度不小于2</w:t>
                  </w:r>
                  <w:r>
                    <w:rPr>
                      <w:color w:val="auto"/>
                      <w:szCs w:val="21"/>
                    </w:rPr>
                    <w:t>mm</w:t>
                  </w:r>
                  <w:r>
                    <w:rPr>
                      <w:color w:val="auto"/>
                      <w:szCs w:val="21"/>
                      <w:lang w:val="zh-CN"/>
                    </w:rPr>
                    <w:t>。</w:t>
                  </w:r>
                </w:p>
              </w:tc>
            </w:tr>
            <w:tr w14:paraId="0A0F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pct"/>
                  <w:vAlign w:val="center"/>
                </w:tcPr>
                <w:p w14:paraId="53C9B51B">
                  <w:pPr>
                    <w:pStyle w:val="16"/>
                    <w:jc w:val="center"/>
                    <w:rPr>
                      <w:rFonts w:ascii="Times New Roman" w:hAnsi="Times New Roman" w:eastAsia="宋体"/>
                      <w:b/>
                      <w:bCs/>
                      <w:color w:val="auto"/>
                      <w:sz w:val="21"/>
                      <w:szCs w:val="21"/>
                    </w:rPr>
                  </w:pPr>
                  <w:r>
                    <w:rPr>
                      <w:rFonts w:ascii="Times New Roman" w:hAnsi="Times New Roman" w:eastAsia="宋体"/>
                      <w:b/>
                      <w:bCs/>
                      <w:color w:val="auto"/>
                      <w:sz w:val="21"/>
                      <w:szCs w:val="21"/>
                    </w:rPr>
                    <w:t>粘贴于危险废物储存容器</w:t>
                  </w:r>
                </w:p>
              </w:tc>
              <w:tc>
                <w:tcPr>
                  <w:tcW w:w="1916" w:type="pct"/>
                  <w:vAlign w:val="center"/>
                </w:tcPr>
                <w:p w14:paraId="7C359F14">
                  <w:pPr>
                    <w:pStyle w:val="16"/>
                    <w:jc w:val="center"/>
                    <w:rPr>
                      <w:rFonts w:ascii="Times New Roman" w:hAnsi="Times New Roman" w:eastAsia="宋体"/>
                      <w:b/>
                      <w:color w:val="auto"/>
                      <w:sz w:val="21"/>
                      <w:szCs w:val="21"/>
                    </w:rPr>
                  </w:pPr>
                  <w:r>
                    <w:rPr>
                      <w:rFonts w:ascii="Times New Roman" w:hAnsi="Times New Roman" w:eastAsia="宋体"/>
                      <w:color w:val="auto"/>
                      <w:sz w:val="24"/>
                    </w:rPr>
                    <w:drawing>
                      <wp:inline distT="0" distB="0" distL="114300" distR="114300">
                        <wp:extent cx="1388110" cy="1388110"/>
                        <wp:effectExtent l="0" t="0" r="2540" b="2540"/>
                        <wp:docPr id="25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3" descr="IMG_256"/>
                                <pic:cNvPicPr>
                                  <a:picLocks noChangeAspect="1"/>
                                </pic:cNvPicPr>
                              </pic:nvPicPr>
                              <pic:blipFill>
                                <a:blip r:embed="rId25"/>
                                <a:stretch>
                                  <a:fillRect/>
                                </a:stretch>
                              </pic:blipFill>
                              <pic:spPr>
                                <a:xfrm>
                                  <a:off x="0" y="0"/>
                                  <a:ext cx="1388110" cy="1388110"/>
                                </a:xfrm>
                                <a:prstGeom prst="rect">
                                  <a:avLst/>
                                </a:prstGeom>
                                <a:noFill/>
                                <a:ln w="9525">
                                  <a:noFill/>
                                </a:ln>
                              </pic:spPr>
                            </pic:pic>
                          </a:graphicData>
                        </a:graphic>
                      </wp:inline>
                    </w:drawing>
                  </w:r>
                </w:p>
              </w:tc>
              <w:tc>
                <w:tcPr>
                  <w:tcW w:w="2466" w:type="pct"/>
                  <w:vAlign w:val="center"/>
                </w:tcPr>
                <w:p w14:paraId="3024AD0A">
                  <w:pPr>
                    <w:rPr>
                      <w:color w:val="auto"/>
                    </w:rPr>
                  </w:pPr>
                  <w:r>
                    <w:rPr>
                      <w:color w:val="auto"/>
                      <w:szCs w:val="21"/>
                      <w:lang w:val="zh-CN"/>
                    </w:rPr>
                    <w:t>危险废物标签所选用的材质宜具有一定的耐用性和防水性。标签可采用不干胶印制品，或印刷品外加防水塑料袋或塑封等。危险废物标签印刷的油墨应均匀，图案和文字应清晰、完整。危险废物标签的文字边缘宜加黑色边框，边框宽度不小于1mm，边框外宜留不小于3mm的空白。</w:t>
                  </w:r>
                </w:p>
              </w:tc>
            </w:tr>
          </w:tbl>
          <w:p w14:paraId="0324683D">
            <w:pPr>
              <w:pStyle w:val="91"/>
              <w:adjustRightInd w:val="0"/>
              <w:snapToGrid w:val="0"/>
              <w:ind w:firstLine="0" w:firstLineChars="0"/>
              <w:rPr>
                <w:rFonts w:ascii="Times New Roman" w:hAnsi="Times New Roman"/>
                <w:b/>
                <w:bCs/>
                <w:color w:val="auto"/>
                <w:sz w:val="24"/>
                <w:szCs w:val="24"/>
              </w:rPr>
            </w:pPr>
            <w:r>
              <w:rPr>
                <w:rFonts w:ascii="Times New Roman" w:hAnsi="Times New Roman"/>
                <w:b/>
                <w:bCs/>
                <w:color w:val="auto"/>
                <w:sz w:val="24"/>
                <w:szCs w:val="24"/>
              </w:rPr>
              <w:t>五、地下水、土壤</w:t>
            </w:r>
          </w:p>
          <w:p w14:paraId="26BF97D8">
            <w:pPr>
              <w:spacing w:line="360" w:lineRule="auto"/>
              <w:ind w:firstLine="480" w:firstLineChars="200"/>
              <w:rPr>
                <w:bCs/>
                <w:color w:val="auto"/>
                <w:sz w:val="24"/>
                <w:szCs w:val="24"/>
              </w:rPr>
            </w:pPr>
            <w:r>
              <w:rPr>
                <w:color w:val="auto"/>
                <w:sz w:val="24"/>
                <w:szCs w:val="24"/>
              </w:rPr>
              <w:t>项目位于乐昌市乐昌产业转移工业园，</w:t>
            </w:r>
            <w:r>
              <w:rPr>
                <w:bCs/>
                <w:color w:val="auto"/>
                <w:sz w:val="24"/>
                <w:szCs w:val="24"/>
              </w:rPr>
              <w:t>根据现场勘探，在项目地面已完全硬化的前提下，原辅料储存均做好相应防渗防漏措施，不存在地下水污染途径。</w:t>
            </w:r>
            <w:r>
              <w:rPr>
                <w:color w:val="auto"/>
                <w:sz w:val="24"/>
                <w:szCs w:val="24"/>
              </w:rPr>
              <w:t>生产过程产生的有机废气通过收集处理达标后通过排气筒排放，排放量不大，大气沉降对周边土壤的影响极其有限，通过大气沉降对周边土壤造成的影响不大。</w:t>
            </w:r>
          </w:p>
          <w:p w14:paraId="1F310F57">
            <w:pPr>
              <w:pStyle w:val="89"/>
              <w:adjustRightInd w:val="0"/>
              <w:snapToGrid w:val="0"/>
              <w:spacing w:before="0" w:beforeLines="0"/>
              <w:ind w:firstLine="420"/>
              <w:rPr>
                <w:rFonts w:cs="Times New Roman"/>
                <w:color w:val="auto"/>
                <w:sz w:val="24"/>
                <w:szCs w:val="24"/>
              </w:rPr>
            </w:pPr>
            <w:r>
              <w:rPr>
                <w:rFonts w:cs="Times New Roman"/>
                <w:color w:val="auto"/>
                <w:sz w:val="24"/>
                <w:szCs w:val="24"/>
              </w:rPr>
              <w:t>本项目在运营过程中，为防止对地下水、土壤的污染，采取如下措施：</w:t>
            </w:r>
          </w:p>
          <w:p w14:paraId="38264D3B">
            <w:pPr>
              <w:pStyle w:val="89"/>
              <w:adjustRightInd w:val="0"/>
              <w:snapToGrid w:val="0"/>
              <w:spacing w:before="0" w:beforeLines="0"/>
              <w:ind w:firstLine="420"/>
              <w:rPr>
                <w:rFonts w:cs="Times New Roman"/>
                <w:color w:val="auto"/>
                <w:sz w:val="24"/>
                <w:szCs w:val="24"/>
              </w:rPr>
            </w:pPr>
            <w:r>
              <w:rPr>
                <w:rFonts w:hint="eastAsia" w:ascii="宋体" w:hAnsi="宋体"/>
                <w:color w:val="auto"/>
                <w:sz w:val="24"/>
                <w:szCs w:val="24"/>
              </w:rPr>
              <w:t>①</w:t>
            </w:r>
            <w:r>
              <w:rPr>
                <w:rFonts w:cs="Times New Roman"/>
                <w:color w:val="auto"/>
                <w:sz w:val="24"/>
                <w:szCs w:val="24"/>
              </w:rPr>
              <w:t>危险废物严格按要求进行处理处置，严禁随意倾倒、丢弃，建设单位及时联系危废处理单位回收，在危废处理单位未回收期间，应集中收集，专人管理，集中贮存，各类危险废物按性质不同分类进行贮存。危废暂存间依托原有项目，危废暂存间的建设符合《危险废物贮存污染控制标准》（GB18597-2023）相关要求，危险废物贮存间已进行地面硬底化处理，已做好各项防渗措施且防风、防雨、防晒。</w:t>
            </w:r>
          </w:p>
          <w:p w14:paraId="306D94FF">
            <w:pPr>
              <w:pStyle w:val="89"/>
              <w:adjustRightInd w:val="0"/>
              <w:snapToGrid w:val="0"/>
              <w:spacing w:before="0" w:beforeLines="0"/>
              <w:ind w:firstLine="420"/>
              <w:rPr>
                <w:rFonts w:cs="Times New Roman"/>
                <w:color w:val="auto"/>
                <w:sz w:val="24"/>
                <w:szCs w:val="24"/>
              </w:rPr>
            </w:pPr>
            <w:r>
              <w:rPr>
                <w:rFonts w:hint="eastAsia" w:ascii="宋体" w:hAnsi="宋体"/>
                <w:color w:val="auto"/>
                <w:sz w:val="24"/>
                <w:szCs w:val="24"/>
              </w:rPr>
              <w:t>②</w:t>
            </w:r>
            <w:r>
              <w:rPr>
                <w:rFonts w:cs="Times New Roman"/>
                <w:color w:val="auto"/>
                <w:sz w:val="24"/>
                <w:szCs w:val="24"/>
              </w:rPr>
              <w:t>厂房内的工作区域、原辅材料储存区进行地面硬底化处理，落实有效的防渗漏、防溢流措施；同时日常运行加强对原辅材料、固体废物出入储存的管理。</w:t>
            </w:r>
          </w:p>
          <w:p w14:paraId="76F9B5D4">
            <w:pPr>
              <w:pStyle w:val="89"/>
              <w:adjustRightInd w:val="0"/>
              <w:snapToGrid w:val="0"/>
              <w:spacing w:before="0" w:beforeLines="0"/>
              <w:ind w:firstLine="420"/>
              <w:rPr>
                <w:rFonts w:cs="Times New Roman"/>
                <w:color w:val="auto"/>
                <w:sz w:val="24"/>
                <w:szCs w:val="24"/>
              </w:rPr>
            </w:pPr>
            <w:r>
              <w:rPr>
                <w:rFonts w:hint="eastAsia" w:ascii="宋体" w:hAnsi="宋体"/>
                <w:color w:val="auto"/>
                <w:sz w:val="24"/>
                <w:szCs w:val="24"/>
              </w:rPr>
              <w:t>③</w:t>
            </w:r>
            <w:r>
              <w:rPr>
                <w:rFonts w:cs="Times New Roman"/>
                <w:color w:val="auto"/>
                <w:sz w:val="24"/>
                <w:szCs w:val="24"/>
              </w:rPr>
              <w:t>加强生产管理，减少废气排放，以减少废气污染物通过大气沉降落在地面，污染土壤。建设单位必须确保废气收集系统和净化装置的正常运行，并达到本评价所要求的治理效果，定期检查废气收集装置、净化装置、排气筒；若废气收集系统和净化装置发生故障或效率降低时，建设单位必须及时修复，在未修复前必须根据故障情况采取限产或停产措施。</w:t>
            </w:r>
          </w:p>
          <w:p w14:paraId="64C172E2">
            <w:pPr>
              <w:pStyle w:val="89"/>
              <w:adjustRightInd w:val="0"/>
              <w:snapToGrid w:val="0"/>
              <w:spacing w:before="0" w:beforeLines="0"/>
              <w:ind w:firstLine="420"/>
              <w:rPr>
                <w:rFonts w:cs="Times New Roman"/>
                <w:color w:val="auto"/>
                <w:sz w:val="24"/>
                <w:szCs w:val="24"/>
              </w:rPr>
            </w:pPr>
            <w:r>
              <w:rPr>
                <w:rFonts w:hint="eastAsia" w:ascii="宋体" w:hAnsi="宋体"/>
                <w:color w:val="auto"/>
                <w:sz w:val="24"/>
                <w:szCs w:val="24"/>
              </w:rPr>
              <w:t>④</w:t>
            </w:r>
            <w:r>
              <w:rPr>
                <w:rFonts w:cs="Times New Roman"/>
                <w:color w:val="auto"/>
                <w:sz w:val="24"/>
                <w:szCs w:val="24"/>
              </w:rPr>
              <w:t>项目根据厂区地面区域污染物的性质，将厂区划分为重点防渗区、一般防渗区、简单防渗区，提出相应的防渗要求。</w:t>
            </w:r>
          </w:p>
          <w:p w14:paraId="6C614574">
            <w:pPr>
              <w:pStyle w:val="89"/>
              <w:adjustRightInd w:val="0"/>
              <w:snapToGrid w:val="0"/>
              <w:spacing w:before="0" w:beforeLines="0"/>
              <w:ind w:firstLine="420"/>
              <w:rPr>
                <w:rFonts w:cs="Times New Roman"/>
                <w:color w:val="auto"/>
                <w:sz w:val="24"/>
                <w:szCs w:val="24"/>
              </w:rPr>
            </w:pPr>
            <w:r>
              <w:rPr>
                <w:rFonts w:cs="Times New Roman"/>
                <w:color w:val="auto"/>
                <w:sz w:val="24"/>
                <w:szCs w:val="24"/>
              </w:rPr>
              <w:t>项目分区保护措施如下表：</w:t>
            </w:r>
          </w:p>
          <w:p w14:paraId="40DA6E56">
            <w:pPr>
              <w:pStyle w:val="46"/>
              <w:ind w:firstLine="482" w:firstLineChars="200"/>
              <w:jc w:val="center"/>
              <w:rPr>
                <w:rFonts w:hint="default" w:ascii="Times New Roman" w:hAnsi="Times New Roman"/>
                <w:b/>
                <w:color w:val="auto"/>
                <w:sz w:val="24"/>
                <w:szCs w:val="24"/>
              </w:rPr>
            </w:pPr>
          </w:p>
          <w:p w14:paraId="3C46D0E0">
            <w:pPr>
              <w:pStyle w:val="46"/>
              <w:ind w:firstLine="482" w:firstLineChars="200"/>
              <w:jc w:val="center"/>
              <w:rPr>
                <w:rFonts w:hint="default" w:ascii="Times New Roman" w:hAnsi="Times New Roman"/>
                <w:b/>
                <w:color w:val="auto"/>
                <w:sz w:val="24"/>
                <w:szCs w:val="24"/>
              </w:rPr>
            </w:pPr>
          </w:p>
          <w:p w14:paraId="0BBBFB85">
            <w:pPr>
              <w:pStyle w:val="46"/>
              <w:ind w:firstLine="482" w:firstLineChars="200"/>
              <w:jc w:val="center"/>
              <w:rPr>
                <w:rFonts w:hint="default" w:ascii="Times New Roman" w:hAnsi="Times New Roman"/>
                <w:b/>
                <w:color w:val="auto"/>
                <w:sz w:val="24"/>
                <w:szCs w:val="24"/>
              </w:rPr>
            </w:pPr>
          </w:p>
          <w:p w14:paraId="6AB26EEB">
            <w:pPr>
              <w:pStyle w:val="46"/>
              <w:ind w:firstLine="482" w:firstLineChars="200"/>
              <w:jc w:val="center"/>
              <w:rPr>
                <w:rFonts w:hint="default" w:ascii="Times New Roman" w:hAnsi="Times New Roman"/>
                <w:b/>
                <w:color w:val="auto"/>
                <w:sz w:val="24"/>
                <w:szCs w:val="24"/>
              </w:rPr>
            </w:pPr>
            <w:r>
              <w:rPr>
                <w:rFonts w:hint="default" w:ascii="Times New Roman" w:hAnsi="Times New Roman"/>
                <w:b/>
                <w:color w:val="auto"/>
                <w:sz w:val="24"/>
                <w:szCs w:val="24"/>
              </w:rPr>
              <w:t>表</w:t>
            </w:r>
            <w:r>
              <w:rPr>
                <w:rFonts w:hint="default" w:ascii="Times New Roman" w:hAnsi="Times New Roman"/>
                <w:b/>
                <w:color w:val="auto"/>
                <w:sz w:val="24"/>
                <w:szCs w:val="24"/>
              </w:rPr>
              <w:fldChar w:fldCharType="begin"/>
            </w:r>
            <w:r>
              <w:rPr>
                <w:rFonts w:hint="default" w:ascii="Times New Roman" w:hAnsi="Times New Roman"/>
                <w:b/>
                <w:color w:val="auto"/>
                <w:sz w:val="24"/>
                <w:szCs w:val="24"/>
              </w:rPr>
              <w:instrText xml:space="preserve"> SEQ 表 \* ARABIC </w:instrText>
            </w:r>
            <w:r>
              <w:rPr>
                <w:rFonts w:hint="default" w:ascii="Times New Roman" w:hAnsi="Times New Roman"/>
                <w:b/>
                <w:color w:val="auto"/>
                <w:sz w:val="24"/>
                <w:szCs w:val="24"/>
              </w:rPr>
              <w:fldChar w:fldCharType="separate"/>
            </w:r>
            <w:r>
              <w:rPr>
                <w:rFonts w:hint="default" w:ascii="Times New Roman" w:hAnsi="Times New Roman"/>
                <w:b/>
                <w:color w:val="auto"/>
                <w:sz w:val="24"/>
                <w:szCs w:val="24"/>
              </w:rPr>
              <w:t>53</w:t>
            </w:r>
            <w:r>
              <w:rPr>
                <w:rFonts w:hint="default" w:ascii="Times New Roman" w:hAnsi="Times New Roman"/>
                <w:b/>
                <w:color w:val="auto"/>
                <w:sz w:val="24"/>
                <w:szCs w:val="24"/>
              </w:rPr>
              <w:fldChar w:fldCharType="end"/>
            </w:r>
            <w:r>
              <w:rPr>
                <w:rFonts w:hint="default" w:ascii="Times New Roman" w:hAnsi="Times New Roman"/>
                <w:b/>
                <w:color w:val="auto"/>
                <w:sz w:val="24"/>
                <w:szCs w:val="24"/>
              </w:rPr>
              <w:t xml:space="preserve"> 项目防治分区一览表</w:t>
            </w:r>
          </w:p>
          <w:tbl>
            <w:tblPr>
              <w:tblStyle w:val="3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1340"/>
              <w:gridCol w:w="1701"/>
              <w:gridCol w:w="4827"/>
            </w:tblGrid>
            <w:tr w14:paraId="585B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4" w:type="pct"/>
                  <w:gridSpan w:val="2"/>
                  <w:vAlign w:val="center"/>
                </w:tcPr>
                <w:p w14:paraId="5A563045">
                  <w:pPr>
                    <w:jc w:val="center"/>
                    <w:rPr>
                      <w:b/>
                      <w:bCs/>
                      <w:color w:val="auto"/>
                      <w:szCs w:val="21"/>
                    </w:rPr>
                  </w:pPr>
                  <w:r>
                    <w:rPr>
                      <w:b/>
                      <w:bCs/>
                      <w:color w:val="auto"/>
                      <w:szCs w:val="21"/>
                    </w:rPr>
                    <w:t>序号</w:t>
                  </w:r>
                </w:p>
              </w:tc>
              <w:tc>
                <w:tcPr>
                  <w:tcW w:w="1018" w:type="pct"/>
                  <w:vAlign w:val="center"/>
                </w:tcPr>
                <w:p w14:paraId="3786AD6B">
                  <w:pPr>
                    <w:jc w:val="center"/>
                    <w:rPr>
                      <w:b/>
                      <w:bCs/>
                      <w:color w:val="auto"/>
                      <w:szCs w:val="21"/>
                    </w:rPr>
                  </w:pPr>
                  <w:r>
                    <w:rPr>
                      <w:b/>
                      <w:bCs/>
                      <w:color w:val="auto"/>
                      <w:szCs w:val="21"/>
                    </w:rPr>
                    <w:t>区域</w:t>
                  </w:r>
                </w:p>
              </w:tc>
              <w:tc>
                <w:tcPr>
                  <w:tcW w:w="2887" w:type="pct"/>
                  <w:vAlign w:val="center"/>
                </w:tcPr>
                <w:p w14:paraId="44B7C05B">
                  <w:pPr>
                    <w:jc w:val="center"/>
                    <w:rPr>
                      <w:b/>
                      <w:bCs/>
                      <w:color w:val="auto"/>
                      <w:szCs w:val="21"/>
                    </w:rPr>
                  </w:pPr>
                  <w:r>
                    <w:rPr>
                      <w:b/>
                      <w:bCs/>
                      <w:color w:val="auto"/>
                      <w:szCs w:val="21"/>
                    </w:rPr>
                    <w:t>防护措施</w:t>
                  </w:r>
                </w:p>
              </w:tc>
            </w:tr>
            <w:tr w14:paraId="06DC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2" w:type="pct"/>
                  <w:vAlign w:val="center"/>
                </w:tcPr>
                <w:p w14:paraId="3F83F1FE">
                  <w:pPr>
                    <w:jc w:val="center"/>
                    <w:rPr>
                      <w:color w:val="auto"/>
                      <w:szCs w:val="21"/>
                    </w:rPr>
                  </w:pPr>
                  <w:r>
                    <w:rPr>
                      <w:color w:val="auto"/>
                      <w:szCs w:val="21"/>
                    </w:rPr>
                    <w:t>1</w:t>
                  </w:r>
                </w:p>
              </w:tc>
              <w:tc>
                <w:tcPr>
                  <w:tcW w:w="802" w:type="pct"/>
                  <w:vAlign w:val="center"/>
                </w:tcPr>
                <w:p w14:paraId="43E782BA">
                  <w:pPr>
                    <w:widowControl/>
                    <w:jc w:val="left"/>
                    <w:rPr>
                      <w:color w:val="auto"/>
                    </w:rPr>
                  </w:pPr>
                  <w:r>
                    <w:rPr>
                      <w:color w:val="auto"/>
                    </w:rPr>
                    <w:t>重点防渗区</w:t>
                  </w:r>
                </w:p>
              </w:tc>
              <w:tc>
                <w:tcPr>
                  <w:tcW w:w="1018" w:type="pct"/>
                  <w:vAlign w:val="center"/>
                </w:tcPr>
                <w:p w14:paraId="238EF12A">
                  <w:pPr>
                    <w:widowControl/>
                    <w:jc w:val="left"/>
                    <w:rPr>
                      <w:color w:val="auto"/>
                    </w:rPr>
                  </w:pPr>
                  <w:r>
                    <w:rPr>
                      <w:color w:val="auto"/>
                    </w:rPr>
                    <w:t>原药仓、原料仓、危废暂存间、搅拌房</w:t>
                  </w:r>
                </w:p>
              </w:tc>
              <w:tc>
                <w:tcPr>
                  <w:tcW w:w="2887" w:type="pct"/>
                  <w:vAlign w:val="center"/>
                </w:tcPr>
                <w:p w14:paraId="3DC698B2">
                  <w:pPr>
                    <w:widowControl/>
                    <w:jc w:val="left"/>
                    <w:rPr>
                      <w:color w:val="auto"/>
                    </w:rPr>
                  </w:pPr>
                  <w:r>
                    <w:rPr>
                      <w:color w:val="auto"/>
                    </w:rPr>
                    <w:t>本项目对原药仓、原料仓、搅拌房、危废间进行重点防渗处理，要求按照等效黏土防渗层Mb≥6.0m，K≤1×10</w:t>
                  </w:r>
                  <w:r>
                    <w:rPr>
                      <w:color w:val="auto"/>
                      <w:vertAlign w:val="superscript"/>
                    </w:rPr>
                    <w:t>-7</w:t>
                  </w:r>
                  <w:r>
                    <w:rPr>
                      <w:color w:val="auto"/>
                    </w:rPr>
                    <w:t>cm/s要求，其中危废暂存间参照《危险废物贮存污染控制标准》（GB18597-2023）中对防渗层的要求。</w:t>
                  </w:r>
                </w:p>
              </w:tc>
            </w:tr>
            <w:tr w14:paraId="1B71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trPr>
              <w:tc>
                <w:tcPr>
                  <w:tcW w:w="292" w:type="pct"/>
                  <w:vAlign w:val="center"/>
                </w:tcPr>
                <w:p w14:paraId="5EBB9E91">
                  <w:pPr>
                    <w:jc w:val="center"/>
                    <w:rPr>
                      <w:color w:val="auto"/>
                      <w:szCs w:val="21"/>
                    </w:rPr>
                  </w:pPr>
                  <w:r>
                    <w:rPr>
                      <w:color w:val="auto"/>
                      <w:szCs w:val="21"/>
                    </w:rPr>
                    <w:t>2</w:t>
                  </w:r>
                </w:p>
              </w:tc>
              <w:tc>
                <w:tcPr>
                  <w:tcW w:w="802" w:type="pct"/>
                  <w:vAlign w:val="center"/>
                </w:tcPr>
                <w:p w14:paraId="5EBF0959">
                  <w:pPr>
                    <w:widowControl/>
                    <w:jc w:val="left"/>
                    <w:rPr>
                      <w:color w:val="auto"/>
                    </w:rPr>
                  </w:pPr>
                  <w:r>
                    <w:rPr>
                      <w:color w:val="auto"/>
                    </w:rPr>
                    <w:t>一般防渗区</w:t>
                  </w:r>
                </w:p>
              </w:tc>
              <w:tc>
                <w:tcPr>
                  <w:tcW w:w="1018" w:type="pct"/>
                  <w:vAlign w:val="center"/>
                </w:tcPr>
                <w:p w14:paraId="61D69204">
                  <w:pPr>
                    <w:widowControl/>
                    <w:jc w:val="left"/>
                    <w:rPr>
                      <w:color w:val="auto"/>
                    </w:rPr>
                  </w:pPr>
                  <w:r>
                    <w:rPr>
                      <w:color w:val="auto"/>
                    </w:rPr>
                    <w:t>生产区、仓库区、检验室</w:t>
                  </w:r>
                </w:p>
              </w:tc>
              <w:tc>
                <w:tcPr>
                  <w:tcW w:w="2887" w:type="pct"/>
                  <w:vAlign w:val="center"/>
                </w:tcPr>
                <w:p w14:paraId="7FAC98DD">
                  <w:pPr>
                    <w:widowControl/>
                    <w:jc w:val="left"/>
                    <w:rPr>
                      <w:color w:val="auto"/>
                      <w:lang w:val="zh-CN"/>
                    </w:rPr>
                  </w:pPr>
                  <w:r>
                    <w:rPr>
                      <w:color w:val="auto"/>
                    </w:rPr>
                    <w:t>本项目不涉及重金属、持久性有机污染物，液态化学品物料储存在原料、原药仓。因此对生产车间进行一般防渗处理，防渗要求按照等效黏土防渗层Mb≥1.5m，K≤1×10</w:t>
                  </w:r>
                  <w:r>
                    <w:rPr>
                      <w:color w:val="auto"/>
                      <w:vertAlign w:val="superscript"/>
                    </w:rPr>
                    <w:t>-7</w:t>
                  </w:r>
                  <w:r>
                    <w:rPr>
                      <w:color w:val="auto"/>
                    </w:rPr>
                    <w:t>cm/s。贮存过程应满足相应防渗漏、防雨淋、防扬尘等环境保护要求。</w:t>
                  </w:r>
                </w:p>
              </w:tc>
            </w:tr>
            <w:tr w14:paraId="2085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292" w:type="pct"/>
                  <w:vAlign w:val="center"/>
                </w:tcPr>
                <w:p w14:paraId="63F083AC">
                  <w:pPr>
                    <w:jc w:val="center"/>
                    <w:rPr>
                      <w:color w:val="auto"/>
                      <w:szCs w:val="21"/>
                    </w:rPr>
                  </w:pPr>
                  <w:r>
                    <w:rPr>
                      <w:color w:val="auto"/>
                      <w:szCs w:val="21"/>
                    </w:rPr>
                    <w:t>3</w:t>
                  </w:r>
                </w:p>
              </w:tc>
              <w:tc>
                <w:tcPr>
                  <w:tcW w:w="802" w:type="pct"/>
                  <w:vAlign w:val="center"/>
                </w:tcPr>
                <w:p w14:paraId="1CF8506D">
                  <w:pPr>
                    <w:widowControl/>
                    <w:jc w:val="left"/>
                    <w:rPr>
                      <w:color w:val="auto"/>
                    </w:rPr>
                  </w:pPr>
                  <w:r>
                    <w:rPr>
                      <w:color w:val="auto"/>
                    </w:rPr>
                    <w:t>简单防渗区</w:t>
                  </w:r>
                </w:p>
              </w:tc>
              <w:tc>
                <w:tcPr>
                  <w:tcW w:w="1018" w:type="pct"/>
                  <w:vAlign w:val="center"/>
                </w:tcPr>
                <w:p w14:paraId="7D32317F">
                  <w:pPr>
                    <w:widowControl/>
                    <w:jc w:val="left"/>
                    <w:rPr>
                      <w:color w:val="auto"/>
                    </w:rPr>
                  </w:pPr>
                  <w:r>
                    <w:rPr>
                      <w:color w:val="auto"/>
                    </w:rPr>
                    <w:t xml:space="preserve"> 办公室、会议室</w:t>
                  </w:r>
                </w:p>
              </w:tc>
              <w:tc>
                <w:tcPr>
                  <w:tcW w:w="2887" w:type="pct"/>
                  <w:vAlign w:val="center"/>
                </w:tcPr>
                <w:p w14:paraId="09A1D56B">
                  <w:pPr>
                    <w:widowControl/>
                    <w:jc w:val="left"/>
                    <w:rPr>
                      <w:color w:val="auto"/>
                    </w:rPr>
                  </w:pPr>
                  <w:r>
                    <w:rPr>
                      <w:color w:val="auto"/>
                    </w:rPr>
                    <w:t>办公室及无液态原料的区域仅进行一般地面硬化</w:t>
                  </w:r>
                </w:p>
              </w:tc>
            </w:tr>
          </w:tbl>
          <w:p w14:paraId="2D95B313">
            <w:pPr>
              <w:pStyle w:val="89"/>
              <w:adjustRightInd w:val="0"/>
              <w:snapToGrid w:val="0"/>
              <w:spacing w:before="0" w:beforeLines="0"/>
              <w:ind w:firstLine="420"/>
              <w:rPr>
                <w:rFonts w:cs="Times New Roman"/>
                <w:color w:val="auto"/>
                <w:sz w:val="24"/>
                <w:szCs w:val="24"/>
              </w:rPr>
            </w:pPr>
            <w:r>
              <w:rPr>
                <w:rFonts w:cs="Times New Roman"/>
                <w:color w:val="auto"/>
                <w:sz w:val="24"/>
                <w:szCs w:val="24"/>
              </w:rPr>
              <w:t>综上所述，建设单位在落实上述措施的情况下，几乎不会对周围的地下水、土壤环境造成影响。</w:t>
            </w:r>
          </w:p>
          <w:p w14:paraId="6303AE80">
            <w:pPr>
              <w:pStyle w:val="91"/>
              <w:adjustRightInd w:val="0"/>
              <w:snapToGrid w:val="0"/>
              <w:ind w:firstLine="0" w:firstLineChars="0"/>
              <w:rPr>
                <w:rFonts w:ascii="Times New Roman" w:hAnsi="Times New Roman"/>
                <w:b/>
                <w:bCs/>
                <w:color w:val="auto"/>
                <w:sz w:val="24"/>
                <w:szCs w:val="24"/>
              </w:rPr>
            </w:pPr>
            <w:r>
              <w:rPr>
                <w:rFonts w:ascii="Times New Roman" w:hAnsi="Times New Roman"/>
                <w:b/>
                <w:bCs/>
                <w:color w:val="auto"/>
                <w:sz w:val="24"/>
                <w:szCs w:val="24"/>
              </w:rPr>
              <w:t>六、生态</w:t>
            </w:r>
          </w:p>
          <w:p w14:paraId="1F4A5319">
            <w:pPr>
              <w:pStyle w:val="89"/>
              <w:spacing w:before="0" w:beforeLines="0"/>
              <w:ind w:firstLine="420"/>
              <w:rPr>
                <w:rFonts w:cs="Times New Roman"/>
                <w:bCs/>
                <w:color w:val="auto"/>
                <w:sz w:val="24"/>
                <w:szCs w:val="24"/>
              </w:rPr>
            </w:pPr>
            <w:r>
              <w:rPr>
                <w:rFonts w:cs="Times New Roman"/>
                <w:bCs/>
                <w:color w:val="auto"/>
                <w:sz w:val="24"/>
                <w:szCs w:val="24"/>
              </w:rPr>
              <w:t>本项目位于</w:t>
            </w:r>
            <w:r>
              <w:rPr>
                <w:rFonts w:cs="Times New Roman"/>
                <w:color w:val="auto"/>
                <w:sz w:val="24"/>
                <w:szCs w:val="24"/>
              </w:rPr>
              <w:t>乐昌市乐昌产业转移工业园，不涉及工业园区外新增用地，不会对周边生态环境造成明显影响。</w:t>
            </w:r>
          </w:p>
          <w:p w14:paraId="01629D75">
            <w:pPr>
              <w:pStyle w:val="91"/>
              <w:adjustRightInd w:val="0"/>
              <w:snapToGrid w:val="0"/>
              <w:ind w:firstLine="0" w:firstLineChars="0"/>
              <w:rPr>
                <w:rFonts w:ascii="Times New Roman" w:hAnsi="Times New Roman"/>
                <w:b/>
                <w:bCs/>
                <w:color w:val="auto"/>
                <w:sz w:val="24"/>
                <w:szCs w:val="24"/>
              </w:rPr>
            </w:pPr>
            <w:r>
              <w:rPr>
                <w:rFonts w:ascii="Times New Roman" w:hAnsi="Times New Roman"/>
                <w:b/>
                <w:bCs/>
                <w:color w:val="auto"/>
                <w:sz w:val="24"/>
                <w:szCs w:val="24"/>
              </w:rPr>
              <w:t>七、环境风险</w:t>
            </w:r>
          </w:p>
          <w:p w14:paraId="3F3F4DE6">
            <w:pPr>
              <w:pStyle w:val="89"/>
              <w:spacing w:before="0" w:beforeLines="0"/>
              <w:ind w:firstLine="420"/>
              <w:rPr>
                <w:rFonts w:cs="Times New Roman"/>
                <w:color w:val="auto"/>
                <w:sz w:val="24"/>
                <w:szCs w:val="24"/>
              </w:rPr>
            </w:pPr>
            <w:r>
              <w:rPr>
                <w:rFonts w:cs="Times New Roman"/>
                <w:color w:val="auto"/>
                <w:sz w:val="24"/>
                <w:szCs w:val="24"/>
              </w:rPr>
              <w:t>环境风险是项目建设和运行期间发生的可预测突发性事件或事故（一般不包括人为破坏及自然灾害）引起的有毒有害、易燃易爆等物质泄漏，或突发事件产生的新的有毒有害物质，所造成的对人身安全与环境的影响及损害。</w:t>
            </w:r>
          </w:p>
          <w:p w14:paraId="7A9C3377">
            <w:pPr>
              <w:adjustRightInd w:val="0"/>
              <w:snapToGrid w:val="0"/>
              <w:spacing w:line="360" w:lineRule="auto"/>
              <w:ind w:firstLine="480" w:firstLineChars="200"/>
              <w:rPr>
                <w:color w:val="auto"/>
                <w:sz w:val="24"/>
                <w:szCs w:val="24"/>
              </w:rPr>
            </w:pPr>
            <w:r>
              <w:rPr>
                <w:color w:val="auto"/>
                <w:sz w:val="24"/>
                <w:szCs w:val="24"/>
              </w:rPr>
              <w:t>（1）风险源调查</w:t>
            </w:r>
          </w:p>
          <w:p w14:paraId="556F4966">
            <w:pPr>
              <w:adjustRightInd w:val="0"/>
              <w:snapToGrid w:val="0"/>
              <w:spacing w:line="360" w:lineRule="auto"/>
              <w:ind w:firstLine="480" w:firstLineChars="200"/>
              <w:rPr>
                <w:color w:val="auto"/>
                <w:sz w:val="24"/>
                <w:szCs w:val="24"/>
              </w:rPr>
            </w:pPr>
            <w:r>
              <w:rPr>
                <w:color w:val="auto"/>
                <w:sz w:val="24"/>
                <w:szCs w:val="24"/>
              </w:rPr>
              <w:t>根据《建设项目环境影响报告表编制技术指南（污染影响类）（试行）》中表1专项评价设置原则表，环境风险设置专项评价原则为有毒有害和易燃易爆危险物质存储量超过临界量的建设项目，临界量及其计算方法可参考《建设项目环境风险评价技术导则》（HJ 169）附录B、附录C。根据《建设项目环境风险评价技术导则》（HJ 169-2018）附录B对项目进行辨识，项目生产过程中涉及的环境风险物质见下表。</w:t>
            </w:r>
          </w:p>
          <w:p w14:paraId="295FC0EC">
            <w:pPr>
              <w:adjustRightInd w:val="0"/>
              <w:snapToGrid w:val="0"/>
              <w:spacing w:line="360" w:lineRule="auto"/>
              <w:ind w:firstLine="480" w:firstLineChars="200"/>
              <w:rPr>
                <w:color w:val="auto"/>
                <w:sz w:val="24"/>
                <w:szCs w:val="24"/>
              </w:rPr>
            </w:pPr>
            <w:r>
              <w:rPr>
                <w:color w:val="auto"/>
                <w:sz w:val="24"/>
                <w:szCs w:val="24"/>
              </w:rPr>
              <w:t>（2）环境风险潜势判定</w:t>
            </w:r>
          </w:p>
          <w:p w14:paraId="5978E2AB">
            <w:pPr>
              <w:adjustRightInd w:val="0"/>
              <w:snapToGrid w:val="0"/>
              <w:spacing w:line="360" w:lineRule="auto"/>
              <w:ind w:firstLine="480" w:firstLineChars="200"/>
              <w:rPr>
                <w:color w:val="auto"/>
                <w:sz w:val="24"/>
                <w:szCs w:val="24"/>
              </w:rPr>
            </w:pPr>
            <w:r>
              <w:rPr>
                <w:color w:val="auto"/>
                <w:sz w:val="24"/>
                <w:szCs w:val="24"/>
              </w:rPr>
              <w:t>根据《建设项目环境风险评价技术导则》（HJ169-2018），项目使用的危险化学品其Q值计算见下表：</w:t>
            </w:r>
          </w:p>
          <w:p w14:paraId="1C0F6017">
            <w:pPr>
              <w:pStyle w:val="46"/>
              <w:jc w:val="center"/>
              <w:rPr>
                <w:rFonts w:hint="default" w:ascii="Times New Roman" w:hAnsi="Times New Roman"/>
                <w:b/>
                <w:bCs/>
                <w:color w:val="auto"/>
                <w:sz w:val="24"/>
                <w:szCs w:val="24"/>
              </w:rPr>
            </w:pPr>
          </w:p>
          <w:p w14:paraId="2A40032B">
            <w:pPr>
              <w:pStyle w:val="46"/>
              <w:jc w:val="center"/>
              <w:rPr>
                <w:rFonts w:hint="default" w:ascii="Times New Roman" w:hAnsi="Times New Roman"/>
                <w:b/>
                <w:bCs/>
                <w:color w:val="auto"/>
                <w:sz w:val="24"/>
                <w:szCs w:val="24"/>
              </w:rPr>
            </w:pPr>
          </w:p>
          <w:p w14:paraId="0D9C9829">
            <w:pPr>
              <w:pStyle w:val="46"/>
              <w:jc w:val="center"/>
              <w:rPr>
                <w:rFonts w:hint="default" w:ascii="Times New Roman" w:hAnsi="Times New Roman"/>
                <w:b/>
                <w:bCs/>
                <w:color w:val="auto"/>
                <w:sz w:val="24"/>
                <w:szCs w:val="24"/>
              </w:rPr>
            </w:pPr>
            <w:r>
              <w:rPr>
                <w:rFonts w:hint="default" w:ascii="Times New Roman" w:hAnsi="Times New Roman"/>
                <w:b/>
                <w:bCs/>
                <w:color w:val="auto"/>
                <w:sz w:val="24"/>
                <w:szCs w:val="24"/>
              </w:rPr>
              <w:t>表</w:t>
            </w:r>
            <w:r>
              <w:rPr>
                <w:rFonts w:hint="default" w:ascii="Times New Roman" w:hAnsi="Times New Roman"/>
                <w:b/>
                <w:bCs/>
                <w:color w:val="auto"/>
                <w:sz w:val="24"/>
                <w:szCs w:val="24"/>
              </w:rPr>
              <w:fldChar w:fldCharType="begin"/>
            </w:r>
            <w:r>
              <w:rPr>
                <w:rFonts w:hint="default" w:ascii="Times New Roman" w:hAnsi="Times New Roman"/>
                <w:b/>
                <w:bCs/>
                <w:color w:val="auto"/>
                <w:sz w:val="24"/>
                <w:szCs w:val="24"/>
              </w:rPr>
              <w:instrText xml:space="preserve"> SEQ 表 \* ARABIC </w:instrText>
            </w:r>
            <w:r>
              <w:rPr>
                <w:rFonts w:hint="default" w:ascii="Times New Roman" w:hAnsi="Times New Roman"/>
                <w:b/>
                <w:bCs/>
                <w:color w:val="auto"/>
                <w:sz w:val="24"/>
                <w:szCs w:val="24"/>
              </w:rPr>
              <w:fldChar w:fldCharType="separate"/>
            </w:r>
            <w:r>
              <w:rPr>
                <w:rFonts w:hint="default" w:ascii="Times New Roman" w:hAnsi="Times New Roman"/>
                <w:b/>
                <w:bCs/>
                <w:color w:val="auto"/>
                <w:sz w:val="24"/>
                <w:szCs w:val="24"/>
              </w:rPr>
              <w:t>54</w:t>
            </w:r>
            <w:r>
              <w:rPr>
                <w:rFonts w:hint="default" w:ascii="Times New Roman" w:hAnsi="Times New Roman"/>
                <w:b/>
                <w:bCs/>
                <w:color w:val="auto"/>
                <w:sz w:val="24"/>
                <w:szCs w:val="24"/>
              </w:rPr>
              <w:fldChar w:fldCharType="end"/>
            </w:r>
            <w:r>
              <w:rPr>
                <w:rFonts w:hint="default" w:ascii="Times New Roman" w:hAnsi="Times New Roman"/>
                <w:b/>
                <w:bCs/>
                <w:color w:val="auto"/>
                <w:sz w:val="24"/>
                <w:szCs w:val="24"/>
              </w:rPr>
              <w:t xml:space="preserve"> 危险物质数量与临界量比值Q核算表</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
              <w:gridCol w:w="576"/>
              <w:gridCol w:w="1332"/>
              <w:gridCol w:w="1794"/>
              <w:gridCol w:w="961"/>
              <w:gridCol w:w="1411"/>
              <w:gridCol w:w="934"/>
              <w:gridCol w:w="883"/>
            </w:tblGrid>
            <w:tr w14:paraId="3D93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80" w:type="pct"/>
                  <w:vAlign w:val="center"/>
                </w:tcPr>
                <w:p w14:paraId="4B860ECC">
                  <w:pPr>
                    <w:adjustRightInd w:val="0"/>
                    <w:snapToGrid w:val="0"/>
                    <w:jc w:val="center"/>
                    <w:rPr>
                      <w:b/>
                      <w:bCs/>
                      <w:color w:val="auto"/>
                      <w:szCs w:val="21"/>
                    </w:rPr>
                  </w:pPr>
                  <w:r>
                    <w:rPr>
                      <w:b/>
                      <w:bCs/>
                      <w:color w:val="auto"/>
                      <w:szCs w:val="21"/>
                    </w:rPr>
                    <w:t>序号</w:t>
                  </w:r>
                </w:p>
              </w:tc>
              <w:tc>
                <w:tcPr>
                  <w:tcW w:w="344" w:type="pct"/>
                  <w:vAlign w:val="center"/>
                </w:tcPr>
                <w:p w14:paraId="70F280E6">
                  <w:pPr>
                    <w:adjustRightInd w:val="0"/>
                    <w:snapToGrid w:val="0"/>
                    <w:jc w:val="center"/>
                    <w:rPr>
                      <w:b/>
                      <w:bCs/>
                      <w:color w:val="auto"/>
                      <w:szCs w:val="21"/>
                    </w:rPr>
                  </w:pPr>
                  <w:r>
                    <w:rPr>
                      <w:b/>
                      <w:bCs/>
                      <w:color w:val="auto"/>
                      <w:szCs w:val="21"/>
                    </w:rPr>
                    <w:t>类别</w:t>
                  </w:r>
                </w:p>
              </w:tc>
              <w:tc>
                <w:tcPr>
                  <w:tcW w:w="796" w:type="pct"/>
                  <w:vAlign w:val="center"/>
                </w:tcPr>
                <w:p w14:paraId="2247DAC3">
                  <w:pPr>
                    <w:adjustRightInd w:val="0"/>
                    <w:snapToGrid w:val="0"/>
                    <w:jc w:val="center"/>
                    <w:rPr>
                      <w:b/>
                      <w:bCs/>
                      <w:color w:val="auto"/>
                      <w:szCs w:val="21"/>
                    </w:rPr>
                  </w:pPr>
                  <w:r>
                    <w:rPr>
                      <w:b/>
                      <w:bCs/>
                      <w:color w:val="auto"/>
                      <w:szCs w:val="21"/>
                    </w:rPr>
                    <w:t>危险物质名称</w:t>
                  </w:r>
                </w:p>
              </w:tc>
              <w:tc>
                <w:tcPr>
                  <w:tcW w:w="1072" w:type="pct"/>
                  <w:vAlign w:val="center"/>
                </w:tcPr>
                <w:p w14:paraId="39A03133">
                  <w:pPr>
                    <w:adjustRightInd w:val="0"/>
                    <w:snapToGrid w:val="0"/>
                    <w:jc w:val="center"/>
                    <w:rPr>
                      <w:b/>
                      <w:bCs/>
                      <w:color w:val="auto"/>
                      <w:szCs w:val="21"/>
                    </w:rPr>
                  </w:pPr>
                  <w:r>
                    <w:rPr>
                      <w:b/>
                      <w:bCs/>
                      <w:color w:val="auto"/>
                      <w:szCs w:val="21"/>
                    </w:rPr>
                    <w:t>最大存在总量（t）</w:t>
                  </w:r>
                </w:p>
              </w:tc>
              <w:tc>
                <w:tcPr>
                  <w:tcW w:w="574" w:type="pct"/>
                  <w:vAlign w:val="center"/>
                </w:tcPr>
                <w:p w14:paraId="518C3A82">
                  <w:pPr>
                    <w:snapToGrid w:val="0"/>
                    <w:jc w:val="center"/>
                    <w:rPr>
                      <w:b/>
                      <w:bCs/>
                      <w:color w:val="auto"/>
                      <w:szCs w:val="21"/>
                    </w:rPr>
                  </w:pPr>
                  <w:r>
                    <w:rPr>
                      <w:b/>
                      <w:bCs/>
                      <w:color w:val="auto"/>
                      <w:szCs w:val="21"/>
                    </w:rPr>
                    <w:t>CAS号</w:t>
                  </w:r>
                </w:p>
              </w:tc>
              <w:tc>
                <w:tcPr>
                  <w:tcW w:w="843" w:type="pct"/>
                  <w:shd w:val="clear" w:color="auto" w:fill="auto"/>
                  <w:vAlign w:val="center"/>
                </w:tcPr>
                <w:p w14:paraId="0BAD63EC">
                  <w:pPr>
                    <w:snapToGrid w:val="0"/>
                    <w:jc w:val="center"/>
                    <w:rPr>
                      <w:b/>
                      <w:bCs/>
                      <w:color w:val="auto"/>
                      <w:szCs w:val="21"/>
                    </w:rPr>
                  </w:pPr>
                  <w:r>
                    <w:rPr>
                      <w:b/>
                      <w:bCs/>
                      <w:color w:val="auto"/>
                      <w:szCs w:val="21"/>
                    </w:rPr>
                    <w:t>临界量依据</w:t>
                  </w:r>
                </w:p>
              </w:tc>
              <w:tc>
                <w:tcPr>
                  <w:tcW w:w="558" w:type="pct"/>
                  <w:vAlign w:val="center"/>
                </w:tcPr>
                <w:p w14:paraId="15DF0E48">
                  <w:pPr>
                    <w:snapToGrid w:val="0"/>
                    <w:jc w:val="center"/>
                    <w:rPr>
                      <w:b/>
                      <w:bCs/>
                      <w:color w:val="auto"/>
                      <w:szCs w:val="21"/>
                    </w:rPr>
                  </w:pPr>
                  <w:r>
                    <w:rPr>
                      <w:b/>
                      <w:bCs/>
                      <w:color w:val="auto"/>
                      <w:szCs w:val="21"/>
                    </w:rPr>
                    <w:t>临界量（吨）</w:t>
                  </w:r>
                </w:p>
              </w:tc>
              <w:tc>
                <w:tcPr>
                  <w:tcW w:w="528" w:type="pct"/>
                  <w:vAlign w:val="center"/>
                </w:tcPr>
                <w:p w14:paraId="2933A6D1">
                  <w:pPr>
                    <w:snapToGrid w:val="0"/>
                    <w:jc w:val="center"/>
                    <w:rPr>
                      <w:b/>
                      <w:bCs/>
                      <w:color w:val="auto"/>
                      <w:szCs w:val="21"/>
                    </w:rPr>
                  </w:pPr>
                  <w:r>
                    <w:rPr>
                      <w:b/>
                      <w:bCs/>
                      <w:color w:val="auto"/>
                      <w:szCs w:val="21"/>
                    </w:rPr>
                    <w:t>比值Q</w:t>
                  </w:r>
                </w:p>
              </w:tc>
            </w:tr>
            <w:tr w14:paraId="42A2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80" w:type="pct"/>
                  <w:vAlign w:val="center"/>
                </w:tcPr>
                <w:p w14:paraId="5999F514">
                  <w:pPr>
                    <w:numPr>
                      <w:ilvl w:val="0"/>
                      <w:numId w:val="27"/>
                    </w:numPr>
                    <w:adjustRightInd w:val="0"/>
                    <w:snapToGrid w:val="0"/>
                    <w:jc w:val="center"/>
                    <w:rPr>
                      <w:color w:val="auto"/>
                      <w:szCs w:val="21"/>
                    </w:rPr>
                  </w:pPr>
                </w:p>
              </w:tc>
              <w:tc>
                <w:tcPr>
                  <w:tcW w:w="344" w:type="pct"/>
                  <w:vMerge w:val="restart"/>
                  <w:vAlign w:val="center"/>
                </w:tcPr>
                <w:p w14:paraId="025BE1AD">
                  <w:pPr>
                    <w:adjustRightInd w:val="0"/>
                    <w:snapToGrid w:val="0"/>
                    <w:jc w:val="center"/>
                    <w:rPr>
                      <w:color w:val="auto"/>
                      <w:kern w:val="0"/>
                      <w:szCs w:val="21"/>
                    </w:rPr>
                  </w:pPr>
                  <w:r>
                    <w:rPr>
                      <w:color w:val="auto"/>
                      <w:kern w:val="0"/>
                      <w:szCs w:val="21"/>
                    </w:rPr>
                    <w:t>原辅料</w:t>
                  </w:r>
                </w:p>
              </w:tc>
              <w:tc>
                <w:tcPr>
                  <w:tcW w:w="796" w:type="pct"/>
                  <w:shd w:val="clear" w:color="auto" w:fill="auto"/>
                  <w:vAlign w:val="center"/>
                </w:tcPr>
                <w:p w14:paraId="19ED626C">
                  <w:pPr>
                    <w:widowControl/>
                    <w:jc w:val="center"/>
                    <w:textAlignment w:val="center"/>
                    <w:rPr>
                      <w:color w:val="auto"/>
                      <w:kern w:val="0"/>
                      <w:szCs w:val="21"/>
                      <w:lang w:bidi="ar"/>
                    </w:rPr>
                  </w:pPr>
                  <w:r>
                    <w:rPr>
                      <w:color w:val="auto"/>
                      <w:kern w:val="0"/>
                      <w:szCs w:val="21"/>
                      <w:lang w:bidi="ar"/>
                    </w:rPr>
                    <w:t>煤油（轻质白油）</w:t>
                  </w:r>
                </w:p>
              </w:tc>
              <w:tc>
                <w:tcPr>
                  <w:tcW w:w="1072" w:type="pct"/>
                  <w:shd w:val="clear" w:color="auto" w:fill="auto"/>
                  <w:vAlign w:val="center"/>
                </w:tcPr>
                <w:p w14:paraId="42E58208">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0.165</w:t>
                  </w:r>
                </w:p>
              </w:tc>
              <w:tc>
                <w:tcPr>
                  <w:tcW w:w="574" w:type="pct"/>
                  <w:shd w:val="clear" w:color="auto" w:fill="auto"/>
                  <w:vAlign w:val="center"/>
                </w:tcPr>
                <w:p w14:paraId="79BA519B">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8012-95-1</w:t>
                  </w:r>
                </w:p>
              </w:tc>
              <w:tc>
                <w:tcPr>
                  <w:tcW w:w="843" w:type="pct"/>
                  <w:shd w:val="clear" w:color="auto" w:fill="auto"/>
                  <w:vAlign w:val="center"/>
                </w:tcPr>
                <w:p w14:paraId="7BD9AC4E">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381油类物质</w:t>
                  </w:r>
                </w:p>
              </w:tc>
              <w:tc>
                <w:tcPr>
                  <w:tcW w:w="558" w:type="pct"/>
                  <w:shd w:val="clear" w:color="auto" w:fill="auto"/>
                  <w:vAlign w:val="center"/>
                </w:tcPr>
                <w:p w14:paraId="68B4160F">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2500</w:t>
                  </w:r>
                </w:p>
              </w:tc>
              <w:tc>
                <w:tcPr>
                  <w:tcW w:w="528" w:type="pct"/>
                  <w:shd w:val="clear" w:color="auto" w:fill="auto"/>
                  <w:vAlign w:val="center"/>
                </w:tcPr>
                <w:p w14:paraId="5FBF22AD">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0.0001</w:t>
                  </w:r>
                </w:p>
              </w:tc>
            </w:tr>
            <w:tr w14:paraId="771E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80" w:type="pct"/>
                  <w:vAlign w:val="center"/>
                </w:tcPr>
                <w:p w14:paraId="6314575B">
                  <w:pPr>
                    <w:numPr>
                      <w:ilvl w:val="0"/>
                      <w:numId w:val="27"/>
                    </w:numPr>
                    <w:adjustRightInd w:val="0"/>
                    <w:snapToGrid w:val="0"/>
                    <w:jc w:val="center"/>
                    <w:rPr>
                      <w:color w:val="auto"/>
                      <w:szCs w:val="21"/>
                    </w:rPr>
                  </w:pPr>
                </w:p>
              </w:tc>
              <w:tc>
                <w:tcPr>
                  <w:tcW w:w="344" w:type="pct"/>
                  <w:vMerge w:val="continue"/>
                  <w:vAlign w:val="center"/>
                </w:tcPr>
                <w:p w14:paraId="1E681EDE">
                  <w:pPr>
                    <w:adjustRightInd w:val="0"/>
                    <w:snapToGrid w:val="0"/>
                    <w:jc w:val="center"/>
                    <w:rPr>
                      <w:color w:val="auto"/>
                      <w:kern w:val="0"/>
                      <w:szCs w:val="21"/>
                    </w:rPr>
                  </w:pPr>
                </w:p>
              </w:tc>
              <w:tc>
                <w:tcPr>
                  <w:tcW w:w="796" w:type="pct"/>
                  <w:shd w:val="clear" w:color="auto" w:fill="auto"/>
                  <w:vAlign w:val="center"/>
                </w:tcPr>
                <w:p w14:paraId="1B74F834">
                  <w:pPr>
                    <w:widowControl/>
                    <w:jc w:val="center"/>
                    <w:textAlignment w:val="center"/>
                    <w:rPr>
                      <w:color w:val="auto"/>
                      <w:kern w:val="0"/>
                      <w:szCs w:val="21"/>
                      <w:lang w:bidi="ar"/>
                    </w:rPr>
                  </w:pPr>
                  <w:r>
                    <w:rPr>
                      <w:color w:val="auto"/>
                      <w:kern w:val="0"/>
                      <w:szCs w:val="21"/>
                      <w:lang w:bidi="ar"/>
                    </w:rPr>
                    <w:t>氯氟醚菊酯</w:t>
                  </w:r>
                </w:p>
              </w:tc>
              <w:tc>
                <w:tcPr>
                  <w:tcW w:w="1072" w:type="pct"/>
                  <w:shd w:val="clear" w:color="auto" w:fill="auto"/>
                  <w:vAlign w:val="center"/>
                </w:tcPr>
                <w:p w14:paraId="7162964A">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0.05</w:t>
                  </w:r>
                </w:p>
              </w:tc>
              <w:tc>
                <w:tcPr>
                  <w:tcW w:w="574" w:type="pct"/>
                  <w:shd w:val="clear" w:color="auto" w:fill="auto"/>
                  <w:vAlign w:val="center"/>
                </w:tcPr>
                <w:p w14:paraId="6E2C85F2">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352271-52-4</w:t>
                  </w:r>
                </w:p>
              </w:tc>
              <w:tc>
                <w:tcPr>
                  <w:tcW w:w="843" w:type="pct"/>
                  <w:shd w:val="clear" w:color="auto" w:fill="auto"/>
                  <w:vAlign w:val="center"/>
                </w:tcPr>
                <w:p w14:paraId="3D1B98DD">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健康危险急性毒性物质（类别2、3）</w:t>
                  </w:r>
                </w:p>
              </w:tc>
              <w:tc>
                <w:tcPr>
                  <w:tcW w:w="558" w:type="pct"/>
                  <w:shd w:val="clear" w:color="auto" w:fill="auto"/>
                  <w:vAlign w:val="center"/>
                </w:tcPr>
                <w:p w14:paraId="66C42B2D">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50</w:t>
                  </w:r>
                </w:p>
              </w:tc>
              <w:tc>
                <w:tcPr>
                  <w:tcW w:w="528" w:type="pct"/>
                  <w:shd w:val="clear" w:color="auto" w:fill="auto"/>
                  <w:vAlign w:val="center"/>
                </w:tcPr>
                <w:p w14:paraId="0EB955D6">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0.001</w:t>
                  </w:r>
                </w:p>
              </w:tc>
            </w:tr>
            <w:tr w14:paraId="7CBD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80" w:type="pct"/>
                  <w:vAlign w:val="center"/>
                </w:tcPr>
                <w:p w14:paraId="6E4E7ED7">
                  <w:pPr>
                    <w:numPr>
                      <w:ilvl w:val="0"/>
                      <w:numId w:val="27"/>
                    </w:numPr>
                    <w:adjustRightInd w:val="0"/>
                    <w:snapToGrid w:val="0"/>
                    <w:jc w:val="center"/>
                    <w:rPr>
                      <w:color w:val="auto"/>
                      <w:szCs w:val="21"/>
                    </w:rPr>
                  </w:pPr>
                </w:p>
              </w:tc>
              <w:tc>
                <w:tcPr>
                  <w:tcW w:w="344" w:type="pct"/>
                  <w:vAlign w:val="center"/>
                </w:tcPr>
                <w:p w14:paraId="5464F29E">
                  <w:pPr>
                    <w:adjustRightInd w:val="0"/>
                    <w:snapToGrid w:val="0"/>
                    <w:jc w:val="center"/>
                    <w:rPr>
                      <w:color w:val="auto"/>
                      <w:kern w:val="0"/>
                      <w:szCs w:val="21"/>
                    </w:rPr>
                  </w:pPr>
                  <w:r>
                    <w:rPr>
                      <w:color w:val="auto"/>
                      <w:kern w:val="0"/>
                      <w:szCs w:val="21"/>
                    </w:rPr>
                    <w:t>产品</w:t>
                  </w:r>
                </w:p>
              </w:tc>
              <w:tc>
                <w:tcPr>
                  <w:tcW w:w="796" w:type="pct"/>
                  <w:vAlign w:val="center"/>
                </w:tcPr>
                <w:p w14:paraId="3FBC829F">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电热蚊香液</w:t>
                  </w:r>
                </w:p>
              </w:tc>
              <w:tc>
                <w:tcPr>
                  <w:tcW w:w="1072" w:type="pct"/>
                  <w:vAlign w:val="center"/>
                </w:tcPr>
                <w:p w14:paraId="3DEBE4D4">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0.04</w:t>
                  </w:r>
                </w:p>
              </w:tc>
              <w:tc>
                <w:tcPr>
                  <w:tcW w:w="574" w:type="pct"/>
                  <w:vMerge w:val="restart"/>
                  <w:vAlign w:val="center"/>
                </w:tcPr>
                <w:p w14:paraId="1DB67568">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lang w:eastAsia="en-US"/>
                    </w:rPr>
                    <w:t>——</w:t>
                  </w:r>
                </w:p>
              </w:tc>
              <w:tc>
                <w:tcPr>
                  <w:tcW w:w="843" w:type="pct"/>
                  <w:vMerge w:val="restart"/>
                  <w:vAlign w:val="center"/>
                </w:tcPr>
                <w:p w14:paraId="7BC2C8D4">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健康危险急性毒性物质（类别2、3）</w:t>
                  </w:r>
                </w:p>
              </w:tc>
              <w:tc>
                <w:tcPr>
                  <w:tcW w:w="558" w:type="pct"/>
                  <w:vAlign w:val="center"/>
                </w:tcPr>
                <w:p w14:paraId="7A9F7A1A">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50</w:t>
                  </w:r>
                </w:p>
              </w:tc>
              <w:tc>
                <w:tcPr>
                  <w:tcW w:w="528" w:type="pct"/>
                  <w:vAlign w:val="center"/>
                </w:tcPr>
                <w:p w14:paraId="531C38D8">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0.0008</w:t>
                  </w:r>
                </w:p>
              </w:tc>
            </w:tr>
            <w:tr w14:paraId="1DC9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80" w:type="pct"/>
                  <w:vAlign w:val="center"/>
                </w:tcPr>
                <w:p w14:paraId="13554A56">
                  <w:pPr>
                    <w:numPr>
                      <w:ilvl w:val="0"/>
                      <w:numId w:val="27"/>
                    </w:numPr>
                    <w:adjustRightInd w:val="0"/>
                    <w:snapToGrid w:val="0"/>
                    <w:jc w:val="center"/>
                    <w:rPr>
                      <w:color w:val="auto"/>
                      <w:szCs w:val="21"/>
                    </w:rPr>
                  </w:pPr>
                </w:p>
              </w:tc>
              <w:tc>
                <w:tcPr>
                  <w:tcW w:w="344" w:type="pct"/>
                  <w:vMerge w:val="restart"/>
                  <w:vAlign w:val="center"/>
                </w:tcPr>
                <w:p w14:paraId="4A116F20">
                  <w:pPr>
                    <w:adjustRightInd w:val="0"/>
                    <w:snapToGrid w:val="0"/>
                    <w:jc w:val="center"/>
                    <w:rPr>
                      <w:color w:val="auto"/>
                      <w:kern w:val="0"/>
                      <w:szCs w:val="21"/>
                    </w:rPr>
                  </w:pPr>
                  <w:r>
                    <w:rPr>
                      <w:color w:val="auto"/>
                      <w:kern w:val="0"/>
                      <w:szCs w:val="21"/>
                    </w:rPr>
                    <w:t>危险废物</w:t>
                  </w:r>
                </w:p>
              </w:tc>
              <w:tc>
                <w:tcPr>
                  <w:tcW w:w="796" w:type="pct"/>
                  <w:vAlign w:val="center"/>
                </w:tcPr>
                <w:p w14:paraId="19E10D12">
                  <w:pPr>
                    <w:widowControl/>
                    <w:kinsoku w:val="0"/>
                    <w:autoSpaceDE w:val="0"/>
                    <w:autoSpaceDN w:val="0"/>
                    <w:adjustRightInd w:val="0"/>
                    <w:snapToGrid w:val="0"/>
                    <w:spacing w:line="300" w:lineRule="exact"/>
                    <w:jc w:val="center"/>
                    <w:textAlignment w:val="baseline"/>
                    <w:rPr>
                      <w:snapToGrid w:val="0"/>
                      <w:color w:val="auto"/>
                      <w:spacing w:val="4"/>
                      <w:kern w:val="0"/>
                      <w:szCs w:val="21"/>
                      <w:lang w:val="zh-CN"/>
                    </w:rPr>
                  </w:pPr>
                  <w:r>
                    <w:rPr>
                      <w:snapToGrid w:val="0"/>
                      <w:color w:val="auto"/>
                      <w:spacing w:val="4"/>
                      <w:kern w:val="0"/>
                      <w:szCs w:val="21"/>
                    </w:rPr>
                    <w:t>废原料包装桶</w:t>
                  </w:r>
                </w:p>
              </w:tc>
              <w:tc>
                <w:tcPr>
                  <w:tcW w:w="1072" w:type="pct"/>
                  <w:vAlign w:val="center"/>
                </w:tcPr>
                <w:p w14:paraId="69BF3B56">
                  <w:pPr>
                    <w:pStyle w:val="78"/>
                    <w:spacing w:before="24" w:after="24" w:line="240" w:lineRule="auto"/>
                    <w:rPr>
                      <w:rFonts w:ascii="Times New Roman" w:hAnsi="Times New Roman" w:cs="Times New Roman"/>
                      <w:snapToGrid w:val="0"/>
                      <w:color w:val="auto"/>
                      <w:spacing w:val="4"/>
                      <w:kern w:val="0"/>
                      <w:szCs w:val="21"/>
                      <w:lang w:eastAsia="en-US"/>
                    </w:rPr>
                  </w:pPr>
                  <w:r>
                    <w:rPr>
                      <w:rFonts w:ascii="Times New Roman" w:hAnsi="Times New Roman" w:eastAsia="宋体" w:cs="Times New Roman"/>
                      <w:color w:val="auto"/>
                      <w:szCs w:val="21"/>
                    </w:rPr>
                    <w:t>1.7</w:t>
                  </w:r>
                </w:p>
              </w:tc>
              <w:tc>
                <w:tcPr>
                  <w:tcW w:w="574" w:type="pct"/>
                  <w:vMerge w:val="continue"/>
                  <w:vAlign w:val="center"/>
                </w:tcPr>
                <w:p w14:paraId="68543D3D">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健康危险急性毒性物质（类别2、3）</w:t>
                  </w:r>
                </w:p>
              </w:tc>
              <w:tc>
                <w:tcPr>
                  <w:tcW w:w="843" w:type="pct"/>
                  <w:vMerge w:val="continue"/>
                  <w:vAlign w:val="center"/>
                </w:tcPr>
                <w:p w14:paraId="02BE35B0">
                  <w:pPr>
                    <w:widowControl/>
                    <w:kinsoku w:val="0"/>
                    <w:autoSpaceDE w:val="0"/>
                    <w:autoSpaceDN w:val="0"/>
                    <w:adjustRightInd w:val="0"/>
                    <w:snapToGrid w:val="0"/>
                    <w:spacing w:line="300" w:lineRule="exact"/>
                    <w:jc w:val="center"/>
                    <w:textAlignment w:val="baseline"/>
                    <w:rPr>
                      <w:snapToGrid w:val="0"/>
                      <w:color w:val="auto"/>
                      <w:spacing w:val="4"/>
                      <w:kern w:val="0"/>
                      <w:szCs w:val="21"/>
                    </w:rPr>
                  </w:pPr>
                </w:p>
              </w:tc>
              <w:tc>
                <w:tcPr>
                  <w:tcW w:w="558" w:type="pct"/>
                  <w:vAlign w:val="center"/>
                </w:tcPr>
                <w:p w14:paraId="561E6353">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50</w:t>
                  </w:r>
                </w:p>
              </w:tc>
              <w:tc>
                <w:tcPr>
                  <w:tcW w:w="528" w:type="pct"/>
                  <w:vAlign w:val="center"/>
                </w:tcPr>
                <w:p w14:paraId="66D53E72">
                  <w:pPr>
                    <w:widowControl/>
                    <w:kinsoku w:val="0"/>
                    <w:autoSpaceDE w:val="0"/>
                    <w:autoSpaceDN w:val="0"/>
                    <w:adjustRightInd w:val="0"/>
                    <w:snapToGrid w:val="0"/>
                    <w:spacing w:line="300" w:lineRule="exact"/>
                    <w:jc w:val="center"/>
                    <w:textAlignment w:val="baseline"/>
                    <w:rPr>
                      <w:rFonts w:ascii="Times New Roman" w:hAnsi="Times New Roman" w:eastAsia="宋体" w:cs="Times New Roman"/>
                      <w:snapToGrid w:val="0"/>
                      <w:color w:val="auto"/>
                      <w:spacing w:val="4"/>
                      <w:kern w:val="0"/>
                      <w:szCs w:val="21"/>
                    </w:rPr>
                  </w:pPr>
                  <w:r>
                    <w:rPr>
                      <w:rFonts w:ascii="Times New Roman" w:hAnsi="Times New Roman" w:eastAsia="宋体" w:cs="Times New Roman"/>
                      <w:snapToGrid w:val="0"/>
                      <w:color w:val="auto"/>
                      <w:spacing w:val="4"/>
                      <w:kern w:val="0"/>
                      <w:szCs w:val="21"/>
                    </w:rPr>
                    <w:t>0.034</w:t>
                  </w:r>
                </w:p>
              </w:tc>
            </w:tr>
            <w:tr w14:paraId="6B60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80" w:type="pct"/>
                  <w:vAlign w:val="center"/>
                </w:tcPr>
                <w:p w14:paraId="55DA8251">
                  <w:pPr>
                    <w:numPr>
                      <w:ilvl w:val="0"/>
                      <w:numId w:val="27"/>
                    </w:numPr>
                    <w:adjustRightInd w:val="0"/>
                    <w:snapToGrid w:val="0"/>
                    <w:jc w:val="center"/>
                    <w:rPr>
                      <w:color w:val="auto"/>
                      <w:szCs w:val="21"/>
                    </w:rPr>
                  </w:pPr>
                </w:p>
              </w:tc>
              <w:tc>
                <w:tcPr>
                  <w:tcW w:w="344" w:type="pct"/>
                  <w:vMerge w:val="continue"/>
                  <w:vAlign w:val="center"/>
                </w:tcPr>
                <w:p w14:paraId="3AC6461A">
                  <w:pPr>
                    <w:adjustRightInd w:val="0"/>
                    <w:snapToGrid w:val="0"/>
                    <w:jc w:val="center"/>
                    <w:rPr>
                      <w:color w:val="auto"/>
                      <w:kern w:val="0"/>
                      <w:szCs w:val="21"/>
                    </w:rPr>
                  </w:pPr>
                </w:p>
              </w:tc>
              <w:tc>
                <w:tcPr>
                  <w:tcW w:w="796" w:type="pct"/>
                  <w:vAlign w:val="center"/>
                </w:tcPr>
                <w:p w14:paraId="637C23C4">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废活性炭</w:t>
                  </w:r>
                </w:p>
              </w:tc>
              <w:tc>
                <w:tcPr>
                  <w:tcW w:w="1072" w:type="pct"/>
                  <w:vAlign w:val="center"/>
                </w:tcPr>
                <w:p w14:paraId="2C750B9E">
                  <w:pPr>
                    <w:pStyle w:val="78"/>
                    <w:spacing w:before="24" w:after="24" w:line="240" w:lineRule="auto"/>
                    <w:rPr>
                      <w:rFonts w:ascii="Times New Roman" w:hAnsi="Times New Roman" w:cs="Times New Roman"/>
                      <w:snapToGrid w:val="0"/>
                      <w:color w:val="auto"/>
                      <w:spacing w:val="4"/>
                      <w:kern w:val="0"/>
                      <w:szCs w:val="21"/>
                    </w:rPr>
                  </w:pPr>
                  <w:r>
                    <w:rPr>
                      <w:rFonts w:hint="eastAsia" w:ascii="Times New Roman" w:hAnsi="Times New Roman"/>
                      <w:color w:val="auto"/>
                      <w:sz w:val="21"/>
                      <w:szCs w:val="21"/>
                      <w:lang w:val="en-US" w:eastAsia="zh-CN"/>
                    </w:rPr>
                    <w:t>0.289734</w:t>
                  </w:r>
                </w:p>
              </w:tc>
              <w:tc>
                <w:tcPr>
                  <w:tcW w:w="574" w:type="pct"/>
                  <w:vMerge w:val="continue"/>
                  <w:vAlign w:val="center"/>
                </w:tcPr>
                <w:p w14:paraId="214B7814">
                  <w:pPr>
                    <w:widowControl/>
                    <w:kinsoku w:val="0"/>
                    <w:autoSpaceDE w:val="0"/>
                    <w:autoSpaceDN w:val="0"/>
                    <w:adjustRightInd w:val="0"/>
                    <w:snapToGrid w:val="0"/>
                    <w:spacing w:line="300" w:lineRule="exact"/>
                    <w:jc w:val="center"/>
                    <w:textAlignment w:val="baseline"/>
                    <w:rPr>
                      <w:snapToGrid w:val="0"/>
                      <w:color w:val="auto"/>
                      <w:spacing w:val="4"/>
                      <w:kern w:val="0"/>
                      <w:szCs w:val="21"/>
                      <w:lang w:eastAsia="en-US"/>
                    </w:rPr>
                  </w:pPr>
                </w:p>
              </w:tc>
              <w:tc>
                <w:tcPr>
                  <w:tcW w:w="843" w:type="pct"/>
                  <w:vMerge w:val="continue"/>
                  <w:vAlign w:val="center"/>
                </w:tcPr>
                <w:p w14:paraId="674A5C46">
                  <w:pPr>
                    <w:widowControl/>
                    <w:kinsoku w:val="0"/>
                    <w:autoSpaceDE w:val="0"/>
                    <w:autoSpaceDN w:val="0"/>
                    <w:adjustRightInd w:val="0"/>
                    <w:snapToGrid w:val="0"/>
                    <w:spacing w:line="300" w:lineRule="exact"/>
                    <w:jc w:val="center"/>
                    <w:textAlignment w:val="baseline"/>
                    <w:rPr>
                      <w:snapToGrid w:val="0"/>
                      <w:color w:val="auto"/>
                      <w:spacing w:val="4"/>
                      <w:kern w:val="0"/>
                      <w:szCs w:val="21"/>
                      <w:lang w:eastAsia="en-US"/>
                    </w:rPr>
                  </w:pPr>
                </w:p>
              </w:tc>
              <w:tc>
                <w:tcPr>
                  <w:tcW w:w="558" w:type="pct"/>
                  <w:vAlign w:val="center"/>
                </w:tcPr>
                <w:p w14:paraId="2AC2CE6F">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50</w:t>
                  </w:r>
                </w:p>
              </w:tc>
              <w:tc>
                <w:tcPr>
                  <w:tcW w:w="528" w:type="pct"/>
                  <w:vAlign w:val="center"/>
                </w:tcPr>
                <w:p w14:paraId="0E764C79">
                  <w:pPr>
                    <w:widowControl/>
                    <w:kinsoku w:val="0"/>
                    <w:autoSpaceDE w:val="0"/>
                    <w:autoSpaceDN w:val="0"/>
                    <w:adjustRightInd w:val="0"/>
                    <w:snapToGrid w:val="0"/>
                    <w:spacing w:line="300" w:lineRule="exact"/>
                    <w:jc w:val="center"/>
                    <w:textAlignment w:val="baseline"/>
                    <w:rPr>
                      <w:rFonts w:ascii="Times New Roman" w:hAnsi="Times New Roman" w:eastAsia="宋体" w:cs="Times New Roman"/>
                      <w:snapToGrid w:val="0"/>
                      <w:color w:val="auto"/>
                      <w:spacing w:val="4"/>
                      <w:kern w:val="0"/>
                      <w:szCs w:val="21"/>
                    </w:rPr>
                  </w:pPr>
                  <w:r>
                    <w:rPr>
                      <w:rFonts w:hint="default" w:ascii="Times New Roman" w:hAnsi="Times New Roman" w:eastAsia="宋体" w:cs="Times New Roman"/>
                      <w:snapToGrid w:val="0"/>
                      <w:color w:val="auto"/>
                      <w:spacing w:val="4"/>
                      <w:kern w:val="0"/>
                      <w:szCs w:val="21"/>
                      <w:lang w:val="en-US" w:eastAsia="zh-CN"/>
                    </w:rPr>
                    <w:t>0.0058</w:t>
                  </w:r>
                </w:p>
              </w:tc>
            </w:tr>
            <w:tr w14:paraId="17B6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80" w:type="pct"/>
                  <w:vAlign w:val="center"/>
                </w:tcPr>
                <w:p w14:paraId="6DD2A228">
                  <w:pPr>
                    <w:numPr>
                      <w:ilvl w:val="0"/>
                      <w:numId w:val="27"/>
                    </w:numPr>
                    <w:adjustRightInd w:val="0"/>
                    <w:snapToGrid w:val="0"/>
                    <w:jc w:val="center"/>
                    <w:rPr>
                      <w:color w:val="auto"/>
                      <w:kern w:val="0"/>
                      <w:szCs w:val="21"/>
                    </w:rPr>
                  </w:pPr>
                </w:p>
              </w:tc>
              <w:tc>
                <w:tcPr>
                  <w:tcW w:w="4191" w:type="pct"/>
                  <w:gridSpan w:val="6"/>
                  <w:vAlign w:val="center"/>
                </w:tcPr>
                <w:p w14:paraId="44A3D716">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合计</w:t>
                  </w:r>
                </w:p>
              </w:tc>
              <w:tc>
                <w:tcPr>
                  <w:tcW w:w="528" w:type="pct"/>
                  <w:vAlign w:val="center"/>
                </w:tcPr>
                <w:p w14:paraId="5C7F38E3">
                  <w:pPr>
                    <w:widowControl/>
                    <w:kinsoku w:val="0"/>
                    <w:autoSpaceDE w:val="0"/>
                    <w:autoSpaceDN w:val="0"/>
                    <w:adjustRightInd w:val="0"/>
                    <w:snapToGrid w:val="0"/>
                    <w:spacing w:line="300" w:lineRule="exact"/>
                    <w:jc w:val="center"/>
                    <w:textAlignment w:val="baseline"/>
                    <w:rPr>
                      <w:rFonts w:ascii="Times New Roman" w:hAnsi="Times New Roman" w:eastAsia="宋体" w:cs="Times New Roman"/>
                      <w:snapToGrid w:val="0"/>
                      <w:color w:val="auto"/>
                      <w:spacing w:val="4"/>
                      <w:kern w:val="0"/>
                      <w:szCs w:val="21"/>
                    </w:rPr>
                  </w:pPr>
                  <w:r>
                    <w:rPr>
                      <w:rFonts w:hint="eastAsia" w:ascii="Times New Roman" w:hAnsi="Times New Roman" w:eastAsia="宋体" w:cs="Times New Roman"/>
                      <w:snapToGrid w:val="0"/>
                      <w:color w:val="auto"/>
                      <w:spacing w:val="4"/>
                      <w:kern w:val="0"/>
                      <w:szCs w:val="21"/>
                      <w:lang w:val="en-US" w:eastAsia="zh-CN"/>
                    </w:rPr>
                    <w:t>0.0417</w:t>
                  </w:r>
                </w:p>
              </w:tc>
            </w:tr>
            <w:tr w14:paraId="1E35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80" w:type="pct"/>
                  <w:vAlign w:val="center"/>
                </w:tcPr>
                <w:p w14:paraId="475EDCB4">
                  <w:pPr>
                    <w:numPr>
                      <w:ilvl w:val="0"/>
                      <w:numId w:val="27"/>
                    </w:numPr>
                    <w:adjustRightInd w:val="0"/>
                    <w:snapToGrid w:val="0"/>
                    <w:jc w:val="center"/>
                    <w:rPr>
                      <w:color w:val="auto"/>
                      <w:kern w:val="0"/>
                      <w:szCs w:val="21"/>
                    </w:rPr>
                  </w:pPr>
                </w:p>
              </w:tc>
              <w:tc>
                <w:tcPr>
                  <w:tcW w:w="4719" w:type="pct"/>
                  <w:gridSpan w:val="7"/>
                  <w:vAlign w:val="center"/>
                </w:tcPr>
                <w:p w14:paraId="1D45B245">
                  <w:pPr>
                    <w:widowControl/>
                    <w:kinsoku w:val="0"/>
                    <w:autoSpaceDE w:val="0"/>
                    <w:autoSpaceDN w:val="0"/>
                    <w:adjustRightInd w:val="0"/>
                    <w:snapToGrid w:val="0"/>
                    <w:spacing w:line="300" w:lineRule="exact"/>
                    <w:jc w:val="left"/>
                    <w:textAlignment w:val="baseline"/>
                    <w:rPr>
                      <w:snapToGrid w:val="0"/>
                      <w:color w:val="auto"/>
                      <w:spacing w:val="4"/>
                      <w:kern w:val="0"/>
                      <w:szCs w:val="21"/>
                    </w:rPr>
                  </w:pPr>
                  <w:r>
                    <w:rPr>
                      <w:snapToGrid w:val="0"/>
                      <w:color w:val="auto"/>
                      <w:spacing w:val="4"/>
                      <w:kern w:val="0"/>
                      <w:szCs w:val="21"/>
                    </w:rPr>
                    <w:t>注：1、临界量首先根据（HJ169-2018附录B）表B.1判别，如未列入表B.1，则根据物质急性毒害危害分类类别，对照表B.2判别。</w:t>
                  </w:r>
                </w:p>
                <w:p w14:paraId="15D4C27B">
                  <w:pPr>
                    <w:widowControl/>
                    <w:kinsoku w:val="0"/>
                    <w:autoSpaceDE w:val="0"/>
                    <w:autoSpaceDN w:val="0"/>
                    <w:adjustRightInd w:val="0"/>
                    <w:snapToGrid w:val="0"/>
                    <w:spacing w:line="300" w:lineRule="exact"/>
                    <w:jc w:val="left"/>
                    <w:textAlignment w:val="baseline"/>
                    <w:rPr>
                      <w:snapToGrid w:val="0"/>
                      <w:color w:val="auto"/>
                      <w:spacing w:val="4"/>
                      <w:kern w:val="0"/>
                      <w:szCs w:val="21"/>
                    </w:rPr>
                  </w:pPr>
                  <w:r>
                    <w:rPr>
                      <w:snapToGrid w:val="0"/>
                      <w:color w:val="auto"/>
                      <w:spacing w:val="4"/>
                      <w:kern w:val="0"/>
                      <w:szCs w:val="21"/>
                    </w:rPr>
                    <w:t>2、其中各产品和危险废物的临界量均选取“健康危险急性毒性物质（类别2、3）的临界量“50</w:t>
                  </w:r>
                  <w:r>
                    <w:rPr>
                      <w:rStyle w:val="44"/>
                      <w:rFonts w:hint="eastAsia" w:asciiTheme="minorHAnsi" w:hAnsiTheme="minorHAnsi" w:eastAsiaTheme="minorEastAsia" w:cstheme="minorBidi"/>
                      <w:color w:val="auto"/>
                      <w:szCs w:val="22"/>
                      <w:lang w:val="en-US" w:eastAsia="zh-CN"/>
                    </w:rPr>
                    <w:t>t</w:t>
                  </w:r>
                  <w:r>
                    <w:rPr>
                      <w:snapToGrid w:val="0"/>
                      <w:color w:val="auto"/>
                      <w:spacing w:val="4"/>
                      <w:kern w:val="0"/>
                      <w:szCs w:val="21"/>
                    </w:rPr>
                    <w:t>”计。</w:t>
                  </w:r>
                </w:p>
              </w:tc>
            </w:tr>
          </w:tbl>
          <w:p w14:paraId="0CFEDCAD">
            <w:pPr>
              <w:adjustRightInd w:val="0"/>
              <w:snapToGrid w:val="0"/>
              <w:spacing w:line="360" w:lineRule="auto"/>
              <w:ind w:firstLine="480" w:firstLineChars="200"/>
              <w:rPr>
                <w:color w:val="auto"/>
                <w:sz w:val="24"/>
                <w:szCs w:val="24"/>
              </w:rPr>
            </w:pPr>
            <w:r>
              <w:rPr>
                <w:color w:val="auto"/>
                <w:sz w:val="24"/>
                <w:szCs w:val="24"/>
              </w:rPr>
              <w:t>本项目环境风险物质最大存储量与临界量</w:t>
            </w:r>
            <w:r>
              <w:rPr>
                <w:rFonts w:hint="default" w:ascii="Times New Roman" w:hAnsi="Times New Roman" w:cs="Times New Roman"/>
                <w:color w:val="auto"/>
                <w:sz w:val="24"/>
                <w:szCs w:val="24"/>
              </w:rPr>
              <w:t>Q=</w:t>
            </w:r>
            <w:r>
              <w:rPr>
                <w:rFonts w:hint="default" w:ascii="Times New Roman" w:hAnsi="Times New Roman" w:cs="Times New Roman"/>
                <w:color w:val="auto"/>
                <w:sz w:val="24"/>
                <w:szCs w:val="24"/>
                <w:lang w:eastAsia="zh-CN"/>
              </w:rPr>
              <w:t>0.0417</w:t>
            </w:r>
            <w:r>
              <w:rPr>
                <w:rFonts w:hint="default" w:ascii="Times New Roman" w:hAnsi="Times New Roman" w:cs="Times New Roman"/>
                <w:color w:val="auto"/>
                <w:sz w:val="24"/>
                <w:szCs w:val="24"/>
              </w:rPr>
              <w:t>＜1，项目环境风险潜势为Ⅰ，</w:t>
            </w:r>
            <w:r>
              <w:rPr>
                <w:color w:val="auto"/>
                <w:sz w:val="24"/>
                <w:szCs w:val="24"/>
              </w:rPr>
              <w:t>无需设置风险专章。</w:t>
            </w:r>
          </w:p>
          <w:p w14:paraId="2864A008">
            <w:pPr>
              <w:adjustRightInd w:val="0"/>
              <w:snapToGrid w:val="0"/>
              <w:spacing w:line="360" w:lineRule="auto"/>
              <w:ind w:firstLine="480" w:firstLineChars="200"/>
              <w:rPr>
                <w:color w:val="auto"/>
                <w:sz w:val="24"/>
                <w:szCs w:val="24"/>
              </w:rPr>
            </w:pPr>
            <w:r>
              <w:rPr>
                <w:color w:val="auto"/>
                <w:sz w:val="24"/>
                <w:szCs w:val="24"/>
              </w:rPr>
              <w:t>（3）环境影响途径</w:t>
            </w:r>
          </w:p>
          <w:p w14:paraId="375C1BD0">
            <w:pPr>
              <w:adjustRightInd w:val="0"/>
              <w:snapToGrid w:val="0"/>
              <w:spacing w:line="360" w:lineRule="auto"/>
              <w:ind w:firstLine="480" w:firstLineChars="200"/>
              <w:rPr>
                <w:color w:val="auto"/>
                <w:sz w:val="24"/>
                <w:szCs w:val="24"/>
              </w:rPr>
            </w:pPr>
            <w:r>
              <w:rPr>
                <w:color w:val="auto"/>
                <w:sz w:val="24"/>
                <w:szCs w:val="24"/>
              </w:rPr>
              <w:t>综合本项目使用的原辅材料、工艺流程、生产装置及产生的“三废”，可得出本项目将产生的环境风险为危化品物料泄漏及设备运行时可能引起的火灾事故而引起的次生灾害，风险识别见下表。</w:t>
            </w:r>
          </w:p>
          <w:p w14:paraId="63A3CA49">
            <w:pPr>
              <w:spacing w:line="360" w:lineRule="auto"/>
              <w:jc w:val="center"/>
              <w:rPr>
                <w:color w:val="auto"/>
                <w:sz w:val="24"/>
                <w:szCs w:val="24"/>
              </w:rPr>
            </w:pPr>
            <w:r>
              <w:rPr>
                <w:b/>
                <w:bCs/>
                <w:color w:val="auto"/>
                <w:kern w:val="0"/>
                <w:sz w:val="24"/>
                <w:szCs w:val="24"/>
              </w:rPr>
              <w:t>表</w:t>
            </w:r>
            <w:r>
              <w:rPr>
                <w:b/>
                <w:bCs/>
                <w:color w:val="auto"/>
                <w:kern w:val="0"/>
                <w:sz w:val="24"/>
                <w:szCs w:val="24"/>
              </w:rPr>
              <w:fldChar w:fldCharType="begin"/>
            </w:r>
            <w:r>
              <w:rPr>
                <w:b/>
                <w:bCs/>
                <w:color w:val="auto"/>
                <w:kern w:val="0"/>
                <w:sz w:val="24"/>
                <w:szCs w:val="24"/>
              </w:rPr>
              <w:instrText xml:space="preserve"> SEQ 表 \* ARABIC </w:instrText>
            </w:r>
            <w:r>
              <w:rPr>
                <w:b/>
                <w:bCs/>
                <w:color w:val="auto"/>
                <w:kern w:val="0"/>
                <w:sz w:val="24"/>
                <w:szCs w:val="24"/>
              </w:rPr>
              <w:fldChar w:fldCharType="separate"/>
            </w:r>
            <w:r>
              <w:rPr>
                <w:b/>
                <w:bCs/>
                <w:color w:val="auto"/>
                <w:kern w:val="0"/>
                <w:sz w:val="24"/>
                <w:szCs w:val="24"/>
              </w:rPr>
              <w:t>55</w:t>
            </w:r>
            <w:r>
              <w:rPr>
                <w:b/>
                <w:bCs/>
                <w:color w:val="auto"/>
                <w:kern w:val="0"/>
                <w:sz w:val="24"/>
                <w:szCs w:val="24"/>
              </w:rPr>
              <w:fldChar w:fldCharType="end"/>
            </w:r>
            <w:r>
              <w:rPr>
                <w:b/>
                <w:bCs/>
                <w:color w:val="auto"/>
                <w:sz w:val="24"/>
                <w:szCs w:val="24"/>
                <w:lang w:bidi="ar"/>
              </w:rPr>
              <w:t xml:space="preserve"> </w:t>
            </w:r>
            <w:r>
              <w:rPr>
                <w:b/>
                <w:bCs/>
                <w:color w:val="auto"/>
                <w:sz w:val="24"/>
                <w:szCs w:val="24"/>
              </w:rPr>
              <w:t xml:space="preserve"> </w:t>
            </w:r>
            <w:r>
              <w:rPr>
                <w:b/>
                <w:color w:val="auto"/>
                <w:sz w:val="24"/>
                <w:szCs w:val="24"/>
              </w:rPr>
              <w:t>本项目环境风险识别表</w:t>
            </w:r>
          </w:p>
          <w:tbl>
            <w:tblPr>
              <w:tblStyle w:val="37"/>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6"/>
              <w:gridCol w:w="1154"/>
              <w:gridCol w:w="1400"/>
              <w:gridCol w:w="1101"/>
              <w:gridCol w:w="1947"/>
              <w:gridCol w:w="1947"/>
            </w:tblGrid>
            <w:tr w14:paraId="32283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482" w:type="pct"/>
                  <w:vAlign w:val="center"/>
                </w:tcPr>
                <w:p w14:paraId="1D94368D">
                  <w:pPr>
                    <w:pStyle w:val="125"/>
                    <w:spacing w:before="20" w:after="20"/>
                    <w:rPr>
                      <w:rFonts w:ascii="Times New Roman" w:hAnsi="Times New Roman" w:cs="Times New Roman"/>
                      <w:b/>
                      <w:color w:val="auto"/>
                      <w:szCs w:val="21"/>
                    </w:rPr>
                  </w:pPr>
                  <w:r>
                    <w:rPr>
                      <w:rFonts w:ascii="Times New Roman" w:hAnsi="Times New Roman" w:cs="Times New Roman"/>
                      <w:b/>
                      <w:color w:val="auto"/>
                      <w:szCs w:val="21"/>
                    </w:rPr>
                    <w:t>事故起因</w:t>
                  </w:r>
                </w:p>
              </w:tc>
              <w:tc>
                <w:tcPr>
                  <w:tcW w:w="690" w:type="pct"/>
                  <w:vAlign w:val="center"/>
                </w:tcPr>
                <w:p w14:paraId="59FD8581">
                  <w:pPr>
                    <w:pStyle w:val="125"/>
                    <w:spacing w:before="20" w:after="20"/>
                    <w:rPr>
                      <w:rFonts w:ascii="Times New Roman" w:hAnsi="Times New Roman" w:cs="Times New Roman"/>
                      <w:b/>
                      <w:color w:val="auto"/>
                      <w:szCs w:val="21"/>
                    </w:rPr>
                  </w:pPr>
                  <w:r>
                    <w:rPr>
                      <w:rFonts w:ascii="Times New Roman" w:hAnsi="Times New Roman" w:cs="Times New Roman"/>
                      <w:b/>
                      <w:color w:val="auto"/>
                      <w:szCs w:val="21"/>
                    </w:rPr>
                    <w:t>环境风险描述</w:t>
                  </w:r>
                </w:p>
              </w:tc>
              <w:tc>
                <w:tcPr>
                  <w:tcW w:w="837" w:type="pct"/>
                  <w:vAlign w:val="center"/>
                </w:tcPr>
                <w:p w14:paraId="6DF78E3C">
                  <w:pPr>
                    <w:pStyle w:val="125"/>
                    <w:spacing w:before="20" w:after="20"/>
                    <w:rPr>
                      <w:rFonts w:ascii="Times New Roman" w:hAnsi="Times New Roman" w:cs="Times New Roman"/>
                      <w:b/>
                      <w:color w:val="auto"/>
                      <w:szCs w:val="21"/>
                    </w:rPr>
                  </w:pPr>
                  <w:r>
                    <w:rPr>
                      <w:rFonts w:ascii="Times New Roman" w:hAnsi="Times New Roman" w:cs="Times New Roman"/>
                      <w:b/>
                      <w:color w:val="auto"/>
                      <w:szCs w:val="21"/>
                    </w:rPr>
                    <w:t>危险物质</w:t>
                  </w:r>
                </w:p>
              </w:tc>
              <w:tc>
                <w:tcPr>
                  <w:tcW w:w="659" w:type="pct"/>
                  <w:vAlign w:val="center"/>
                </w:tcPr>
                <w:p w14:paraId="4D1894F9">
                  <w:pPr>
                    <w:pStyle w:val="125"/>
                    <w:spacing w:before="20" w:after="20"/>
                    <w:rPr>
                      <w:rFonts w:ascii="Times New Roman" w:hAnsi="Times New Roman" w:cs="Times New Roman"/>
                      <w:b/>
                      <w:color w:val="auto"/>
                      <w:szCs w:val="21"/>
                    </w:rPr>
                  </w:pPr>
                  <w:r>
                    <w:rPr>
                      <w:rFonts w:ascii="Times New Roman" w:hAnsi="Times New Roman" w:cs="Times New Roman"/>
                      <w:b/>
                      <w:color w:val="auto"/>
                      <w:szCs w:val="21"/>
                    </w:rPr>
                    <w:t>环境风险类型</w:t>
                  </w:r>
                </w:p>
              </w:tc>
              <w:tc>
                <w:tcPr>
                  <w:tcW w:w="1165" w:type="pct"/>
                  <w:vAlign w:val="center"/>
                </w:tcPr>
                <w:p w14:paraId="4317F3FE">
                  <w:pPr>
                    <w:pStyle w:val="125"/>
                    <w:spacing w:before="20" w:after="20"/>
                    <w:rPr>
                      <w:rFonts w:ascii="Times New Roman" w:hAnsi="Times New Roman" w:cs="Times New Roman"/>
                      <w:b/>
                      <w:color w:val="auto"/>
                      <w:szCs w:val="21"/>
                    </w:rPr>
                  </w:pPr>
                  <w:r>
                    <w:rPr>
                      <w:rFonts w:ascii="Times New Roman" w:hAnsi="Times New Roman" w:cs="Times New Roman"/>
                      <w:b/>
                      <w:color w:val="auto"/>
                      <w:szCs w:val="21"/>
                    </w:rPr>
                    <w:t>环境影响途径</w:t>
                  </w:r>
                </w:p>
              </w:tc>
              <w:tc>
                <w:tcPr>
                  <w:tcW w:w="1165" w:type="pct"/>
                  <w:vAlign w:val="center"/>
                </w:tcPr>
                <w:p w14:paraId="08F82175">
                  <w:pPr>
                    <w:pStyle w:val="125"/>
                    <w:spacing w:before="20" w:after="20"/>
                    <w:rPr>
                      <w:rFonts w:ascii="Times New Roman" w:hAnsi="Times New Roman" w:cs="Times New Roman"/>
                      <w:b/>
                      <w:color w:val="auto"/>
                      <w:szCs w:val="21"/>
                    </w:rPr>
                  </w:pPr>
                  <w:r>
                    <w:rPr>
                      <w:rFonts w:ascii="Times New Roman" w:hAnsi="Times New Roman" w:cs="Times New Roman"/>
                      <w:b/>
                      <w:color w:val="auto"/>
                      <w:szCs w:val="21"/>
                    </w:rPr>
                    <w:t>风险单元</w:t>
                  </w:r>
                </w:p>
              </w:tc>
            </w:tr>
            <w:tr w14:paraId="2DCF8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82" w:type="pct"/>
                  <w:vAlign w:val="center"/>
                </w:tcPr>
                <w:p w14:paraId="4B1C127F">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危险物质泄漏</w:t>
                  </w:r>
                </w:p>
              </w:tc>
              <w:tc>
                <w:tcPr>
                  <w:tcW w:w="690" w:type="pct"/>
                  <w:vAlign w:val="center"/>
                </w:tcPr>
                <w:p w14:paraId="0EFE5ECB">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危险物质泄漏污染地表水及地下水</w:t>
                  </w:r>
                </w:p>
              </w:tc>
              <w:tc>
                <w:tcPr>
                  <w:tcW w:w="837" w:type="pct"/>
                  <w:vAlign w:val="center"/>
                </w:tcPr>
                <w:p w14:paraId="4F873E41">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农药原药、煤油、废活性炭等</w:t>
                  </w:r>
                </w:p>
              </w:tc>
              <w:tc>
                <w:tcPr>
                  <w:tcW w:w="659" w:type="pct"/>
                  <w:vAlign w:val="center"/>
                </w:tcPr>
                <w:p w14:paraId="126C1969">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地表水、地下水、土壤环境</w:t>
                  </w:r>
                </w:p>
              </w:tc>
              <w:tc>
                <w:tcPr>
                  <w:tcW w:w="1165" w:type="pct"/>
                  <w:vAlign w:val="center"/>
                </w:tcPr>
                <w:p w14:paraId="581783CB">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随管道排放到周边地表水体或泄漏下渗</w:t>
                  </w:r>
                </w:p>
              </w:tc>
              <w:tc>
                <w:tcPr>
                  <w:tcW w:w="1165" w:type="pct"/>
                  <w:vAlign w:val="center"/>
                </w:tcPr>
                <w:p w14:paraId="1927FADC">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原料仓、原药仓、危废暂存间、搅拌房</w:t>
                  </w:r>
                </w:p>
              </w:tc>
            </w:tr>
            <w:tr w14:paraId="2EFBB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482" w:type="pct"/>
                  <w:vAlign w:val="center"/>
                </w:tcPr>
                <w:p w14:paraId="0D04987B">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废气治理设施故障</w:t>
                  </w:r>
                </w:p>
              </w:tc>
              <w:tc>
                <w:tcPr>
                  <w:tcW w:w="690" w:type="pct"/>
                  <w:vAlign w:val="center"/>
                </w:tcPr>
                <w:p w14:paraId="045A4C74">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废气治理设施故障，导致废气超标排放</w:t>
                  </w:r>
                </w:p>
              </w:tc>
              <w:tc>
                <w:tcPr>
                  <w:tcW w:w="837" w:type="pct"/>
                  <w:vAlign w:val="center"/>
                </w:tcPr>
                <w:p w14:paraId="1733A03C">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非甲烷总烃</w:t>
                  </w:r>
                </w:p>
              </w:tc>
              <w:tc>
                <w:tcPr>
                  <w:tcW w:w="659" w:type="pct"/>
                  <w:vAlign w:val="center"/>
                </w:tcPr>
                <w:p w14:paraId="3296EA13">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大气环境</w:t>
                  </w:r>
                </w:p>
              </w:tc>
              <w:tc>
                <w:tcPr>
                  <w:tcW w:w="1165" w:type="pct"/>
                  <w:vAlign w:val="center"/>
                </w:tcPr>
                <w:p w14:paraId="629EB14B">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对周围大气环境造成短时污染</w:t>
                  </w:r>
                </w:p>
              </w:tc>
              <w:tc>
                <w:tcPr>
                  <w:tcW w:w="1165" w:type="pct"/>
                  <w:vAlign w:val="center"/>
                </w:tcPr>
                <w:p w14:paraId="7D0474A4">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废气治理设施</w:t>
                  </w:r>
                </w:p>
              </w:tc>
            </w:tr>
            <w:tr w14:paraId="3B304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482" w:type="pct"/>
                  <w:vMerge w:val="restart"/>
                  <w:vAlign w:val="center"/>
                </w:tcPr>
                <w:p w14:paraId="095ECA10">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火灾、爆炸</w:t>
                  </w:r>
                </w:p>
              </w:tc>
              <w:tc>
                <w:tcPr>
                  <w:tcW w:w="690" w:type="pct"/>
                  <w:vAlign w:val="center"/>
                </w:tcPr>
                <w:p w14:paraId="147A7CB7">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燃烧烟尘及污染物污染周围大气环境</w:t>
                  </w:r>
                </w:p>
              </w:tc>
              <w:tc>
                <w:tcPr>
                  <w:tcW w:w="837" w:type="pct"/>
                  <w:vAlign w:val="center"/>
                </w:tcPr>
                <w:p w14:paraId="3A0F3519">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CO、颗粒物</w:t>
                  </w:r>
                </w:p>
              </w:tc>
              <w:tc>
                <w:tcPr>
                  <w:tcW w:w="659" w:type="pct"/>
                  <w:vAlign w:val="center"/>
                </w:tcPr>
                <w:p w14:paraId="7474D7E5">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大气环境</w:t>
                  </w:r>
                </w:p>
              </w:tc>
              <w:tc>
                <w:tcPr>
                  <w:tcW w:w="1165" w:type="pct"/>
                  <w:vAlign w:val="center"/>
                </w:tcPr>
                <w:p w14:paraId="418B67E6">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通过燃烧烟气扩散，对周围大气环境造成短时污染</w:t>
                  </w:r>
                </w:p>
              </w:tc>
              <w:tc>
                <w:tcPr>
                  <w:tcW w:w="1165" w:type="pct"/>
                  <w:vAlign w:val="center"/>
                </w:tcPr>
                <w:p w14:paraId="1C1DB833">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生产车间</w:t>
                  </w:r>
                </w:p>
              </w:tc>
            </w:tr>
            <w:tr w14:paraId="197E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482" w:type="pct"/>
                  <w:vMerge w:val="continue"/>
                  <w:vAlign w:val="center"/>
                </w:tcPr>
                <w:p w14:paraId="4637DF4C">
                  <w:pPr>
                    <w:pStyle w:val="125"/>
                    <w:spacing w:before="20" w:after="20"/>
                    <w:rPr>
                      <w:rFonts w:ascii="Times New Roman" w:hAnsi="Times New Roman" w:cs="Times New Roman"/>
                      <w:color w:val="auto"/>
                      <w:szCs w:val="21"/>
                    </w:rPr>
                  </w:pPr>
                </w:p>
              </w:tc>
              <w:tc>
                <w:tcPr>
                  <w:tcW w:w="690" w:type="pct"/>
                  <w:vAlign w:val="center"/>
                </w:tcPr>
                <w:p w14:paraId="687E4637">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消防废水进入附近水体</w:t>
                  </w:r>
                </w:p>
              </w:tc>
              <w:tc>
                <w:tcPr>
                  <w:tcW w:w="837" w:type="pct"/>
                  <w:vAlign w:val="center"/>
                </w:tcPr>
                <w:p w14:paraId="4F58A37E">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CODcr、氨氮、SS等</w:t>
                  </w:r>
                </w:p>
              </w:tc>
              <w:tc>
                <w:tcPr>
                  <w:tcW w:w="659" w:type="pct"/>
                  <w:vAlign w:val="center"/>
                </w:tcPr>
                <w:p w14:paraId="1684E7C0">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地表水环境、地下水环境</w:t>
                  </w:r>
                </w:p>
              </w:tc>
              <w:tc>
                <w:tcPr>
                  <w:tcW w:w="1165" w:type="pct"/>
                  <w:vAlign w:val="center"/>
                </w:tcPr>
                <w:p w14:paraId="03BB7577">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通过雨水管对附近内河涌水质造成影响</w:t>
                  </w:r>
                </w:p>
              </w:tc>
              <w:tc>
                <w:tcPr>
                  <w:tcW w:w="1165" w:type="pct"/>
                  <w:vAlign w:val="center"/>
                </w:tcPr>
                <w:p w14:paraId="4995F8FF">
                  <w:pPr>
                    <w:pStyle w:val="125"/>
                    <w:spacing w:before="20" w:after="20"/>
                    <w:rPr>
                      <w:rFonts w:ascii="Times New Roman" w:hAnsi="Times New Roman" w:cs="Times New Roman"/>
                      <w:color w:val="auto"/>
                      <w:szCs w:val="21"/>
                    </w:rPr>
                  </w:pPr>
                  <w:r>
                    <w:rPr>
                      <w:rFonts w:ascii="Times New Roman" w:hAnsi="Times New Roman" w:cs="Times New Roman"/>
                      <w:color w:val="auto"/>
                      <w:szCs w:val="21"/>
                    </w:rPr>
                    <w:t>生产车间</w:t>
                  </w:r>
                </w:p>
              </w:tc>
            </w:tr>
          </w:tbl>
          <w:p w14:paraId="19818F5F">
            <w:pPr>
              <w:adjustRightInd w:val="0"/>
              <w:snapToGrid w:val="0"/>
              <w:spacing w:line="360" w:lineRule="auto"/>
              <w:ind w:firstLine="480" w:firstLineChars="200"/>
              <w:rPr>
                <w:color w:val="auto"/>
                <w:sz w:val="24"/>
                <w:szCs w:val="24"/>
              </w:rPr>
            </w:pPr>
            <w:r>
              <w:rPr>
                <w:color w:val="auto"/>
                <w:sz w:val="24"/>
                <w:szCs w:val="24"/>
              </w:rPr>
              <w:t>（4）环境风险防范措施及应急要求</w:t>
            </w:r>
          </w:p>
          <w:p w14:paraId="1A65F6EC">
            <w:pPr>
              <w:adjustRightInd w:val="0"/>
              <w:snapToGrid w:val="0"/>
              <w:spacing w:line="360" w:lineRule="auto"/>
              <w:ind w:firstLine="480" w:firstLineChars="200"/>
              <w:rPr>
                <w:color w:val="auto"/>
                <w:sz w:val="24"/>
                <w:szCs w:val="24"/>
              </w:rPr>
            </w:pPr>
            <w:r>
              <w:rPr>
                <w:color w:val="auto"/>
                <w:sz w:val="24"/>
                <w:szCs w:val="24"/>
              </w:rPr>
              <w:t>应急要求：</w:t>
            </w:r>
          </w:p>
          <w:p w14:paraId="54BE732E">
            <w:pPr>
              <w:adjustRightInd w:val="0"/>
              <w:snapToGrid w:val="0"/>
              <w:spacing w:line="360" w:lineRule="auto"/>
              <w:ind w:firstLine="480" w:firstLineChars="200"/>
              <w:rPr>
                <w:color w:val="auto"/>
                <w:sz w:val="24"/>
                <w:szCs w:val="24"/>
              </w:rPr>
            </w:pPr>
            <w:r>
              <w:rPr>
                <w:rFonts w:hint="eastAsia" w:ascii="宋体" w:hAnsi="宋体" w:cs="宋体"/>
                <w:color w:val="auto"/>
                <w:sz w:val="24"/>
                <w:szCs w:val="24"/>
              </w:rPr>
              <w:t>①</w:t>
            </w:r>
            <w:r>
              <w:rPr>
                <w:color w:val="auto"/>
                <w:sz w:val="24"/>
                <w:szCs w:val="24"/>
              </w:rPr>
              <w:t>严格执行应急管理、消防等相关规范，从总图布置和建筑安全方面进行风险防范，预留疏散通道或安置场所。</w:t>
            </w:r>
          </w:p>
          <w:p w14:paraId="29559570">
            <w:pPr>
              <w:adjustRightInd w:val="0"/>
              <w:snapToGrid w:val="0"/>
              <w:spacing w:line="360" w:lineRule="auto"/>
              <w:ind w:firstLine="480" w:firstLineChars="200"/>
              <w:rPr>
                <w:color w:val="auto"/>
                <w:sz w:val="24"/>
                <w:szCs w:val="24"/>
              </w:rPr>
            </w:pPr>
            <w:r>
              <w:rPr>
                <w:rFonts w:hint="eastAsia" w:ascii="宋体" w:hAnsi="宋体" w:cs="宋体"/>
                <w:color w:val="auto"/>
                <w:sz w:val="24"/>
                <w:szCs w:val="24"/>
              </w:rPr>
              <w:t>②</w:t>
            </w:r>
            <w:r>
              <w:rPr>
                <w:color w:val="auto"/>
                <w:sz w:val="24"/>
                <w:szCs w:val="24"/>
              </w:rPr>
              <w:t>从优化改进生产工艺、减少储存量、改善储存条件等方面降低风险程度。</w:t>
            </w:r>
          </w:p>
          <w:p w14:paraId="5352A87A">
            <w:pPr>
              <w:adjustRightInd w:val="0"/>
              <w:snapToGrid w:val="0"/>
              <w:spacing w:line="360" w:lineRule="auto"/>
              <w:ind w:firstLine="480" w:firstLineChars="200"/>
              <w:rPr>
                <w:color w:val="auto"/>
                <w:sz w:val="24"/>
                <w:szCs w:val="24"/>
              </w:rPr>
            </w:pPr>
            <w:r>
              <w:rPr>
                <w:rFonts w:hint="eastAsia" w:ascii="宋体" w:hAnsi="宋体" w:cs="宋体"/>
                <w:color w:val="auto"/>
                <w:sz w:val="24"/>
                <w:szCs w:val="24"/>
              </w:rPr>
              <w:t>③</w:t>
            </w:r>
            <w:r>
              <w:rPr>
                <w:color w:val="auto"/>
                <w:sz w:val="24"/>
                <w:szCs w:val="24"/>
              </w:rPr>
              <w:t>加强日常管理，降低管理失误而出现的风险事故，提高员工规范性操作水平，减少误操作引发的风险事故。</w:t>
            </w:r>
          </w:p>
          <w:p w14:paraId="25163267">
            <w:pPr>
              <w:adjustRightInd w:val="0"/>
              <w:snapToGrid w:val="0"/>
              <w:spacing w:line="360" w:lineRule="auto"/>
              <w:ind w:firstLine="480" w:firstLineChars="200"/>
              <w:rPr>
                <w:color w:val="auto"/>
                <w:sz w:val="24"/>
                <w:szCs w:val="24"/>
              </w:rPr>
            </w:pPr>
            <w:r>
              <w:rPr>
                <w:rFonts w:hint="eastAsia" w:ascii="宋体" w:hAnsi="宋体" w:cs="宋体"/>
                <w:color w:val="auto"/>
                <w:sz w:val="24"/>
                <w:szCs w:val="24"/>
              </w:rPr>
              <w:t>④</w:t>
            </w:r>
            <w:r>
              <w:rPr>
                <w:color w:val="auto"/>
                <w:sz w:val="24"/>
                <w:szCs w:val="24"/>
              </w:rPr>
              <w:t>根据贮存的相关要求进行贮存、使用，设置满足要求的围堰区。遵循“源头控制，分区防渗”的原则，做好仓库、车间、危废暂存间的防渗措施，满足相应标准要求</w:t>
            </w:r>
            <w:r>
              <w:rPr>
                <w:bCs/>
                <w:color w:val="auto"/>
                <w:sz w:val="24"/>
                <w:szCs w:val="24"/>
              </w:rPr>
              <w:t>。</w:t>
            </w:r>
            <w:r>
              <w:rPr>
                <w:color w:val="auto"/>
                <w:sz w:val="24"/>
                <w:szCs w:val="24"/>
              </w:rPr>
              <w:t>危废间在建筑物内部，</w:t>
            </w:r>
            <w:r>
              <w:rPr>
                <w:bCs/>
                <w:color w:val="auto"/>
                <w:sz w:val="24"/>
                <w:szCs w:val="24"/>
              </w:rPr>
              <w:t>按《危险废物贮存污染控制标准》（GB18597-2023）的相关要求做好防渗措施</w:t>
            </w:r>
            <w:r>
              <w:rPr>
                <w:color w:val="auto"/>
                <w:sz w:val="24"/>
                <w:szCs w:val="24"/>
              </w:rPr>
              <w:t>，地面硬化并刷环氧树脂漆防渗，四周设置围堰，满足四防要求。</w:t>
            </w:r>
          </w:p>
          <w:p w14:paraId="5F986A57">
            <w:pPr>
              <w:wordWrap w:val="0"/>
              <w:adjustRightInd w:val="0"/>
              <w:snapToGrid w:val="0"/>
              <w:spacing w:line="360" w:lineRule="auto"/>
              <w:ind w:firstLine="480" w:firstLineChars="200"/>
              <w:rPr>
                <w:color w:val="auto"/>
                <w:sz w:val="24"/>
                <w:szCs w:val="24"/>
              </w:rPr>
            </w:pPr>
            <w:r>
              <w:rPr>
                <w:color w:val="auto"/>
                <w:sz w:val="24"/>
                <w:szCs w:val="24"/>
              </w:rPr>
              <w:t>项目风险防范措施详见下表：</w:t>
            </w:r>
          </w:p>
          <w:p w14:paraId="75346C09">
            <w:pPr>
              <w:pStyle w:val="16"/>
              <w:tabs>
                <w:tab w:val="left" w:pos="0"/>
              </w:tabs>
              <w:wordWrap w:val="0"/>
              <w:adjustRightInd w:val="0"/>
              <w:snapToGrid w:val="0"/>
              <w:spacing w:line="360" w:lineRule="auto"/>
              <w:jc w:val="center"/>
              <w:rPr>
                <w:rFonts w:ascii="Times New Roman" w:hAnsi="Times New Roman" w:eastAsia="宋体"/>
                <w:b/>
                <w:bCs/>
                <w:color w:val="auto"/>
                <w:kern w:val="0"/>
                <w:sz w:val="24"/>
                <w:szCs w:val="24"/>
              </w:rPr>
            </w:pPr>
            <w:r>
              <w:rPr>
                <w:rFonts w:ascii="Times New Roman" w:hAnsi="Times New Roman" w:eastAsia="宋体"/>
                <w:b/>
                <w:bCs/>
                <w:color w:val="auto"/>
                <w:kern w:val="0"/>
                <w:sz w:val="24"/>
                <w:szCs w:val="24"/>
              </w:rPr>
              <w:t>表</w:t>
            </w:r>
            <w:r>
              <w:rPr>
                <w:rFonts w:ascii="Times New Roman" w:hAnsi="Times New Roman" w:eastAsia="宋体"/>
                <w:b/>
                <w:bCs/>
                <w:color w:val="auto"/>
                <w:kern w:val="0"/>
                <w:sz w:val="24"/>
                <w:szCs w:val="24"/>
              </w:rPr>
              <w:fldChar w:fldCharType="begin"/>
            </w:r>
            <w:r>
              <w:rPr>
                <w:rFonts w:ascii="Times New Roman" w:hAnsi="Times New Roman" w:eastAsia="宋体"/>
                <w:b/>
                <w:bCs/>
                <w:color w:val="auto"/>
                <w:kern w:val="0"/>
                <w:sz w:val="24"/>
                <w:szCs w:val="24"/>
              </w:rPr>
              <w:instrText xml:space="preserve"> SEQ 表 \* ARABIC </w:instrText>
            </w:r>
            <w:r>
              <w:rPr>
                <w:rFonts w:ascii="Times New Roman" w:hAnsi="Times New Roman" w:eastAsia="宋体"/>
                <w:b/>
                <w:bCs/>
                <w:color w:val="auto"/>
                <w:kern w:val="0"/>
                <w:sz w:val="24"/>
                <w:szCs w:val="24"/>
              </w:rPr>
              <w:fldChar w:fldCharType="separate"/>
            </w:r>
            <w:r>
              <w:rPr>
                <w:rFonts w:ascii="Times New Roman" w:hAnsi="Times New Roman" w:eastAsia="宋体"/>
                <w:b/>
                <w:bCs/>
                <w:color w:val="auto"/>
                <w:kern w:val="0"/>
                <w:sz w:val="24"/>
                <w:szCs w:val="24"/>
              </w:rPr>
              <w:t>56</w:t>
            </w:r>
            <w:r>
              <w:rPr>
                <w:rFonts w:ascii="Times New Roman" w:hAnsi="Times New Roman" w:eastAsia="宋体"/>
                <w:b/>
                <w:bCs/>
                <w:color w:val="auto"/>
                <w:kern w:val="0"/>
                <w:sz w:val="24"/>
                <w:szCs w:val="24"/>
              </w:rPr>
              <w:fldChar w:fldCharType="end"/>
            </w:r>
            <w:r>
              <w:rPr>
                <w:rFonts w:ascii="Times New Roman" w:hAnsi="Times New Roman" w:eastAsia="宋体"/>
                <w:b/>
                <w:bCs/>
                <w:color w:val="auto"/>
                <w:kern w:val="0"/>
                <w:sz w:val="24"/>
                <w:szCs w:val="24"/>
              </w:rPr>
              <w:t>项目风险防范措施一览表</w:t>
            </w:r>
          </w:p>
          <w:tbl>
            <w:tblPr>
              <w:tblStyle w:val="38"/>
              <w:tblW w:w="8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21"/>
              <w:gridCol w:w="3279"/>
              <w:gridCol w:w="3413"/>
            </w:tblGrid>
            <w:tr w14:paraId="2005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18" w:type="dxa"/>
                  <w:gridSpan w:val="2"/>
                  <w:vAlign w:val="center"/>
                </w:tcPr>
                <w:p w14:paraId="77218CB4">
                  <w:pPr>
                    <w:wordWrap w:val="0"/>
                    <w:jc w:val="center"/>
                    <w:rPr>
                      <w:color w:val="auto"/>
                      <w:szCs w:val="21"/>
                    </w:rPr>
                  </w:pPr>
                  <w:r>
                    <w:rPr>
                      <w:color w:val="auto"/>
                      <w:szCs w:val="21"/>
                    </w:rPr>
                    <w:t>环境风险因素</w:t>
                  </w:r>
                </w:p>
              </w:tc>
              <w:tc>
                <w:tcPr>
                  <w:tcW w:w="3279" w:type="dxa"/>
                  <w:vAlign w:val="center"/>
                </w:tcPr>
                <w:p w14:paraId="5D1FC3E9">
                  <w:pPr>
                    <w:wordWrap w:val="0"/>
                    <w:jc w:val="center"/>
                    <w:rPr>
                      <w:color w:val="auto"/>
                      <w:szCs w:val="21"/>
                    </w:rPr>
                  </w:pPr>
                  <w:r>
                    <w:rPr>
                      <w:color w:val="auto"/>
                      <w:szCs w:val="21"/>
                    </w:rPr>
                    <w:t>环境风险影响</w:t>
                  </w:r>
                </w:p>
              </w:tc>
              <w:tc>
                <w:tcPr>
                  <w:tcW w:w="3413" w:type="dxa"/>
                  <w:vAlign w:val="center"/>
                </w:tcPr>
                <w:p w14:paraId="26AB987D">
                  <w:pPr>
                    <w:wordWrap w:val="0"/>
                    <w:jc w:val="center"/>
                    <w:rPr>
                      <w:color w:val="auto"/>
                      <w:szCs w:val="21"/>
                    </w:rPr>
                  </w:pPr>
                  <w:r>
                    <w:rPr>
                      <w:color w:val="auto"/>
                      <w:szCs w:val="21"/>
                    </w:rPr>
                    <w:t>风险防范措施</w:t>
                  </w:r>
                </w:p>
              </w:tc>
            </w:tr>
            <w:tr w14:paraId="0AB7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18" w:type="dxa"/>
                  <w:gridSpan w:val="2"/>
                  <w:vAlign w:val="center"/>
                </w:tcPr>
                <w:p w14:paraId="16DFA19C">
                  <w:pPr>
                    <w:wordWrap w:val="0"/>
                    <w:jc w:val="center"/>
                    <w:rPr>
                      <w:color w:val="auto"/>
                      <w:szCs w:val="21"/>
                    </w:rPr>
                  </w:pPr>
                  <w:r>
                    <w:rPr>
                      <w:color w:val="auto"/>
                      <w:szCs w:val="21"/>
                    </w:rPr>
                    <w:t>物料仓库</w:t>
                  </w:r>
                </w:p>
              </w:tc>
              <w:tc>
                <w:tcPr>
                  <w:tcW w:w="3279" w:type="dxa"/>
                  <w:vAlign w:val="center"/>
                </w:tcPr>
                <w:p w14:paraId="1C479CEA">
                  <w:pPr>
                    <w:wordWrap w:val="0"/>
                    <w:jc w:val="center"/>
                    <w:rPr>
                      <w:color w:val="auto"/>
                      <w:szCs w:val="21"/>
                    </w:rPr>
                  </w:pPr>
                  <w:r>
                    <w:rPr>
                      <w:color w:val="auto"/>
                      <w:szCs w:val="21"/>
                    </w:rPr>
                    <w:t>火灾爆炸事故次生环境事件</w:t>
                  </w:r>
                </w:p>
              </w:tc>
              <w:tc>
                <w:tcPr>
                  <w:tcW w:w="3413" w:type="dxa"/>
                  <w:vAlign w:val="center"/>
                </w:tcPr>
                <w:p w14:paraId="025B7C2D">
                  <w:pPr>
                    <w:wordWrap w:val="0"/>
                    <w:jc w:val="center"/>
                    <w:rPr>
                      <w:color w:val="auto"/>
                      <w:szCs w:val="21"/>
                    </w:rPr>
                  </w:pPr>
                  <w:r>
                    <w:rPr>
                      <w:color w:val="auto"/>
                      <w:szCs w:val="21"/>
                    </w:rPr>
                    <w:t>安排专人定期巡检，配备一定的消防、环境应急物资</w:t>
                  </w:r>
                </w:p>
              </w:tc>
            </w:tr>
            <w:tr w14:paraId="6DF7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7" w:type="dxa"/>
                  <w:vMerge w:val="restart"/>
                  <w:vAlign w:val="center"/>
                </w:tcPr>
                <w:p w14:paraId="3D17F12E">
                  <w:pPr>
                    <w:wordWrap w:val="0"/>
                    <w:jc w:val="center"/>
                    <w:rPr>
                      <w:color w:val="auto"/>
                      <w:szCs w:val="21"/>
                    </w:rPr>
                  </w:pPr>
                  <w:r>
                    <w:rPr>
                      <w:color w:val="auto"/>
                      <w:szCs w:val="21"/>
                    </w:rPr>
                    <w:t>储运工程</w:t>
                  </w:r>
                </w:p>
              </w:tc>
              <w:tc>
                <w:tcPr>
                  <w:tcW w:w="1221" w:type="dxa"/>
                  <w:vAlign w:val="center"/>
                </w:tcPr>
                <w:p w14:paraId="5A8C44A5">
                  <w:pPr>
                    <w:wordWrap w:val="0"/>
                    <w:jc w:val="center"/>
                    <w:rPr>
                      <w:color w:val="auto"/>
                      <w:szCs w:val="21"/>
                    </w:rPr>
                  </w:pPr>
                  <w:r>
                    <w:rPr>
                      <w:color w:val="auto"/>
                      <w:szCs w:val="21"/>
                    </w:rPr>
                    <w:t>原辅材料泄漏</w:t>
                  </w:r>
                </w:p>
              </w:tc>
              <w:tc>
                <w:tcPr>
                  <w:tcW w:w="3279" w:type="dxa"/>
                  <w:vAlign w:val="center"/>
                </w:tcPr>
                <w:p w14:paraId="523261C8">
                  <w:pPr>
                    <w:wordWrap w:val="0"/>
                    <w:jc w:val="center"/>
                    <w:rPr>
                      <w:color w:val="auto"/>
                      <w:szCs w:val="21"/>
                    </w:rPr>
                  </w:pPr>
                  <w:r>
                    <w:rPr>
                      <w:color w:val="auto"/>
                      <w:szCs w:val="21"/>
                    </w:rPr>
                    <w:t>原药、煤油等物质在存储、使用、转运过程中</w:t>
                  </w:r>
                </w:p>
              </w:tc>
              <w:tc>
                <w:tcPr>
                  <w:tcW w:w="3413" w:type="dxa"/>
                  <w:vAlign w:val="center"/>
                </w:tcPr>
                <w:p w14:paraId="71DE0873">
                  <w:pPr>
                    <w:wordWrap w:val="0"/>
                    <w:jc w:val="center"/>
                    <w:rPr>
                      <w:color w:val="auto"/>
                      <w:szCs w:val="21"/>
                    </w:rPr>
                  </w:pPr>
                  <w:r>
                    <w:rPr>
                      <w:color w:val="auto"/>
                      <w:szCs w:val="21"/>
                    </w:rPr>
                    <w:t>用于储存危险化学品的物料仓库进行重点防渗，并设置围堰，其余区域作一般防渗，安全操作；配备一定的环境应急物资</w:t>
                  </w:r>
                </w:p>
              </w:tc>
            </w:tr>
            <w:tr w14:paraId="49C2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7" w:type="dxa"/>
                  <w:vMerge w:val="continue"/>
                  <w:vAlign w:val="center"/>
                </w:tcPr>
                <w:p w14:paraId="3B8598DE">
                  <w:pPr>
                    <w:wordWrap w:val="0"/>
                    <w:ind w:left="240"/>
                    <w:jc w:val="center"/>
                    <w:rPr>
                      <w:color w:val="auto"/>
                      <w:szCs w:val="21"/>
                    </w:rPr>
                  </w:pPr>
                </w:p>
              </w:tc>
              <w:tc>
                <w:tcPr>
                  <w:tcW w:w="1221" w:type="dxa"/>
                  <w:vAlign w:val="center"/>
                </w:tcPr>
                <w:p w14:paraId="0F464E19">
                  <w:pPr>
                    <w:wordWrap w:val="0"/>
                    <w:jc w:val="center"/>
                    <w:rPr>
                      <w:color w:val="auto"/>
                      <w:szCs w:val="21"/>
                    </w:rPr>
                  </w:pPr>
                  <w:r>
                    <w:rPr>
                      <w:color w:val="auto"/>
                      <w:szCs w:val="21"/>
                    </w:rPr>
                    <w:t>危险废物泄漏</w:t>
                  </w:r>
                </w:p>
              </w:tc>
              <w:tc>
                <w:tcPr>
                  <w:tcW w:w="3279" w:type="dxa"/>
                  <w:vAlign w:val="center"/>
                </w:tcPr>
                <w:p w14:paraId="172ED992">
                  <w:pPr>
                    <w:wordWrap w:val="0"/>
                    <w:jc w:val="center"/>
                    <w:rPr>
                      <w:color w:val="auto"/>
                      <w:szCs w:val="21"/>
                    </w:rPr>
                  </w:pPr>
                  <w:r>
                    <w:rPr>
                      <w:color w:val="auto"/>
                      <w:szCs w:val="21"/>
                    </w:rPr>
                    <w:t>废原料桶、废活性炭等危险废物在存储、转运过程中发生泄漏事件，导致项目有毒有害物质经地表径流或管道进入周边水体或通过地表下渗污染地下水水质</w:t>
                  </w:r>
                </w:p>
              </w:tc>
              <w:tc>
                <w:tcPr>
                  <w:tcW w:w="3413" w:type="dxa"/>
                  <w:vAlign w:val="center"/>
                </w:tcPr>
                <w:p w14:paraId="7B5D6A43">
                  <w:pPr>
                    <w:wordWrap w:val="0"/>
                    <w:jc w:val="center"/>
                    <w:rPr>
                      <w:color w:val="auto"/>
                      <w:szCs w:val="21"/>
                    </w:rPr>
                  </w:pPr>
                  <w:r>
                    <w:rPr>
                      <w:color w:val="auto"/>
                      <w:szCs w:val="21"/>
                    </w:rPr>
                    <w:t>危废间进行重点防渗，安全操作配备一定的环境应急物资</w:t>
                  </w:r>
                </w:p>
              </w:tc>
            </w:tr>
            <w:tr w14:paraId="6E11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7" w:type="dxa"/>
                  <w:vAlign w:val="center"/>
                </w:tcPr>
                <w:p w14:paraId="454EFC6C">
                  <w:pPr>
                    <w:wordWrap w:val="0"/>
                    <w:jc w:val="center"/>
                    <w:rPr>
                      <w:color w:val="auto"/>
                      <w:szCs w:val="21"/>
                    </w:rPr>
                  </w:pPr>
                  <w:r>
                    <w:rPr>
                      <w:color w:val="auto"/>
                      <w:szCs w:val="21"/>
                    </w:rPr>
                    <w:t>环保工程</w:t>
                  </w:r>
                </w:p>
              </w:tc>
              <w:tc>
                <w:tcPr>
                  <w:tcW w:w="1221" w:type="dxa"/>
                  <w:vAlign w:val="center"/>
                </w:tcPr>
                <w:p w14:paraId="02368D36">
                  <w:pPr>
                    <w:wordWrap w:val="0"/>
                    <w:jc w:val="center"/>
                    <w:rPr>
                      <w:color w:val="auto"/>
                      <w:szCs w:val="21"/>
                    </w:rPr>
                  </w:pPr>
                  <w:r>
                    <w:rPr>
                      <w:color w:val="auto"/>
                      <w:szCs w:val="21"/>
                    </w:rPr>
                    <w:t>废气处理措施故障</w:t>
                  </w:r>
                </w:p>
              </w:tc>
              <w:tc>
                <w:tcPr>
                  <w:tcW w:w="3279" w:type="dxa"/>
                  <w:vAlign w:val="center"/>
                </w:tcPr>
                <w:p w14:paraId="01D3F928">
                  <w:pPr>
                    <w:wordWrap w:val="0"/>
                    <w:jc w:val="center"/>
                    <w:rPr>
                      <w:color w:val="auto"/>
                      <w:szCs w:val="21"/>
                    </w:rPr>
                  </w:pPr>
                  <w:r>
                    <w:rPr>
                      <w:color w:val="auto"/>
                      <w:szCs w:val="21"/>
                    </w:rPr>
                    <w:t>废气超标排放，影响区域大气环境</w:t>
                  </w:r>
                </w:p>
              </w:tc>
              <w:tc>
                <w:tcPr>
                  <w:tcW w:w="3413" w:type="dxa"/>
                  <w:vAlign w:val="center"/>
                </w:tcPr>
                <w:p w14:paraId="3C0A3146">
                  <w:pPr>
                    <w:wordWrap w:val="0"/>
                    <w:jc w:val="center"/>
                    <w:rPr>
                      <w:color w:val="auto"/>
                      <w:szCs w:val="21"/>
                    </w:rPr>
                  </w:pPr>
                  <w:r>
                    <w:rPr>
                      <w:color w:val="auto"/>
                      <w:szCs w:val="21"/>
                    </w:rPr>
                    <w:t>定期进行检修，及时排除故障，废气处理设施故障时及时停产检修</w:t>
                  </w:r>
                </w:p>
              </w:tc>
            </w:tr>
          </w:tbl>
          <w:p w14:paraId="24389CC2">
            <w:pPr>
              <w:adjustRightInd w:val="0"/>
              <w:snapToGrid w:val="0"/>
              <w:spacing w:line="360" w:lineRule="auto"/>
              <w:ind w:firstLine="480" w:firstLineChars="200"/>
              <w:rPr>
                <w:color w:val="auto"/>
                <w:sz w:val="24"/>
                <w:szCs w:val="24"/>
              </w:rPr>
            </w:pPr>
            <w:r>
              <w:rPr>
                <w:color w:val="auto"/>
                <w:sz w:val="24"/>
                <w:szCs w:val="24"/>
              </w:rPr>
              <w:t>（5）应急处理措施</w:t>
            </w:r>
          </w:p>
          <w:p w14:paraId="2AE28656">
            <w:pPr>
              <w:spacing w:line="360" w:lineRule="auto"/>
              <w:ind w:firstLine="480" w:firstLineChars="200"/>
              <w:rPr>
                <w:color w:val="auto"/>
                <w:sz w:val="24"/>
                <w:szCs w:val="24"/>
              </w:rPr>
            </w:pPr>
            <w:r>
              <w:rPr>
                <w:rFonts w:hint="eastAsia" w:ascii="宋体" w:hAnsi="宋体" w:cs="宋体"/>
                <w:color w:val="auto"/>
                <w:sz w:val="24"/>
                <w:szCs w:val="24"/>
              </w:rPr>
              <w:t>①</w:t>
            </w:r>
            <w:r>
              <w:rPr>
                <w:color w:val="auto"/>
                <w:sz w:val="24"/>
                <w:szCs w:val="24"/>
              </w:rPr>
              <w:t>设立相关突发环境事故应急处理组织机构，人员的组成和职责从公司的现状出发，本着挖潜、统一、完善的原则，建立健全的公司突发环境事件应急组织机构。</w:t>
            </w:r>
          </w:p>
          <w:p w14:paraId="4F484C23">
            <w:pPr>
              <w:spacing w:line="360" w:lineRule="auto"/>
              <w:ind w:firstLine="480" w:firstLineChars="200"/>
              <w:rPr>
                <w:color w:val="auto"/>
                <w:sz w:val="24"/>
                <w:szCs w:val="24"/>
              </w:rPr>
            </w:pPr>
            <w:r>
              <w:rPr>
                <w:rFonts w:hint="eastAsia" w:ascii="宋体" w:hAnsi="宋体" w:cs="宋体"/>
                <w:color w:val="auto"/>
                <w:sz w:val="24"/>
                <w:szCs w:val="24"/>
              </w:rPr>
              <w:t>②</w:t>
            </w:r>
            <w:r>
              <w:rPr>
                <w:color w:val="auto"/>
                <w:sz w:val="24"/>
                <w:szCs w:val="24"/>
              </w:rPr>
              <w:t>发生火灾或爆炸事故后，及时疏散厂内员工或者可能受到危害的人员，从污染源上控制其对大气的污染，应急救援后委托有资质的单位处理。</w:t>
            </w:r>
          </w:p>
          <w:p w14:paraId="239DABB7">
            <w:pPr>
              <w:spacing w:line="360" w:lineRule="auto"/>
              <w:ind w:firstLine="480" w:firstLineChars="200"/>
              <w:rPr>
                <w:color w:val="auto"/>
                <w:sz w:val="24"/>
                <w:szCs w:val="24"/>
              </w:rPr>
            </w:pPr>
            <w:r>
              <w:rPr>
                <w:rFonts w:hint="eastAsia" w:ascii="宋体" w:hAnsi="宋体" w:cs="宋体"/>
                <w:color w:val="auto"/>
                <w:sz w:val="24"/>
                <w:szCs w:val="24"/>
              </w:rPr>
              <w:t>③</w:t>
            </w:r>
            <w:r>
              <w:rPr>
                <w:color w:val="auto"/>
                <w:sz w:val="24"/>
                <w:szCs w:val="24"/>
              </w:rPr>
              <w:t>废气处理设施发生故障时，应立即停止生产，维修人员必须佩戴好过滤面具，同时穿好工作服，迅速检查故障原因。</w:t>
            </w:r>
          </w:p>
          <w:p w14:paraId="72D14C84">
            <w:pPr>
              <w:spacing w:line="360" w:lineRule="auto"/>
              <w:ind w:firstLine="480" w:firstLineChars="200"/>
              <w:rPr>
                <w:color w:val="auto"/>
                <w:sz w:val="24"/>
                <w:szCs w:val="24"/>
              </w:rPr>
            </w:pPr>
            <w:r>
              <w:rPr>
                <w:rFonts w:hint="eastAsia" w:ascii="宋体" w:hAnsi="宋体" w:cs="宋体"/>
                <w:color w:val="auto"/>
                <w:sz w:val="24"/>
                <w:szCs w:val="24"/>
              </w:rPr>
              <w:t>④</w:t>
            </w:r>
            <w:r>
              <w:rPr>
                <w:color w:val="auto"/>
                <w:sz w:val="24"/>
                <w:szCs w:val="24"/>
              </w:rPr>
              <w:t>若发生危险物质等少量泄漏事故时，马上采用消防砂等吸收处理，处理后收集至危废暂存间后交由资质单位回收处理。</w:t>
            </w:r>
          </w:p>
          <w:p w14:paraId="62715744">
            <w:pPr>
              <w:spacing w:line="360" w:lineRule="auto"/>
              <w:ind w:firstLine="480" w:firstLineChars="200"/>
              <w:rPr>
                <w:color w:val="auto"/>
                <w:sz w:val="24"/>
                <w:szCs w:val="24"/>
              </w:rPr>
            </w:pPr>
            <w:r>
              <w:rPr>
                <w:rFonts w:hint="eastAsia" w:ascii="宋体" w:hAnsi="宋体" w:cs="宋体"/>
                <w:color w:val="auto"/>
                <w:sz w:val="24"/>
                <w:szCs w:val="24"/>
              </w:rPr>
              <w:t>⑤</w:t>
            </w:r>
            <w:r>
              <w:rPr>
                <w:color w:val="auto"/>
                <w:sz w:val="24"/>
                <w:szCs w:val="24"/>
              </w:rPr>
              <w:t>事故发生后，相关部门要制定污染监测计划，对可能污染进行监测，根据现场监测结果，确定被转移、疏散群众返回时间，直至无异常方可停止监测工作。</w:t>
            </w:r>
          </w:p>
          <w:p w14:paraId="312DBA86">
            <w:pPr>
              <w:spacing w:line="360" w:lineRule="auto"/>
              <w:ind w:firstLine="480" w:firstLineChars="200"/>
              <w:rPr>
                <w:color w:val="auto"/>
                <w:sz w:val="24"/>
                <w:szCs w:val="24"/>
              </w:rPr>
            </w:pPr>
            <w:r>
              <w:rPr>
                <w:rFonts w:hint="eastAsia" w:ascii="宋体" w:hAnsi="宋体" w:cs="宋体"/>
                <w:color w:val="auto"/>
                <w:sz w:val="24"/>
                <w:szCs w:val="24"/>
              </w:rPr>
              <w:t>⑥</w:t>
            </w:r>
            <w:r>
              <w:rPr>
                <w:color w:val="auto"/>
                <w:sz w:val="24"/>
                <w:szCs w:val="24"/>
              </w:rPr>
              <w:t>根据《突发环境事件应急管理办法》（部令第34号）、《企业单位突发环境事件应急预案备案管理办法（试行）》（环发〔2015〕4号）的要求，本项目应按照规定编制环境应急预案，并报所在地生态环境主管部门备案。</w:t>
            </w:r>
          </w:p>
          <w:p w14:paraId="425972F5">
            <w:pPr>
              <w:spacing w:line="360" w:lineRule="auto"/>
              <w:ind w:firstLine="480" w:firstLineChars="200"/>
              <w:rPr>
                <w:color w:val="auto"/>
                <w:sz w:val="24"/>
                <w:szCs w:val="24"/>
              </w:rPr>
            </w:pPr>
            <w:r>
              <w:rPr>
                <w:color w:val="auto"/>
                <w:sz w:val="24"/>
                <w:szCs w:val="24"/>
              </w:rPr>
              <w:t>（6）风险分析结论</w:t>
            </w:r>
          </w:p>
          <w:p w14:paraId="7C9BF765">
            <w:pPr>
              <w:spacing w:line="360" w:lineRule="auto"/>
              <w:ind w:firstLine="480" w:firstLineChars="200"/>
              <w:rPr>
                <w:color w:val="auto"/>
                <w:sz w:val="24"/>
                <w:szCs w:val="24"/>
              </w:rPr>
            </w:pPr>
            <w:r>
              <w:rPr>
                <w:color w:val="auto"/>
                <w:sz w:val="24"/>
                <w:szCs w:val="24"/>
              </w:rPr>
              <w:t>建设单位将严格采取实施上述提出的要求措施后，可有效防止项目产生的污染物进入环境，有效降低了对周围环境存在的风险影响。并且通过上述措施，建设单位可将生物危害和毒性危害控制在可接受的范围内，不会人体、周围敏感点及水体、大气、土壤等造成明显危害。控制措施有效，环境风险可防控。</w:t>
            </w:r>
          </w:p>
          <w:p w14:paraId="066EC818">
            <w:pPr>
              <w:pStyle w:val="91"/>
              <w:adjustRightInd w:val="0"/>
              <w:snapToGrid w:val="0"/>
              <w:ind w:firstLine="0" w:firstLineChars="0"/>
              <w:rPr>
                <w:rFonts w:ascii="Times New Roman" w:hAnsi="Times New Roman"/>
                <w:b/>
                <w:bCs/>
                <w:color w:val="auto"/>
                <w:sz w:val="24"/>
                <w:szCs w:val="24"/>
              </w:rPr>
            </w:pPr>
            <w:r>
              <w:rPr>
                <w:rFonts w:ascii="Times New Roman" w:hAnsi="Times New Roman"/>
                <w:b/>
                <w:bCs/>
                <w:color w:val="auto"/>
                <w:sz w:val="24"/>
                <w:szCs w:val="24"/>
              </w:rPr>
              <w:t>八、电磁辐射影响分析</w:t>
            </w:r>
          </w:p>
          <w:p w14:paraId="62FEF17F">
            <w:pPr>
              <w:adjustRightInd w:val="0"/>
              <w:snapToGrid w:val="0"/>
              <w:spacing w:line="360" w:lineRule="auto"/>
              <w:ind w:firstLine="480" w:firstLineChars="200"/>
              <w:jc w:val="left"/>
              <w:rPr>
                <w:color w:val="auto"/>
                <w:szCs w:val="21"/>
              </w:rPr>
            </w:pPr>
            <w:r>
              <w:rPr>
                <w:color w:val="auto"/>
                <w:sz w:val="24"/>
                <w:szCs w:val="24"/>
              </w:rPr>
              <w:t>本项目用电由当地供电局供电，不涉及高压输变电等工程，故不展开分析。</w:t>
            </w:r>
          </w:p>
        </w:tc>
      </w:tr>
    </w:tbl>
    <w:p w14:paraId="73B24E11">
      <w:pPr>
        <w:pStyle w:val="33"/>
        <w:adjustRightInd w:val="0"/>
        <w:snapToGrid w:val="0"/>
        <w:jc w:val="center"/>
        <w:outlineLvl w:val="0"/>
        <w:rPr>
          <w:rFonts w:ascii="Times New Roman" w:hAnsi="Times New Roman" w:eastAsia="黑体" w:cs="Times New Roman"/>
          <w:snapToGrid w:val="0"/>
          <w:color w:val="auto"/>
          <w:sz w:val="30"/>
          <w:szCs w:val="30"/>
        </w:rPr>
        <w:sectPr>
          <w:pgSz w:w="11906" w:h="16838"/>
          <w:pgMar w:top="1417" w:right="1531" w:bottom="1417" w:left="1531" w:header="851" w:footer="1134" w:gutter="0"/>
          <w:cols w:space="720" w:num="1"/>
          <w:docGrid w:linePitch="312" w:charSpace="0"/>
        </w:sectPr>
      </w:pPr>
    </w:p>
    <w:p w14:paraId="1A69C948">
      <w:pPr>
        <w:pStyle w:val="33"/>
        <w:adjustRightInd w:val="0"/>
        <w:snapToGrid w:val="0"/>
        <w:jc w:val="center"/>
        <w:outlineLvl w:val="0"/>
        <w:rPr>
          <w:rFonts w:ascii="Times New Roman" w:hAnsi="Times New Roman" w:eastAsia="黑体" w:cs="Times New Roman"/>
          <w:snapToGrid w:val="0"/>
          <w:color w:val="auto"/>
          <w:sz w:val="30"/>
          <w:szCs w:val="30"/>
        </w:rPr>
      </w:pPr>
      <w:bookmarkStart w:id="222" w:name="_Toc26154"/>
      <w:r>
        <w:rPr>
          <w:rFonts w:ascii="Times New Roman" w:hAnsi="Times New Roman" w:eastAsia="黑体" w:cs="Times New Roman"/>
          <w:snapToGrid w:val="0"/>
          <w:color w:val="auto"/>
          <w:sz w:val="30"/>
          <w:szCs w:val="30"/>
        </w:rPr>
        <w:t>五、</w:t>
      </w:r>
      <w:bookmarkStart w:id="223" w:name="_Hlk54167917"/>
      <w:r>
        <w:rPr>
          <w:rFonts w:ascii="Times New Roman" w:hAnsi="Times New Roman" w:eastAsia="黑体" w:cs="Times New Roman"/>
          <w:snapToGrid w:val="0"/>
          <w:color w:val="auto"/>
          <w:sz w:val="30"/>
          <w:szCs w:val="30"/>
        </w:rPr>
        <w:t>环境保护措施监督检查清单</w:t>
      </w:r>
      <w:bookmarkEnd w:id="21"/>
      <w:bookmarkEnd w:id="22"/>
      <w:bookmarkEnd w:id="23"/>
      <w:bookmarkEnd w:id="24"/>
      <w:bookmarkEnd w:id="25"/>
      <w:bookmarkEnd w:id="26"/>
      <w:bookmarkEnd w:id="222"/>
      <w:bookmarkEnd w:id="223"/>
    </w:p>
    <w:tbl>
      <w:tblPr>
        <w:tblStyle w:val="37"/>
        <w:tblW w:w="90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2"/>
        <w:gridCol w:w="1630"/>
        <w:gridCol w:w="1537"/>
        <w:gridCol w:w="2370"/>
        <w:gridCol w:w="2551"/>
      </w:tblGrid>
      <w:tr w14:paraId="72CC4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62" w:type="dxa"/>
            <w:tcBorders>
              <w:top w:val="single" w:color="auto" w:sz="6" w:space="0"/>
              <w:left w:val="single" w:color="auto" w:sz="6" w:space="0"/>
              <w:bottom w:val="single" w:color="auto" w:sz="4" w:space="0"/>
              <w:tl2br w:val="single" w:color="auto" w:sz="4" w:space="0"/>
            </w:tcBorders>
            <w:vAlign w:val="center"/>
          </w:tcPr>
          <w:p w14:paraId="675B803B">
            <w:pPr>
              <w:adjustRightInd w:val="0"/>
              <w:snapToGrid w:val="0"/>
              <w:jc w:val="right"/>
              <w:rPr>
                <w:b/>
                <w:bCs/>
                <w:color w:val="auto"/>
                <w:szCs w:val="21"/>
              </w:rPr>
            </w:pPr>
            <w:r>
              <w:rPr>
                <w:b/>
                <w:bCs/>
                <w:color w:val="auto"/>
                <w:szCs w:val="21"/>
              </w:rPr>
              <w:t>内容</w:t>
            </w:r>
          </w:p>
          <w:p w14:paraId="3C5356AA">
            <w:pPr>
              <w:adjustRightInd w:val="0"/>
              <w:snapToGrid w:val="0"/>
              <w:jc w:val="left"/>
              <w:rPr>
                <w:b/>
                <w:bCs/>
                <w:color w:val="auto"/>
                <w:szCs w:val="21"/>
              </w:rPr>
            </w:pPr>
            <w:r>
              <w:rPr>
                <w:b/>
                <w:bCs/>
                <w:color w:val="auto"/>
                <w:szCs w:val="21"/>
              </w:rPr>
              <w:t>要素</w:t>
            </w:r>
          </w:p>
        </w:tc>
        <w:tc>
          <w:tcPr>
            <w:tcW w:w="1630" w:type="dxa"/>
            <w:tcBorders>
              <w:top w:val="single" w:color="auto" w:sz="6" w:space="0"/>
              <w:bottom w:val="single" w:color="auto" w:sz="4" w:space="0"/>
              <w:right w:val="single" w:color="auto" w:sz="4" w:space="0"/>
            </w:tcBorders>
            <w:vAlign w:val="center"/>
          </w:tcPr>
          <w:p w14:paraId="64307B91">
            <w:pPr>
              <w:adjustRightInd w:val="0"/>
              <w:snapToGrid w:val="0"/>
              <w:jc w:val="center"/>
              <w:rPr>
                <w:b/>
                <w:bCs/>
                <w:color w:val="auto"/>
                <w:szCs w:val="21"/>
              </w:rPr>
            </w:pPr>
            <w:r>
              <w:rPr>
                <w:b/>
                <w:bCs/>
                <w:color w:val="auto"/>
                <w:szCs w:val="21"/>
              </w:rPr>
              <w:t>排放口</w:t>
            </w:r>
          </w:p>
          <w:p w14:paraId="33015247">
            <w:pPr>
              <w:adjustRightInd w:val="0"/>
              <w:snapToGrid w:val="0"/>
              <w:jc w:val="center"/>
              <w:rPr>
                <w:b/>
                <w:bCs/>
                <w:color w:val="auto"/>
                <w:szCs w:val="21"/>
              </w:rPr>
            </w:pPr>
            <w:r>
              <w:rPr>
                <w:b/>
                <w:bCs/>
                <w:color w:val="auto"/>
                <w:szCs w:val="21"/>
              </w:rPr>
              <w:t>（编号、名称）/污染源</w:t>
            </w:r>
          </w:p>
        </w:tc>
        <w:tc>
          <w:tcPr>
            <w:tcW w:w="1537" w:type="dxa"/>
            <w:tcBorders>
              <w:top w:val="single" w:color="auto" w:sz="6" w:space="0"/>
              <w:left w:val="single" w:color="auto" w:sz="4" w:space="0"/>
              <w:right w:val="single" w:color="auto" w:sz="4" w:space="0"/>
            </w:tcBorders>
            <w:vAlign w:val="center"/>
          </w:tcPr>
          <w:p w14:paraId="54BE3726">
            <w:pPr>
              <w:adjustRightInd w:val="0"/>
              <w:snapToGrid w:val="0"/>
              <w:jc w:val="center"/>
              <w:rPr>
                <w:b/>
                <w:bCs/>
                <w:color w:val="auto"/>
                <w:szCs w:val="21"/>
              </w:rPr>
            </w:pPr>
            <w:r>
              <w:rPr>
                <w:b/>
                <w:bCs/>
                <w:color w:val="auto"/>
                <w:szCs w:val="21"/>
              </w:rPr>
              <w:t>污染物项目</w:t>
            </w:r>
          </w:p>
        </w:tc>
        <w:tc>
          <w:tcPr>
            <w:tcW w:w="2370" w:type="dxa"/>
            <w:tcBorders>
              <w:top w:val="single" w:color="auto" w:sz="6" w:space="0"/>
              <w:left w:val="single" w:color="auto" w:sz="4" w:space="0"/>
              <w:bottom w:val="single" w:color="auto" w:sz="8" w:space="0"/>
              <w:right w:val="single" w:color="auto" w:sz="4" w:space="0"/>
            </w:tcBorders>
            <w:vAlign w:val="center"/>
          </w:tcPr>
          <w:p w14:paraId="20567FFA">
            <w:pPr>
              <w:adjustRightInd w:val="0"/>
              <w:snapToGrid w:val="0"/>
              <w:jc w:val="center"/>
              <w:rPr>
                <w:b/>
                <w:bCs/>
                <w:color w:val="auto"/>
                <w:szCs w:val="21"/>
              </w:rPr>
            </w:pPr>
            <w:r>
              <w:rPr>
                <w:b/>
                <w:bCs/>
                <w:color w:val="auto"/>
                <w:szCs w:val="21"/>
              </w:rPr>
              <w:t>环境保护措施</w:t>
            </w:r>
          </w:p>
        </w:tc>
        <w:tc>
          <w:tcPr>
            <w:tcW w:w="2551" w:type="dxa"/>
            <w:tcBorders>
              <w:top w:val="single" w:color="auto" w:sz="6" w:space="0"/>
              <w:left w:val="single" w:color="auto" w:sz="4" w:space="0"/>
              <w:bottom w:val="single" w:color="auto" w:sz="8" w:space="0"/>
              <w:right w:val="single" w:color="auto" w:sz="6" w:space="0"/>
            </w:tcBorders>
            <w:vAlign w:val="center"/>
          </w:tcPr>
          <w:p w14:paraId="31786520">
            <w:pPr>
              <w:adjustRightInd w:val="0"/>
              <w:snapToGrid w:val="0"/>
              <w:jc w:val="center"/>
              <w:rPr>
                <w:b/>
                <w:bCs/>
                <w:color w:val="auto"/>
                <w:szCs w:val="21"/>
              </w:rPr>
            </w:pPr>
            <w:r>
              <w:rPr>
                <w:b/>
                <w:color w:val="auto"/>
                <w:szCs w:val="21"/>
              </w:rPr>
              <w:t>执行标准</w:t>
            </w:r>
          </w:p>
        </w:tc>
      </w:tr>
      <w:tr w14:paraId="1EC29D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2" w:hRule="atLeast"/>
          <w:jc w:val="center"/>
        </w:trPr>
        <w:tc>
          <w:tcPr>
            <w:tcW w:w="962" w:type="dxa"/>
            <w:vMerge w:val="restart"/>
            <w:tcBorders>
              <w:left w:val="single" w:color="auto" w:sz="6" w:space="0"/>
            </w:tcBorders>
            <w:textDirection w:val="tbRlV"/>
            <w:vAlign w:val="center"/>
          </w:tcPr>
          <w:p w14:paraId="2185E2C7">
            <w:pPr>
              <w:adjustRightInd w:val="0"/>
              <w:snapToGrid w:val="0"/>
              <w:jc w:val="center"/>
              <w:rPr>
                <w:color w:val="auto"/>
                <w:szCs w:val="21"/>
              </w:rPr>
            </w:pPr>
            <w:r>
              <w:rPr>
                <w:color w:val="auto"/>
                <w:szCs w:val="21"/>
              </w:rPr>
              <w:t>大气环境</w:t>
            </w:r>
          </w:p>
        </w:tc>
        <w:tc>
          <w:tcPr>
            <w:tcW w:w="1630" w:type="dxa"/>
            <w:vMerge w:val="restart"/>
            <w:tcBorders>
              <w:right w:val="single" w:color="auto" w:sz="4" w:space="0"/>
            </w:tcBorders>
            <w:vAlign w:val="center"/>
          </w:tcPr>
          <w:p w14:paraId="2859BEA4">
            <w:pPr>
              <w:jc w:val="center"/>
              <w:rPr>
                <w:bCs/>
                <w:color w:val="auto"/>
                <w:szCs w:val="21"/>
              </w:rPr>
            </w:pPr>
            <w:r>
              <w:rPr>
                <w:bCs/>
                <w:color w:val="auto"/>
                <w:szCs w:val="21"/>
              </w:rPr>
              <w:t>DA001</w:t>
            </w:r>
          </w:p>
        </w:tc>
        <w:tc>
          <w:tcPr>
            <w:tcW w:w="1537" w:type="dxa"/>
            <w:tcBorders>
              <w:left w:val="single" w:color="auto" w:sz="4" w:space="0"/>
              <w:right w:val="single" w:color="auto" w:sz="6" w:space="0"/>
            </w:tcBorders>
            <w:vAlign w:val="center"/>
          </w:tcPr>
          <w:p w14:paraId="15F364F5">
            <w:pPr>
              <w:adjustRightInd w:val="0"/>
              <w:snapToGrid w:val="0"/>
              <w:jc w:val="center"/>
              <w:rPr>
                <w:color w:val="auto"/>
              </w:rPr>
            </w:pPr>
            <w:r>
              <w:rPr>
                <w:color w:val="auto"/>
                <w:szCs w:val="21"/>
              </w:rPr>
              <w:t>NMHC</w:t>
            </w:r>
          </w:p>
        </w:tc>
        <w:tc>
          <w:tcPr>
            <w:tcW w:w="2370" w:type="dxa"/>
            <w:vMerge w:val="restart"/>
            <w:tcBorders>
              <w:left w:val="single" w:color="auto" w:sz="4" w:space="0"/>
              <w:right w:val="single" w:color="auto" w:sz="6" w:space="0"/>
            </w:tcBorders>
            <w:vAlign w:val="center"/>
          </w:tcPr>
          <w:p w14:paraId="3574DA81">
            <w:pPr>
              <w:adjustRightInd w:val="0"/>
              <w:snapToGrid w:val="0"/>
              <w:jc w:val="center"/>
              <w:rPr>
                <w:color w:val="auto"/>
                <w:szCs w:val="21"/>
              </w:rPr>
            </w:pPr>
            <w:r>
              <w:rPr>
                <w:color w:val="auto"/>
                <w:szCs w:val="21"/>
              </w:rPr>
              <w:t>二级活性炭（TA001）+楼顶（22.5m）排气筒DA001</w:t>
            </w:r>
          </w:p>
        </w:tc>
        <w:tc>
          <w:tcPr>
            <w:tcW w:w="2551" w:type="dxa"/>
            <w:tcBorders>
              <w:left w:val="single" w:color="auto" w:sz="4" w:space="0"/>
              <w:right w:val="single" w:color="auto" w:sz="6" w:space="0"/>
            </w:tcBorders>
            <w:vAlign w:val="center"/>
          </w:tcPr>
          <w:p w14:paraId="5EEF55FC">
            <w:pPr>
              <w:adjustRightInd w:val="0"/>
              <w:snapToGrid w:val="0"/>
              <w:jc w:val="center"/>
              <w:rPr>
                <w:color w:val="auto"/>
                <w:szCs w:val="21"/>
              </w:rPr>
            </w:pPr>
            <w:r>
              <w:rPr>
                <w:color w:val="auto"/>
              </w:rPr>
              <w:t>《农药制造工业大气污染物排放标准》（GB39727-2020）表1大气污染物排放限值中的“其它农药制造工艺废气”标准要求</w:t>
            </w:r>
          </w:p>
        </w:tc>
      </w:tr>
      <w:tr w14:paraId="3E255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2" w:hRule="atLeast"/>
          <w:jc w:val="center"/>
        </w:trPr>
        <w:tc>
          <w:tcPr>
            <w:tcW w:w="962" w:type="dxa"/>
            <w:vMerge w:val="continue"/>
            <w:tcBorders>
              <w:left w:val="single" w:color="auto" w:sz="6" w:space="0"/>
            </w:tcBorders>
            <w:textDirection w:val="tbRlV"/>
            <w:vAlign w:val="center"/>
          </w:tcPr>
          <w:p w14:paraId="1D605909">
            <w:pPr>
              <w:adjustRightInd w:val="0"/>
              <w:snapToGrid w:val="0"/>
              <w:jc w:val="center"/>
              <w:rPr>
                <w:color w:val="auto"/>
              </w:rPr>
            </w:pPr>
          </w:p>
        </w:tc>
        <w:tc>
          <w:tcPr>
            <w:tcW w:w="1630" w:type="dxa"/>
            <w:vMerge w:val="continue"/>
            <w:tcBorders>
              <w:right w:val="single" w:color="auto" w:sz="4" w:space="0"/>
            </w:tcBorders>
            <w:vAlign w:val="center"/>
          </w:tcPr>
          <w:p w14:paraId="1F683AFE">
            <w:pPr>
              <w:adjustRightInd w:val="0"/>
              <w:snapToGrid w:val="0"/>
              <w:jc w:val="center"/>
              <w:rPr>
                <w:color w:val="auto"/>
              </w:rPr>
            </w:pPr>
          </w:p>
        </w:tc>
        <w:tc>
          <w:tcPr>
            <w:tcW w:w="1537" w:type="dxa"/>
            <w:tcBorders>
              <w:left w:val="single" w:color="auto" w:sz="4" w:space="0"/>
              <w:right w:val="single" w:color="auto" w:sz="6" w:space="0"/>
            </w:tcBorders>
            <w:vAlign w:val="center"/>
          </w:tcPr>
          <w:p w14:paraId="5FFB0871">
            <w:pPr>
              <w:adjustRightInd w:val="0"/>
              <w:snapToGrid w:val="0"/>
              <w:jc w:val="center"/>
              <w:rPr>
                <w:color w:val="auto"/>
                <w:szCs w:val="21"/>
              </w:rPr>
            </w:pPr>
            <w:r>
              <w:rPr>
                <w:rFonts w:hint="eastAsia"/>
                <w:color w:val="auto"/>
                <w:szCs w:val="21"/>
                <w:lang w:val="en-US" w:eastAsia="zh-CN"/>
              </w:rPr>
              <w:t>臭气浓度</w:t>
            </w:r>
          </w:p>
        </w:tc>
        <w:tc>
          <w:tcPr>
            <w:tcW w:w="2370" w:type="dxa"/>
            <w:vMerge w:val="continue"/>
            <w:tcBorders>
              <w:left w:val="single" w:color="auto" w:sz="4" w:space="0"/>
              <w:right w:val="single" w:color="auto" w:sz="6" w:space="0"/>
            </w:tcBorders>
            <w:vAlign w:val="center"/>
          </w:tcPr>
          <w:p w14:paraId="79672B31">
            <w:pPr>
              <w:adjustRightInd w:val="0"/>
              <w:snapToGrid w:val="0"/>
              <w:jc w:val="center"/>
              <w:rPr>
                <w:color w:val="auto"/>
                <w:szCs w:val="21"/>
              </w:rPr>
            </w:pPr>
          </w:p>
        </w:tc>
        <w:tc>
          <w:tcPr>
            <w:tcW w:w="2551" w:type="dxa"/>
            <w:tcBorders>
              <w:left w:val="single" w:color="auto" w:sz="4" w:space="0"/>
              <w:right w:val="single" w:color="auto" w:sz="6" w:space="0"/>
            </w:tcBorders>
            <w:vAlign w:val="center"/>
          </w:tcPr>
          <w:p w14:paraId="1A97C1A4">
            <w:pPr>
              <w:adjustRightInd w:val="0"/>
              <w:snapToGrid w:val="0"/>
              <w:jc w:val="center"/>
              <w:rPr>
                <w:color w:val="auto"/>
                <w:szCs w:val="21"/>
              </w:rPr>
            </w:pPr>
            <w:r>
              <w:rPr>
                <w:rFonts w:hint="eastAsia" w:ascii="Times New Roman" w:hAnsi="Times New Roman" w:eastAsia="宋体" w:cs="Times New Roman"/>
                <w:color w:val="auto"/>
                <w:szCs w:val="21"/>
                <w:lang w:val="en-US" w:eastAsia="zh-CN"/>
              </w:rPr>
              <w:t>《恶臭污染物排放标准》（</w:t>
            </w:r>
            <w:r>
              <w:rPr>
                <w:rFonts w:hint="default" w:ascii="Times New Roman" w:hAnsi="Times New Roman" w:eastAsia="宋体" w:cs="Times New Roman"/>
                <w:color w:val="auto"/>
                <w:szCs w:val="21"/>
                <w:lang w:val="en-US" w:eastAsia="zh-CN"/>
              </w:rPr>
              <w:t>GB14554-93</w:t>
            </w:r>
            <w:r>
              <w:rPr>
                <w:rFonts w:hint="eastAsia" w:ascii="Times New Roman" w:hAnsi="Times New Roman" w:eastAsia="宋体" w:cs="Times New Roman"/>
                <w:color w:val="auto"/>
                <w:szCs w:val="21"/>
                <w:lang w:val="en-US" w:eastAsia="zh-CN"/>
              </w:rPr>
              <w:t>）中表2标准要求</w:t>
            </w:r>
          </w:p>
        </w:tc>
      </w:tr>
      <w:tr w14:paraId="44624C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61" w:hRule="atLeast"/>
          <w:jc w:val="center"/>
        </w:trPr>
        <w:tc>
          <w:tcPr>
            <w:tcW w:w="962" w:type="dxa"/>
            <w:vMerge w:val="continue"/>
            <w:tcBorders>
              <w:left w:val="single" w:color="auto" w:sz="6" w:space="0"/>
            </w:tcBorders>
            <w:textDirection w:val="tbRlV"/>
            <w:vAlign w:val="center"/>
          </w:tcPr>
          <w:p w14:paraId="2B2337D7">
            <w:pPr>
              <w:adjustRightInd w:val="0"/>
              <w:snapToGrid w:val="0"/>
              <w:jc w:val="center"/>
              <w:rPr>
                <w:color w:val="auto"/>
              </w:rPr>
            </w:pPr>
          </w:p>
        </w:tc>
        <w:tc>
          <w:tcPr>
            <w:tcW w:w="1630" w:type="dxa"/>
            <w:tcBorders>
              <w:right w:val="single" w:color="auto" w:sz="4" w:space="0"/>
            </w:tcBorders>
            <w:vAlign w:val="center"/>
          </w:tcPr>
          <w:p w14:paraId="0121F220">
            <w:pPr>
              <w:adjustRightInd w:val="0"/>
              <w:snapToGrid w:val="0"/>
              <w:jc w:val="center"/>
              <w:rPr>
                <w:color w:val="auto"/>
              </w:rPr>
            </w:pPr>
            <w:r>
              <w:rPr>
                <w:color w:val="auto"/>
                <w:szCs w:val="21"/>
              </w:rPr>
              <w:t>厂区内无组织废气</w:t>
            </w:r>
          </w:p>
        </w:tc>
        <w:tc>
          <w:tcPr>
            <w:tcW w:w="1537" w:type="dxa"/>
            <w:tcBorders>
              <w:left w:val="single" w:color="auto" w:sz="4" w:space="0"/>
              <w:right w:val="single" w:color="auto" w:sz="6" w:space="0"/>
            </w:tcBorders>
            <w:vAlign w:val="center"/>
          </w:tcPr>
          <w:p w14:paraId="0E525FE3">
            <w:pPr>
              <w:adjustRightInd w:val="0"/>
              <w:snapToGrid w:val="0"/>
              <w:jc w:val="center"/>
              <w:rPr>
                <w:color w:val="auto"/>
              </w:rPr>
            </w:pPr>
            <w:r>
              <w:rPr>
                <w:color w:val="auto"/>
                <w:szCs w:val="21"/>
              </w:rPr>
              <w:t>NMHC</w:t>
            </w:r>
          </w:p>
        </w:tc>
        <w:tc>
          <w:tcPr>
            <w:tcW w:w="2370" w:type="dxa"/>
            <w:vMerge w:val="restart"/>
            <w:tcBorders>
              <w:left w:val="single" w:color="auto" w:sz="4" w:space="0"/>
              <w:right w:val="single" w:color="auto" w:sz="6" w:space="0"/>
            </w:tcBorders>
            <w:vAlign w:val="center"/>
          </w:tcPr>
          <w:p w14:paraId="09354C07">
            <w:pPr>
              <w:adjustRightInd w:val="0"/>
              <w:snapToGrid w:val="0"/>
              <w:jc w:val="center"/>
              <w:rPr>
                <w:color w:val="auto"/>
              </w:rPr>
            </w:pPr>
            <w:r>
              <w:rPr>
                <w:color w:val="auto"/>
              </w:rPr>
              <w:t>厂界隔绝、加强收集</w:t>
            </w:r>
          </w:p>
        </w:tc>
        <w:tc>
          <w:tcPr>
            <w:tcW w:w="2551" w:type="dxa"/>
            <w:tcBorders>
              <w:left w:val="single" w:color="auto" w:sz="4" w:space="0"/>
              <w:right w:val="single" w:color="auto" w:sz="6" w:space="0"/>
            </w:tcBorders>
            <w:vAlign w:val="center"/>
          </w:tcPr>
          <w:p w14:paraId="5CB26F3D">
            <w:pPr>
              <w:adjustRightInd w:val="0"/>
              <w:snapToGrid w:val="0"/>
              <w:jc w:val="center"/>
              <w:rPr>
                <w:color w:val="auto"/>
              </w:rPr>
            </w:pPr>
            <w:r>
              <w:rPr>
                <w:color w:val="auto"/>
              </w:rPr>
              <w:t>《农药制造工业大气污染物排放标准》（GB39727-2020）附录C中表C.1厂区内VOCs无组织排放限值</w:t>
            </w:r>
          </w:p>
        </w:tc>
      </w:tr>
      <w:tr w14:paraId="5AB04C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3" w:hRule="atLeast"/>
          <w:jc w:val="center"/>
        </w:trPr>
        <w:tc>
          <w:tcPr>
            <w:tcW w:w="962" w:type="dxa"/>
            <w:vMerge w:val="continue"/>
            <w:tcBorders>
              <w:left w:val="single" w:color="auto" w:sz="6" w:space="0"/>
            </w:tcBorders>
            <w:textDirection w:val="tbRlV"/>
            <w:vAlign w:val="center"/>
          </w:tcPr>
          <w:p w14:paraId="168341A1">
            <w:pPr>
              <w:adjustRightInd w:val="0"/>
              <w:snapToGrid w:val="0"/>
              <w:jc w:val="center"/>
              <w:rPr>
                <w:color w:val="auto"/>
              </w:rPr>
            </w:pPr>
          </w:p>
        </w:tc>
        <w:tc>
          <w:tcPr>
            <w:tcW w:w="1630" w:type="dxa"/>
            <w:tcBorders>
              <w:right w:val="single" w:color="auto" w:sz="4" w:space="0"/>
            </w:tcBorders>
            <w:vAlign w:val="center"/>
          </w:tcPr>
          <w:p w14:paraId="64AF9403">
            <w:pPr>
              <w:adjustRightInd w:val="0"/>
              <w:snapToGrid w:val="0"/>
              <w:jc w:val="center"/>
              <w:rPr>
                <w:rFonts w:hint="eastAsia" w:eastAsia="宋体"/>
                <w:color w:val="auto"/>
                <w:lang w:val="en-US" w:eastAsia="zh-CN"/>
              </w:rPr>
            </w:pPr>
            <w:r>
              <w:rPr>
                <w:rFonts w:hint="eastAsia"/>
                <w:color w:val="auto"/>
                <w:lang w:val="en-US" w:eastAsia="zh-CN"/>
              </w:rPr>
              <w:t>厂界</w:t>
            </w:r>
            <w:r>
              <w:rPr>
                <w:color w:val="auto"/>
                <w:szCs w:val="21"/>
              </w:rPr>
              <w:t>无组织废气</w:t>
            </w:r>
          </w:p>
        </w:tc>
        <w:tc>
          <w:tcPr>
            <w:tcW w:w="1537" w:type="dxa"/>
            <w:tcBorders>
              <w:left w:val="single" w:color="auto" w:sz="4" w:space="0"/>
              <w:right w:val="single" w:color="auto" w:sz="6" w:space="0"/>
            </w:tcBorders>
            <w:vAlign w:val="center"/>
          </w:tcPr>
          <w:p w14:paraId="7131221A">
            <w:pPr>
              <w:adjustRightInd w:val="0"/>
              <w:snapToGrid w:val="0"/>
              <w:jc w:val="center"/>
              <w:rPr>
                <w:color w:val="auto"/>
                <w:szCs w:val="21"/>
              </w:rPr>
            </w:pPr>
            <w:r>
              <w:rPr>
                <w:rFonts w:hint="eastAsia"/>
                <w:color w:val="auto"/>
                <w:szCs w:val="21"/>
                <w:lang w:val="en-US" w:eastAsia="zh-CN"/>
              </w:rPr>
              <w:t>臭气浓度</w:t>
            </w:r>
          </w:p>
        </w:tc>
        <w:tc>
          <w:tcPr>
            <w:tcW w:w="2370" w:type="dxa"/>
            <w:vMerge w:val="continue"/>
            <w:tcBorders>
              <w:left w:val="single" w:color="auto" w:sz="4" w:space="0"/>
              <w:right w:val="single" w:color="auto" w:sz="6" w:space="0"/>
            </w:tcBorders>
            <w:vAlign w:val="center"/>
          </w:tcPr>
          <w:p w14:paraId="61C3BD2D">
            <w:pPr>
              <w:adjustRightInd w:val="0"/>
              <w:snapToGrid w:val="0"/>
              <w:jc w:val="center"/>
              <w:rPr>
                <w:color w:val="auto"/>
                <w:szCs w:val="21"/>
              </w:rPr>
            </w:pPr>
          </w:p>
        </w:tc>
        <w:tc>
          <w:tcPr>
            <w:tcW w:w="2551" w:type="dxa"/>
            <w:tcBorders>
              <w:left w:val="single" w:color="auto" w:sz="4" w:space="0"/>
              <w:right w:val="single" w:color="auto" w:sz="6" w:space="0"/>
            </w:tcBorders>
            <w:vAlign w:val="center"/>
          </w:tcPr>
          <w:p w14:paraId="2D343C7C">
            <w:pPr>
              <w:adjustRightInd w:val="0"/>
              <w:snapToGrid w:val="0"/>
              <w:jc w:val="center"/>
              <w:rPr>
                <w:color w:val="auto"/>
                <w:szCs w:val="21"/>
              </w:rPr>
            </w:pPr>
            <w:r>
              <w:rPr>
                <w:rFonts w:hint="eastAsia" w:ascii="Times New Roman" w:hAnsi="Times New Roman" w:eastAsia="宋体" w:cs="Times New Roman"/>
                <w:color w:val="auto"/>
                <w:szCs w:val="21"/>
                <w:lang w:val="en-US" w:eastAsia="zh-CN"/>
              </w:rPr>
              <w:t>《恶臭污染物排放标准》（</w:t>
            </w:r>
            <w:r>
              <w:rPr>
                <w:rFonts w:hint="default" w:ascii="Times New Roman" w:hAnsi="Times New Roman" w:eastAsia="宋体" w:cs="Times New Roman"/>
                <w:color w:val="auto"/>
                <w:szCs w:val="21"/>
                <w:lang w:val="en-US" w:eastAsia="zh-CN"/>
              </w:rPr>
              <w:t>GB14554-93</w:t>
            </w:r>
            <w:r>
              <w:rPr>
                <w:rFonts w:hint="eastAsia" w:ascii="Times New Roman" w:hAnsi="Times New Roman" w:eastAsia="宋体" w:cs="Times New Roman"/>
                <w:color w:val="auto"/>
                <w:szCs w:val="21"/>
                <w:lang w:val="en-US" w:eastAsia="zh-CN"/>
              </w:rPr>
              <w:t>）中表1</w:t>
            </w:r>
            <w:r>
              <w:rPr>
                <w:rFonts w:hint="eastAsia" w:cs="Times New Roman"/>
                <w:color w:val="auto"/>
                <w:szCs w:val="21"/>
                <w:lang w:val="en-US" w:eastAsia="zh-CN"/>
              </w:rPr>
              <w:t>新扩改建</w:t>
            </w:r>
            <w:r>
              <w:rPr>
                <w:rFonts w:hint="eastAsia" w:ascii="Times New Roman" w:hAnsi="Times New Roman" w:eastAsia="宋体" w:cs="Times New Roman"/>
                <w:color w:val="auto"/>
                <w:szCs w:val="21"/>
                <w:lang w:val="en-US" w:eastAsia="zh-CN"/>
              </w:rPr>
              <w:t>的二级标准</w:t>
            </w:r>
          </w:p>
        </w:tc>
      </w:tr>
      <w:tr w14:paraId="61E895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1" w:hRule="atLeast"/>
          <w:jc w:val="center"/>
        </w:trPr>
        <w:tc>
          <w:tcPr>
            <w:tcW w:w="962" w:type="dxa"/>
            <w:vMerge w:val="restart"/>
            <w:tcBorders>
              <w:left w:val="single" w:color="auto" w:sz="4" w:space="0"/>
              <w:right w:val="single" w:color="auto" w:sz="4" w:space="0"/>
            </w:tcBorders>
            <w:textDirection w:val="tbRlV"/>
            <w:vAlign w:val="center"/>
          </w:tcPr>
          <w:p w14:paraId="023E8A06">
            <w:pPr>
              <w:adjustRightInd w:val="0"/>
              <w:snapToGrid w:val="0"/>
              <w:jc w:val="center"/>
              <w:rPr>
                <w:rFonts w:hint="default" w:eastAsia="宋体"/>
                <w:color w:val="auto"/>
                <w:szCs w:val="21"/>
                <w:lang w:val="en-US" w:eastAsia="zh-CN"/>
              </w:rPr>
            </w:pPr>
            <w:r>
              <w:rPr>
                <w:rFonts w:hint="eastAsia"/>
                <w:color w:val="auto"/>
                <w:szCs w:val="21"/>
                <w:lang w:val="en-US" w:eastAsia="zh-CN"/>
              </w:rPr>
              <w:t>地表水环境</w:t>
            </w:r>
          </w:p>
        </w:tc>
        <w:tc>
          <w:tcPr>
            <w:tcW w:w="1630" w:type="dxa"/>
            <w:vMerge w:val="restart"/>
            <w:tcBorders>
              <w:left w:val="single" w:color="auto" w:sz="4" w:space="0"/>
            </w:tcBorders>
            <w:vAlign w:val="center"/>
          </w:tcPr>
          <w:p w14:paraId="78FFF7CD">
            <w:pPr>
              <w:jc w:val="center"/>
              <w:rPr>
                <w:color w:val="auto"/>
              </w:rPr>
            </w:pPr>
            <w:r>
              <w:rPr>
                <w:rFonts w:ascii="Times New Roman" w:hAnsi="Times New Roman"/>
                <w:color w:val="auto"/>
                <w:sz w:val="21"/>
                <w:szCs w:val="21"/>
              </w:rPr>
              <w:t>生活污水排放口（DW001）</w:t>
            </w:r>
          </w:p>
        </w:tc>
        <w:tc>
          <w:tcPr>
            <w:tcW w:w="1537" w:type="dxa"/>
            <w:tcBorders>
              <w:top w:val="single" w:color="auto" w:sz="4" w:space="0"/>
            </w:tcBorders>
            <w:vAlign w:val="center"/>
          </w:tcPr>
          <w:p w14:paraId="45AE47F8">
            <w:pPr>
              <w:pStyle w:val="2"/>
              <w:spacing w:before="0" w:after="0" w:line="240" w:lineRule="auto"/>
              <w:ind w:left="0" w:leftChars="0" w:firstLine="0" w:firstLineChars="0"/>
              <w:jc w:val="center"/>
              <w:rPr>
                <w:color w:val="auto"/>
                <w:szCs w:val="21"/>
              </w:rPr>
            </w:pPr>
            <w:bookmarkStart w:id="224" w:name="_Toc4723"/>
            <w:r>
              <w:rPr>
                <w:rFonts w:eastAsia="宋体"/>
                <w:b w:val="0"/>
                <w:bCs w:val="0"/>
                <w:color w:val="auto"/>
                <w:sz w:val="21"/>
                <w:szCs w:val="21"/>
              </w:rPr>
              <w:t>pH</w:t>
            </w:r>
            <w:bookmarkEnd w:id="224"/>
          </w:p>
        </w:tc>
        <w:tc>
          <w:tcPr>
            <w:tcW w:w="2370" w:type="dxa"/>
            <w:vMerge w:val="restart"/>
            <w:vAlign w:val="center"/>
          </w:tcPr>
          <w:p w14:paraId="3EF84039">
            <w:pPr>
              <w:adjustRightInd w:val="0"/>
              <w:snapToGrid w:val="0"/>
              <w:jc w:val="center"/>
              <w:rPr>
                <w:rFonts w:hint="eastAsia" w:eastAsia="宋体"/>
                <w:color w:val="auto"/>
                <w:szCs w:val="21"/>
                <w:lang w:val="en-US" w:eastAsia="zh-CN"/>
              </w:rPr>
            </w:pPr>
            <w:r>
              <w:rPr>
                <w:rFonts w:hint="eastAsia"/>
                <w:color w:val="auto"/>
                <w:szCs w:val="21"/>
                <w:lang w:val="en-US" w:eastAsia="zh-CN"/>
              </w:rPr>
              <w:t>三级化粪池</w:t>
            </w:r>
          </w:p>
        </w:tc>
        <w:tc>
          <w:tcPr>
            <w:tcW w:w="2551" w:type="dxa"/>
            <w:vMerge w:val="restart"/>
            <w:tcBorders>
              <w:left w:val="single" w:color="auto" w:sz="4" w:space="0"/>
              <w:right w:val="single" w:color="auto" w:sz="4" w:space="0"/>
            </w:tcBorders>
            <w:vAlign w:val="center"/>
          </w:tcPr>
          <w:p w14:paraId="1E4AD234">
            <w:pPr>
              <w:adjustRightInd w:val="0"/>
              <w:snapToGrid w:val="0"/>
              <w:jc w:val="center"/>
              <w:rPr>
                <w:color w:val="auto"/>
                <w:szCs w:val="21"/>
              </w:rPr>
            </w:pPr>
            <w:r>
              <w:rPr>
                <w:color w:val="auto"/>
                <w:szCs w:val="21"/>
              </w:rPr>
              <w:t>广东省地方标准《水污染物排放限值》（DB44/26-2001）第二时段三级标准以及园区污水处理厂接管水质要求两者较严值</w:t>
            </w:r>
          </w:p>
        </w:tc>
      </w:tr>
      <w:tr w14:paraId="0951F4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1" w:hRule="atLeast"/>
          <w:jc w:val="center"/>
        </w:trPr>
        <w:tc>
          <w:tcPr>
            <w:tcW w:w="962" w:type="dxa"/>
            <w:vMerge w:val="continue"/>
            <w:tcBorders>
              <w:left w:val="single" w:color="auto" w:sz="4" w:space="0"/>
              <w:right w:val="single" w:color="auto" w:sz="4" w:space="0"/>
            </w:tcBorders>
            <w:textDirection w:val="tbRlV"/>
            <w:vAlign w:val="center"/>
          </w:tcPr>
          <w:p w14:paraId="13461A0A">
            <w:pPr>
              <w:adjustRightInd w:val="0"/>
              <w:snapToGrid w:val="0"/>
              <w:jc w:val="center"/>
              <w:rPr>
                <w:color w:val="auto"/>
              </w:rPr>
            </w:pPr>
          </w:p>
        </w:tc>
        <w:tc>
          <w:tcPr>
            <w:tcW w:w="1630" w:type="dxa"/>
            <w:vMerge w:val="continue"/>
            <w:tcBorders>
              <w:left w:val="single" w:color="auto" w:sz="4" w:space="0"/>
            </w:tcBorders>
            <w:vAlign w:val="center"/>
          </w:tcPr>
          <w:p w14:paraId="505D4B15">
            <w:pPr>
              <w:adjustRightInd w:val="0"/>
              <w:snapToGrid w:val="0"/>
              <w:jc w:val="center"/>
              <w:rPr>
                <w:color w:val="auto"/>
              </w:rPr>
            </w:pPr>
          </w:p>
        </w:tc>
        <w:tc>
          <w:tcPr>
            <w:tcW w:w="1537" w:type="dxa"/>
            <w:tcBorders>
              <w:top w:val="single" w:color="auto" w:sz="4" w:space="0"/>
            </w:tcBorders>
            <w:vAlign w:val="center"/>
          </w:tcPr>
          <w:p w14:paraId="32C6ABD3">
            <w:pPr>
              <w:pStyle w:val="2"/>
              <w:spacing w:before="0" w:after="0" w:line="240" w:lineRule="auto"/>
              <w:ind w:left="0" w:leftChars="0" w:firstLine="0" w:firstLineChars="0"/>
              <w:jc w:val="center"/>
              <w:rPr>
                <w:color w:val="auto"/>
                <w:szCs w:val="21"/>
              </w:rPr>
            </w:pPr>
            <w:bookmarkStart w:id="225" w:name="_Toc26682"/>
            <w:r>
              <w:rPr>
                <w:rFonts w:eastAsia="宋体"/>
                <w:b w:val="0"/>
                <w:bCs w:val="0"/>
                <w:color w:val="auto"/>
                <w:sz w:val="21"/>
                <w:szCs w:val="21"/>
              </w:rPr>
              <w:t>COD</w:t>
            </w:r>
            <w:r>
              <w:rPr>
                <w:rFonts w:eastAsia="宋体"/>
                <w:b w:val="0"/>
                <w:bCs w:val="0"/>
                <w:color w:val="auto"/>
                <w:sz w:val="21"/>
                <w:szCs w:val="21"/>
                <w:vertAlign w:val="subscript"/>
              </w:rPr>
              <w:t>Cr</w:t>
            </w:r>
            <w:bookmarkEnd w:id="225"/>
          </w:p>
        </w:tc>
        <w:tc>
          <w:tcPr>
            <w:tcW w:w="2370" w:type="dxa"/>
            <w:vMerge w:val="continue"/>
            <w:vAlign w:val="center"/>
          </w:tcPr>
          <w:p w14:paraId="28EE6BE5">
            <w:pPr>
              <w:adjustRightInd w:val="0"/>
              <w:snapToGrid w:val="0"/>
              <w:jc w:val="center"/>
              <w:rPr>
                <w:color w:val="auto"/>
                <w:szCs w:val="21"/>
              </w:rPr>
            </w:pPr>
          </w:p>
        </w:tc>
        <w:tc>
          <w:tcPr>
            <w:tcW w:w="2551" w:type="dxa"/>
            <w:vMerge w:val="continue"/>
            <w:tcBorders>
              <w:left w:val="single" w:color="auto" w:sz="4" w:space="0"/>
              <w:right w:val="single" w:color="auto" w:sz="4" w:space="0"/>
            </w:tcBorders>
            <w:vAlign w:val="center"/>
          </w:tcPr>
          <w:p w14:paraId="23FDA61F">
            <w:pPr>
              <w:adjustRightInd w:val="0"/>
              <w:snapToGrid w:val="0"/>
              <w:jc w:val="center"/>
              <w:rPr>
                <w:color w:val="auto"/>
                <w:szCs w:val="21"/>
              </w:rPr>
            </w:pPr>
          </w:p>
        </w:tc>
      </w:tr>
      <w:tr w14:paraId="2995BA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1" w:hRule="atLeast"/>
          <w:jc w:val="center"/>
        </w:trPr>
        <w:tc>
          <w:tcPr>
            <w:tcW w:w="962" w:type="dxa"/>
            <w:vMerge w:val="continue"/>
            <w:tcBorders>
              <w:left w:val="single" w:color="auto" w:sz="4" w:space="0"/>
              <w:right w:val="single" w:color="auto" w:sz="4" w:space="0"/>
            </w:tcBorders>
            <w:textDirection w:val="tbRlV"/>
            <w:vAlign w:val="center"/>
          </w:tcPr>
          <w:p w14:paraId="13245033">
            <w:pPr>
              <w:adjustRightInd w:val="0"/>
              <w:snapToGrid w:val="0"/>
              <w:jc w:val="center"/>
              <w:rPr>
                <w:color w:val="auto"/>
                <w:szCs w:val="21"/>
              </w:rPr>
            </w:pPr>
          </w:p>
        </w:tc>
        <w:tc>
          <w:tcPr>
            <w:tcW w:w="1630" w:type="dxa"/>
            <w:vMerge w:val="continue"/>
            <w:tcBorders>
              <w:left w:val="single" w:color="auto" w:sz="4" w:space="0"/>
            </w:tcBorders>
            <w:vAlign w:val="center"/>
          </w:tcPr>
          <w:p w14:paraId="5CD9EE74">
            <w:pPr>
              <w:adjustRightInd w:val="0"/>
              <w:snapToGrid w:val="0"/>
              <w:jc w:val="center"/>
              <w:rPr>
                <w:color w:val="auto"/>
                <w:szCs w:val="21"/>
              </w:rPr>
            </w:pPr>
          </w:p>
        </w:tc>
        <w:tc>
          <w:tcPr>
            <w:tcW w:w="1537" w:type="dxa"/>
            <w:tcBorders>
              <w:top w:val="single" w:color="auto" w:sz="4" w:space="0"/>
            </w:tcBorders>
            <w:vAlign w:val="center"/>
          </w:tcPr>
          <w:p w14:paraId="2DEE55DA">
            <w:pPr>
              <w:pStyle w:val="2"/>
              <w:spacing w:before="0" w:after="0" w:line="240" w:lineRule="auto"/>
              <w:ind w:left="0" w:leftChars="0" w:firstLine="0" w:firstLineChars="0"/>
              <w:jc w:val="center"/>
              <w:rPr>
                <w:color w:val="auto"/>
                <w:szCs w:val="21"/>
              </w:rPr>
            </w:pPr>
            <w:bookmarkStart w:id="226" w:name="_Toc940"/>
            <w:r>
              <w:rPr>
                <w:rFonts w:eastAsia="宋体"/>
                <w:b w:val="0"/>
                <w:bCs w:val="0"/>
                <w:color w:val="auto"/>
                <w:sz w:val="21"/>
                <w:szCs w:val="21"/>
              </w:rPr>
              <w:t>BOD</w:t>
            </w:r>
            <w:r>
              <w:rPr>
                <w:rFonts w:eastAsia="宋体"/>
                <w:b w:val="0"/>
                <w:bCs w:val="0"/>
                <w:color w:val="auto"/>
                <w:sz w:val="21"/>
                <w:szCs w:val="21"/>
                <w:vertAlign w:val="subscript"/>
              </w:rPr>
              <w:t>5</w:t>
            </w:r>
            <w:bookmarkEnd w:id="226"/>
          </w:p>
        </w:tc>
        <w:tc>
          <w:tcPr>
            <w:tcW w:w="2370" w:type="dxa"/>
            <w:vMerge w:val="continue"/>
            <w:vAlign w:val="center"/>
          </w:tcPr>
          <w:p w14:paraId="6A21630A">
            <w:pPr>
              <w:adjustRightInd w:val="0"/>
              <w:snapToGrid w:val="0"/>
              <w:jc w:val="center"/>
              <w:rPr>
                <w:color w:val="auto"/>
                <w:szCs w:val="21"/>
              </w:rPr>
            </w:pPr>
          </w:p>
        </w:tc>
        <w:tc>
          <w:tcPr>
            <w:tcW w:w="2551" w:type="dxa"/>
            <w:vMerge w:val="continue"/>
            <w:tcBorders>
              <w:left w:val="single" w:color="auto" w:sz="4" w:space="0"/>
              <w:right w:val="single" w:color="auto" w:sz="4" w:space="0"/>
            </w:tcBorders>
            <w:vAlign w:val="center"/>
          </w:tcPr>
          <w:p w14:paraId="3D5BD0D1">
            <w:pPr>
              <w:adjustRightInd w:val="0"/>
              <w:snapToGrid w:val="0"/>
              <w:jc w:val="center"/>
              <w:rPr>
                <w:color w:val="auto"/>
                <w:szCs w:val="21"/>
              </w:rPr>
            </w:pPr>
          </w:p>
        </w:tc>
      </w:tr>
      <w:tr w14:paraId="52636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1" w:hRule="atLeast"/>
          <w:jc w:val="center"/>
        </w:trPr>
        <w:tc>
          <w:tcPr>
            <w:tcW w:w="962" w:type="dxa"/>
            <w:vMerge w:val="continue"/>
            <w:tcBorders>
              <w:left w:val="single" w:color="auto" w:sz="4" w:space="0"/>
              <w:right w:val="single" w:color="auto" w:sz="4" w:space="0"/>
            </w:tcBorders>
            <w:textDirection w:val="tbRlV"/>
            <w:vAlign w:val="center"/>
          </w:tcPr>
          <w:p w14:paraId="0950F848">
            <w:pPr>
              <w:adjustRightInd w:val="0"/>
              <w:snapToGrid w:val="0"/>
              <w:jc w:val="center"/>
              <w:rPr>
                <w:color w:val="auto"/>
                <w:szCs w:val="21"/>
              </w:rPr>
            </w:pPr>
          </w:p>
        </w:tc>
        <w:tc>
          <w:tcPr>
            <w:tcW w:w="1630" w:type="dxa"/>
            <w:vMerge w:val="continue"/>
            <w:tcBorders>
              <w:left w:val="single" w:color="auto" w:sz="4" w:space="0"/>
            </w:tcBorders>
            <w:vAlign w:val="center"/>
          </w:tcPr>
          <w:p w14:paraId="79D2D271">
            <w:pPr>
              <w:adjustRightInd w:val="0"/>
              <w:snapToGrid w:val="0"/>
              <w:jc w:val="center"/>
              <w:rPr>
                <w:color w:val="auto"/>
                <w:szCs w:val="21"/>
              </w:rPr>
            </w:pPr>
          </w:p>
        </w:tc>
        <w:tc>
          <w:tcPr>
            <w:tcW w:w="1537" w:type="dxa"/>
            <w:tcBorders>
              <w:top w:val="single" w:color="auto" w:sz="4" w:space="0"/>
            </w:tcBorders>
            <w:vAlign w:val="center"/>
          </w:tcPr>
          <w:p w14:paraId="44F9BF01">
            <w:pPr>
              <w:pStyle w:val="2"/>
              <w:spacing w:before="0" w:after="0" w:line="240" w:lineRule="auto"/>
              <w:ind w:left="0" w:leftChars="0" w:firstLine="0" w:firstLineChars="0"/>
              <w:jc w:val="center"/>
              <w:rPr>
                <w:color w:val="auto"/>
                <w:szCs w:val="21"/>
              </w:rPr>
            </w:pPr>
            <w:bookmarkStart w:id="227" w:name="_Toc5365"/>
            <w:r>
              <w:rPr>
                <w:rFonts w:eastAsia="宋体"/>
                <w:b w:val="0"/>
                <w:bCs w:val="0"/>
                <w:color w:val="auto"/>
                <w:sz w:val="21"/>
                <w:szCs w:val="21"/>
              </w:rPr>
              <w:t>NH</w:t>
            </w:r>
            <w:r>
              <w:rPr>
                <w:rFonts w:eastAsia="宋体"/>
                <w:b w:val="0"/>
                <w:bCs w:val="0"/>
                <w:color w:val="auto"/>
                <w:sz w:val="21"/>
                <w:szCs w:val="21"/>
                <w:vertAlign w:val="subscript"/>
              </w:rPr>
              <w:t>3</w:t>
            </w:r>
            <w:r>
              <w:rPr>
                <w:rFonts w:eastAsia="宋体"/>
                <w:b w:val="0"/>
                <w:bCs w:val="0"/>
                <w:color w:val="auto"/>
                <w:sz w:val="21"/>
                <w:szCs w:val="21"/>
              </w:rPr>
              <w:t>-N</w:t>
            </w:r>
            <w:bookmarkEnd w:id="227"/>
          </w:p>
        </w:tc>
        <w:tc>
          <w:tcPr>
            <w:tcW w:w="2370" w:type="dxa"/>
            <w:vMerge w:val="continue"/>
            <w:vAlign w:val="center"/>
          </w:tcPr>
          <w:p w14:paraId="1C4A45F1">
            <w:pPr>
              <w:adjustRightInd w:val="0"/>
              <w:snapToGrid w:val="0"/>
              <w:jc w:val="center"/>
              <w:rPr>
                <w:color w:val="auto"/>
                <w:szCs w:val="21"/>
              </w:rPr>
            </w:pPr>
          </w:p>
        </w:tc>
        <w:tc>
          <w:tcPr>
            <w:tcW w:w="2551" w:type="dxa"/>
            <w:vMerge w:val="continue"/>
            <w:tcBorders>
              <w:left w:val="single" w:color="auto" w:sz="4" w:space="0"/>
              <w:right w:val="single" w:color="auto" w:sz="4" w:space="0"/>
            </w:tcBorders>
            <w:vAlign w:val="center"/>
          </w:tcPr>
          <w:p w14:paraId="05FDFDB8">
            <w:pPr>
              <w:adjustRightInd w:val="0"/>
              <w:snapToGrid w:val="0"/>
              <w:jc w:val="center"/>
              <w:rPr>
                <w:color w:val="auto"/>
                <w:szCs w:val="21"/>
              </w:rPr>
            </w:pPr>
          </w:p>
        </w:tc>
      </w:tr>
      <w:tr w14:paraId="08EA0D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1" w:hRule="atLeast"/>
          <w:jc w:val="center"/>
        </w:trPr>
        <w:tc>
          <w:tcPr>
            <w:tcW w:w="962" w:type="dxa"/>
            <w:vMerge w:val="continue"/>
            <w:tcBorders>
              <w:left w:val="single" w:color="auto" w:sz="4" w:space="0"/>
              <w:right w:val="single" w:color="auto" w:sz="4" w:space="0"/>
            </w:tcBorders>
            <w:textDirection w:val="tbRlV"/>
            <w:vAlign w:val="center"/>
          </w:tcPr>
          <w:p w14:paraId="51818F8E">
            <w:pPr>
              <w:adjustRightInd w:val="0"/>
              <w:snapToGrid w:val="0"/>
              <w:jc w:val="center"/>
              <w:rPr>
                <w:color w:val="auto"/>
                <w:szCs w:val="21"/>
              </w:rPr>
            </w:pPr>
          </w:p>
        </w:tc>
        <w:tc>
          <w:tcPr>
            <w:tcW w:w="1630" w:type="dxa"/>
            <w:vMerge w:val="continue"/>
            <w:tcBorders>
              <w:left w:val="single" w:color="auto" w:sz="4" w:space="0"/>
            </w:tcBorders>
            <w:vAlign w:val="center"/>
          </w:tcPr>
          <w:p w14:paraId="70951C15">
            <w:pPr>
              <w:adjustRightInd w:val="0"/>
              <w:snapToGrid w:val="0"/>
              <w:jc w:val="center"/>
              <w:rPr>
                <w:color w:val="auto"/>
                <w:szCs w:val="21"/>
              </w:rPr>
            </w:pPr>
          </w:p>
        </w:tc>
        <w:tc>
          <w:tcPr>
            <w:tcW w:w="1537" w:type="dxa"/>
            <w:tcBorders>
              <w:top w:val="single" w:color="auto" w:sz="4" w:space="0"/>
            </w:tcBorders>
            <w:vAlign w:val="center"/>
          </w:tcPr>
          <w:p w14:paraId="187D6111">
            <w:pPr>
              <w:pStyle w:val="2"/>
              <w:spacing w:before="0" w:after="0" w:line="240" w:lineRule="auto"/>
              <w:ind w:left="0" w:leftChars="0" w:firstLine="0" w:firstLineChars="0"/>
              <w:jc w:val="center"/>
              <w:rPr>
                <w:color w:val="auto"/>
                <w:szCs w:val="21"/>
              </w:rPr>
            </w:pPr>
            <w:bookmarkStart w:id="228" w:name="_Toc18541"/>
            <w:r>
              <w:rPr>
                <w:rFonts w:eastAsia="宋体"/>
                <w:b w:val="0"/>
                <w:bCs w:val="0"/>
                <w:color w:val="auto"/>
                <w:sz w:val="21"/>
                <w:szCs w:val="21"/>
              </w:rPr>
              <w:t>SS</w:t>
            </w:r>
            <w:bookmarkEnd w:id="228"/>
          </w:p>
        </w:tc>
        <w:tc>
          <w:tcPr>
            <w:tcW w:w="2370" w:type="dxa"/>
            <w:vMerge w:val="continue"/>
            <w:vAlign w:val="center"/>
          </w:tcPr>
          <w:p w14:paraId="6D6DEA35">
            <w:pPr>
              <w:adjustRightInd w:val="0"/>
              <w:snapToGrid w:val="0"/>
              <w:jc w:val="center"/>
              <w:rPr>
                <w:color w:val="auto"/>
                <w:szCs w:val="21"/>
              </w:rPr>
            </w:pPr>
          </w:p>
        </w:tc>
        <w:tc>
          <w:tcPr>
            <w:tcW w:w="2551" w:type="dxa"/>
            <w:vMerge w:val="continue"/>
            <w:tcBorders>
              <w:left w:val="single" w:color="auto" w:sz="4" w:space="0"/>
              <w:right w:val="single" w:color="auto" w:sz="4" w:space="0"/>
            </w:tcBorders>
            <w:vAlign w:val="center"/>
          </w:tcPr>
          <w:p w14:paraId="702F1ED7">
            <w:pPr>
              <w:adjustRightInd w:val="0"/>
              <w:snapToGrid w:val="0"/>
              <w:jc w:val="center"/>
              <w:rPr>
                <w:color w:val="auto"/>
                <w:szCs w:val="21"/>
              </w:rPr>
            </w:pPr>
          </w:p>
        </w:tc>
      </w:tr>
      <w:tr w14:paraId="67DF29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62" w:type="dxa"/>
            <w:vMerge w:val="restart"/>
            <w:tcBorders>
              <w:left w:val="single" w:color="auto" w:sz="4" w:space="0"/>
              <w:right w:val="single" w:color="auto" w:sz="4" w:space="0"/>
            </w:tcBorders>
            <w:textDirection w:val="tbRlV"/>
            <w:vAlign w:val="center"/>
          </w:tcPr>
          <w:p w14:paraId="0A1696CC">
            <w:pPr>
              <w:adjustRightInd w:val="0"/>
              <w:snapToGrid w:val="0"/>
              <w:jc w:val="center"/>
              <w:rPr>
                <w:color w:val="auto"/>
                <w:szCs w:val="21"/>
              </w:rPr>
            </w:pPr>
            <w:r>
              <w:rPr>
                <w:color w:val="auto"/>
                <w:szCs w:val="21"/>
              </w:rPr>
              <w:t>固体废物</w:t>
            </w:r>
          </w:p>
        </w:tc>
        <w:tc>
          <w:tcPr>
            <w:tcW w:w="1630" w:type="dxa"/>
            <w:vMerge w:val="restart"/>
            <w:tcBorders>
              <w:left w:val="single" w:color="auto" w:sz="4" w:space="0"/>
            </w:tcBorders>
            <w:vAlign w:val="center"/>
          </w:tcPr>
          <w:p w14:paraId="1FA3BBA5">
            <w:pPr>
              <w:jc w:val="center"/>
              <w:rPr>
                <w:color w:val="auto"/>
                <w:szCs w:val="21"/>
              </w:rPr>
            </w:pPr>
            <w:r>
              <w:rPr>
                <w:color w:val="auto"/>
              </w:rPr>
              <w:t>一般固废</w:t>
            </w:r>
          </w:p>
        </w:tc>
        <w:tc>
          <w:tcPr>
            <w:tcW w:w="1537" w:type="dxa"/>
            <w:tcBorders>
              <w:top w:val="single" w:color="auto" w:sz="4" w:space="0"/>
            </w:tcBorders>
            <w:vAlign w:val="center"/>
          </w:tcPr>
          <w:p w14:paraId="676270DF">
            <w:pPr>
              <w:adjustRightInd w:val="0"/>
              <w:snapToGrid w:val="0"/>
              <w:jc w:val="center"/>
              <w:rPr>
                <w:snapToGrid w:val="0"/>
                <w:color w:val="auto"/>
                <w:spacing w:val="4"/>
                <w:kern w:val="0"/>
                <w:szCs w:val="21"/>
              </w:rPr>
            </w:pPr>
            <w:r>
              <w:rPr>
                <w:color w:val="auto"/>
                <w:szCs w:val="21"/>
              </w:rPr>
              <w:t>生活垃圾</w:t>
            </w:r>
          </w:p>
        </w:tc>
        <w:tc>
          <w:tcPr>
            <w:tcW w:w="2370" w:type="dxa"/>
            <w:vAlign w:val="center"/>
          </w:tcPr>
          <w:p w14:paraId="4691033D">
            <w:pPr>
              <w:adjustRightInd w:val="0"/>
              <w:snapToGrid w:val="0"/>
              <w:jc w:val="center"/>
              <w:rPr>
                <w:color w:val="auto"/>
                <w:szCs w:val="21"/>
              </w:rPr>
            </w:pPr>
            <w:r>
              <w:rPr>
                <w:color w:val="auto"/>
                <w:szCs w:val="21"/>
              </w:rPr>
              <w:t>交由环卫部门统一清运</w:t>
            </w:r>
          </w:p>
        </w:tc>
        <w:tc>
          <w:tcPr>
            <w:tcW w:w="2551" w:type="dxa"/>
            <w:vMerge w:val="restart"/>
            <w:tcBorders>
              <w:left w:val="single" w:color="auto" w:sz="4" w:space="0"/>
              <w:right w:val="single" w:color="auto" w:sz="4" w:space="0"/>
            </w:tcBorders>
            <w:vAlign w:val="center"/>
          </w:tcPr>
          <w:p w14:paraId="44360809">
            <w:pPr>
              <w:adjustRightInd w:val="0"/>
              <w:snapToGrid w:val="0"/>
              <w:jc w:val="center"/>
              <w:rPr>
                <w:color w:val="auto"/>
                <w:szCs w:val="21"/>
              </w:rPr>
            </w:pPr>
            <w:r>
              <w:rPr>
                <w:color w:val="auto"/>
                <w:szCs w:val="21"/>
              </w:rPr>
              <w:t>采取相应措施后，均可做到妥善处理，对项目所在地环境无不良影响</w:t>
            </w:r>
          </w:p>
        </w:tc>
      </w:tr>
      <w:tr w14:paraId="6E9A83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62" w:type="dxa"/>
            <w:vMerge w:val="continue"/>
            <w:tcBorders>
              <w:left w:val="single" w:color="auto" w:sz="4" w:space="0"/>
              <w:right w:val="single" w:color="auto" w:sz="4" w:space="0"/>
            </w:tcBorders>
            <w:textDirection w:val="tbRlV"/>
            <w:vAlign w:val="center"/>
          </w:tcPr>
          <w:p w14:paraId="77367AC9">
            <w:pPr>
              <w:adjustRightInd w:val="0"/>
              <w:snapToGrid w:val="0"/>
              <w:jc w:val="center"/>
              <w:rPr>
                <w:color w:val="auto"/>
                <w:szCs w:val="21"/>
              </w:rPr>
            </w:pPr>
          </w:p>
        </w:tc>
        <w:tc>
          <w:tcPr>
            <w:tcW w:w="1630" w:type="dxa"/>
            <w:vMerge w:val="continue"/>
            <w:tcBorders>
              <w:left w:val="single" w:color="auto" w:sz="4" w:space="0"/>
            </w:tcBorders>
            <w:vAlign w:val="center"/>
          </w:tcPr>
          <w:p w14:paraId="00117187">
            <w:pPr>
              <w:jc w:val="center"/>
              <w:rPr>
                <w:color w:val="auto"/>
                <w:szCs w:val="21"/>
              </w:rPr>
            </w:pPr>
          </w:p>
        </w:tc>
        <w:tc>
          <w:tcPr>
            <w:tcW w:w="1537" w:type="dxa"/>
            <w:tcBorders>
              <w:top w:val="single" w:color="auto" w:sz="4" w:space="0"/>
            </w:tcBorders>
            <w:vAlign w:val="center"/>
          </w:tcPr>
          <w:p w14:paraId="383CE8F0">
            <w:pPr>
              <w:adjustRightInd w:val="0"/>
              <w:snapToGrid w:val="0"/>
              <w:jc w:val="center"/>
              <w:rPr>
                <w:snapToGrid w:val="0"/>
                <w:color w:val="auto"/>
                <w:spacing w:val="4"/>
                <w:kern w:val="0"/>
                <w:szCs w:val="21"/>
              </w:rPr>
            </w:pPr>
            <w:r>
              <w:rPr>
                <w:color w:val="auto"/>
                <w:szCs w:val="21"/>
              </w:rPr>
              <w:t>一般废包装材料</w:t>
            </w:r>
          </w:p>
        </w:tc>
        <w:tc>
          <w:tcPr>
            <w:tcW w:w="2370" w:type="dxa"/>
            <w:vAlign w:val="center"/>
          </w:tcPr>
          <w:p w14:paraId="13C10F11">
            <w:pPr>
              <w:adjustRightInd w:val="0"/>
              <w:snapToGrid w:val="0"/>
              <w:jc w:val="center"/>
              <w:rPr>
                <w:color w:val="auto"/>
                <w:szCs w:val="21"/>
              </w:rPr>
            </w:pPr>
            <w:r>
              <w:rPr>
                <w:color w:val="auto"/>
                <w:szCs w:val="21"/>
              </w:rPr>
              <w:t>交专业单位回收处理</w:t>
            </w:r>
          </w:p>
        </w:tc>
        <w:tc>
          <w:tcPr>
            <w:tcW w:w="2551" w:type="dxa"/>
            <w:vMerge w:val="continue"/>
            <w:tcBorders>
              <w:left w:val="single" w:color="auto" w:sz="4" w:space="0"/>
              <w:right w:val="single" w:color="auto" w:sz="4" w:space="0"/>
            </w:tcBorders>
            <w:vAlign w:val="center"/>
          </w:tcPr>
          <w:p w14:paraId="706BB20D">
            <w:pPr>
              <w:adjustRightInd w:val="0"/>
              <w:snapToGrid w:val="0"/>
              <w:jc w:val="center"/>
              <w:rPr>
                <w:color w:val="auto"/>
                <w:szCs w:val="21"/>
              </w:rPr>
            </w:pPr>
          </w:p>
        </w:tc>
      </w:tr>
      <w:tr w14:paraId="205753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62" w:type="dxa"/>
            <w:vMerge w:val="continue"/>
            <w:tcBorders>
              <w:left w:val="single" w:color="auto" w:sz="4" w:space="0"/>
              <w:right w:val="single" w:color="auto" w:sz="4" w:space="0"/>
            </w:tcBorders>
            <w:textDirection w:val="tbRlV"/>
            <w:vAlign w:val="center"/>
          </w:tcPr>
          <w:p w14:paraId="38AECE05">
            <w:pPr>
              <w:adjustRightInd w:val="0"/>
              <w:snapToGrid w:val="0"/>
              <w:jc w:val="center"/>
              <w:rPr>
                <w:color w:val="auto"/>
                <w:szCs w:val="21"/>
              </w:rPr>
            </w:pPr>
          </w:p>
        </w:tc>
        <w:tc>
          <w:tcPr>
            <w:tcW w:w="1630" w:type="dxa"/>
            <w:vMerge w:val="restart"/>
            <w:tcBorders>
              <w:left w:val="single" w:color="auto" w:sz="4" w:space="0"/>
            </w:tcBorders>
            <w:vAlign w:val="center"/>
          </w:tcPr>
          <w:p w14:paraId="25226F0F">
            <w:pPr>
              <w:pStyle w:val="135"/>
              <w:autoSpaceDE/>
              <w:autoSpaceDN/>
              <w:snapToGrid w:val="0"/>
              <w:textAlignment w:val="auto"/>
              <w:rPr>
                <w:rFonts w:ascii="Times New Roman" w:hAnsi="Times New Roman"/>
                <w:color w:val="auto"/>
                <w:sz w:val="21"/>
                <w:szCs w:val="21"/>
              </w:rPr>
            </w:pPr>
            <w:r>
              <w:rPr>
                <w:rFonts w:ascii="Times New Roman" w:hAnsi="Times New Roman"/>
                <w:color w:val="auto"/>
                <w:sz w:val="21"/>
                <w:szCs w:val="21"/>
              </w:rPr>
              <w:t>危险废物</w:t>
            </w:r>
          </w:p>
        </w:tc>
        <w:tc>
          <w:tcPr>
            <w:tcW w:w="1537" w:type="dxa"/>
            <w:tcBorders>
              <w:top w:val="single" w:color="auto" w:sz="4" w:space="0"/>
            </w:tcBorders>
            <w:vAlign w:val="center"/>
          </w:tcPr>
          <w:p w14:paraId="350B52BD">
            <w:pPr>
              <w:widowControl/>
              <w:kinsoku w:val="0"/>
              <w:autoSpaceDE w:val="0"/>
              <w:autoSpaceDN w:val="0"/>
              <w:adjustRightInd w:val="0"/>
              <w:snapToGrid w:val="0"/>
              <w:spacing w:line="300" w:lineRule="exact"/>
              <w:jc w:val="center"/>
              <w:textAlignment w:val="baseline"/>
              <w:rPr>
                <w:snapToGrid w:val="0"/>
                <w:color w:val="auto"/>
                <w:spacing w:val="4"/>
                <w:kern w:val="0"/>
                <w:szCs w:val="21"/>
              </w:rPr>
            </w:pPr>
            <w:r>
              <w:rPr>
                <w:snapToGrid w:val="0"/>
                <w:color w:val="auto"/>
                <w:spacing w:val="4"/>
                <w:kern w:val="0"/>
                <w:szCs w:val="21"/>
              </w:rPr>
              <w:t>废原料包装桶</w:t>
            </w:r>
          </w:p>
        </w:tc>
        <w:tc>
          <w:tcPr>
            <w:tcW w:w="2370" w:type="dxa"/>
            <w:vMerge w:val="restart"/>
            <w:vAlign w:val="center"/>
          </w:tcPr>
          <w:p w14:paraId="0E71F0A8">
            <w:pPr>
              <w:pStyle w:val="135"/>
              <w:autoSpaceDE/>
              <w:autoSpaceDN/>
              <w:snapToGrid w:val="0"/>
              <w:textAlignment w:val="auto"/>
              <w:rPr>
                <w:rFonts w:ascii="Times New Roman" w:hAnsi="Times New Roman"/>
                <w:color w:val="auto"/>
                <w:sz w:val="21"/>
                <w:szCs w:val="21"/>
              </w:rPr>
            </w:pPr>
            <w:r>
              <w:rPr>
                <w:rFonts w:ascii="Times New Roman" w:hAnsi="Times New Roman"/>
                <w:color w:val="auto"/>
                <w:sz w:val="21"/>
                <w:szCs w:val="21"/>
              </w:rPr>
              <w:t>交由有资质单位处理</w:t>
            </w:r>
          </w:p>
        </w:tc>
        <w:tc>
          <w:tcPr>
            <w:tcW w:w="2551" w:type="dxa"/>
            <w:vMerge w:val="restart"/>
            <w:tcBorders>
              <w:left w:val="single" w:color="auto" w:sz="4" w:space="0"/>
              <w:right w:val="single" w:color="auto" w:sz="4" w:space="0"/>
            </w:tcBorders>
            <w:vAlign w:val="center"/>
          </w:tcPr>
          <w:p w14:paraId="442A2842">
            <w:pPr>
              <w:adjustRightInd w:val="0"/>
              <w:snapToGrid w:val="0"/>
              <w:jc w:val="center"/>
              <w:rPr>
                <w:color w:val="auto"/>
                <w:szCs w:val="21"/>
              </w:rPr>
            </w:pPr>
            <w:r>
              <w:rPr>
                <w:color w:val="auto"/>
                <w:szCs w:val="21"/>
              </w:rPr>
              <w:t>采取相应措施后，均可做到妥善处理，对项目所在地环境无不良影响</w:t>
            </w:r>
          </w:p>
        </w:tc>
      </w:tr>
      <w:tr w14:paraId="71E4C6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62" w:type="dxa"/>
            <w:vMerge w:val="continue"/>
            <w:tcBorders>
              <w:left w:val="single" w:color="auto" w:sz="4" w:space="0"/>
              <w:right w:val="single" w:color="auto" w:sz="4" w:space="0"/>
            </w:tcBorders>
            <w:textDirection w:val="tbRlV"/>
            <w:vAlign w:val="center"/>
          </w:tcPr>
          <w:p w14:paraId="513A9C49">
            <w:pPr>
              <w:adjustRightInd w:val="0"/>
              <w:snapToGrid w:val="0"/>
              <w:jc w:val="center"/>
              <w:rPr>
                <w:color w:val="auto"/>
                <w:szCs w:val="21"/>
              </w:rPr>
            </w:pPr>
          </w:p>
        </w:tc>
        <w:tc>
          <w:tcPr>
            <w:tcW w:w="1630" w:type="dxa"/>
            <w:vMerge w:val="continue"/>
            <w:tcBorders>
              <w:left w:val="single" w:color="auto" w:sz="4" w:space="0"/>
            </w:tcBorders>
            <w:vAlign w:val="center"/>
          </w:tcPr>
          <w:p w14:paraId="508A6E6A">
            <w:pPr>
              <w:pStyle w:val="135"/>
              <w:autoSpaceDE/>
              <w:autoSpaceDN/>
              <w:snapToGrid w:val="0"/>
              <w:textAlignment w:val="auto"/>
              <w:rPr>
                <w:rFonts w:ascii="Times New Roman" w:hAnsi="Times New Roman"/>
                <w:color w:val="auto"/>
                <w:sz w:val="21"/>
                <w:szCs w:val="21"/>
              </w:rPr>
            </w:pPr>
          </w:p>
        </w:tc>
        <w:tc>
          <w:tcPr>
            <w:tcW w:w="1537" w:type="dxa"/>
            <w:tcBorders>
              <w:top w:val="single" w:color="auto" w:sz="4" w:space="0"/>
            </w:tcBorders>
            <w:vAlign w:val="center"/>
          </w:tcPr>
          <w:p w14:paraId="69BAC6CD">
            <w:pPr>
              <w:widowControl/>
              <w:kinsoku w:val="0"/>
              <w:autoSpaceDE w:val="0"/>
              <w:autoSpaceDN w:val="0"/>
              <w:adjustRightInd w:val="0"/>
              <w:snapToGrid w:val="0"/>
              <w:spacing w:line="300" w:lineRule="exact"/>
              <w:jc w:val="center"/>
              <w:textAlignment w:val="baseline"/>
              <w:rPr>
                <w:color w:val="auto"/>
                <w:szCs w:val="21"/>
              </w:rPr>
            </w:pPr>
            <w:r>
              <w:rPr>
                <w:snapToGrid w:val="0"/>
                <w:color w:val="auto"/>
                <w:spacing w:val="4"/>
                <w:kern w:val="0"/>
                <w:szCs w:val="21"/>
              </w:rPr>
              <w:t>废活性炭</w:t>
            </w:r>
          </w:p>
        </w:tc>
        <w:tc>
          <w:tcPr>
            <w:tcW w:w="2370" w:type="dxa"/>
            <w:vMerge w:val="continue"/>
            <w:vAlign w:val="center"/>
          </w:tcPr>
          <w:p w14:paraId="3D698EB3">
            <w:pPr>
              <w:pStyle w:val="135"/>
              <w:autoSpaceDE/>
              <w:autoSpaceDN/>
              <w:snapToGrid w:val="0"/>
              <w:textAlignment w:val="auto"/>
              <w:rPr>
                <w:rFonts w:ascii="Times New Roman" w:hAnsi="Times New Roman"/>
                <w:color w:val="auto"/>
                <w:sz w:val="21"/>
                <w:szCs w:val="21"/>
              </w:rPr>
            </w:pPr>
          </w:p>
        </w:tc>
        <w:tc>
          <w:tcPr>
            <w:tcW w:w="2551" w:type="dxa"/>
            <w:vMerge w:val="continue"/>
            <w:tcBorders>
              <w:left w:val="single" w:color="auto" w:sz="4" w:space="0"/>
              <w:right w:val="single" w:color="auto" w:sz="4" w:space="0"/>
            </w:tcBorders>
            <w:vAlign w:val="center"/>
          </w:tcPr>
          <w:p w14:paraId="159435E8">
            <w:pPr>
              <w:adjustRightInd w:val="0"/>
              <w:snapToGrid w:val="0"/>
              <w:jc w:val="center"/>
              <w:rPr>
                <w:color w:val="auto"/>
                <w:szCs w:val="21"/>
              </w:rPr>
            </w:pPr>
          </w:p>
        </w:tc>
      </w:tr>
      <w:tr w14:paraId="2670A0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62" w:type="dxa"/>
            <w:tcBorders>
              <w:top w:val="single" w:color="auto" w:sz="4" w:space="0"/>
              <w:left w:val="single" w:color="auto" w:sz="6" w:space="0"/>
              <w:right w:val="single" w:color="auto" w:sz="4" w:space="0"/>
            </w:tcBorders>
            <w:vAlign w:val="center"/>
          </w:tcPr>
          <w:p w14:paraId="70A76417">
            <w:pPr>
              <w:adjustRightInd w:val="0"/>
              <w:snapToGrid w:val="0"/>
              <w:jc w:val="center"/>
              <w:rPr>
                <w:color w:val="auto"/>
                <w:szCs w:val="21"/>
              </w:rPr>
            </w:pPr>
            <w:r>
              <w:rPr>
                <w:color w:val="auto"/>
                <w:szCs w:val="21"/>
              </w:rPr>
              <w:t>声环境</w:t>
            </w:r>
          </w:p>
        </w:tc>
        <w:tc>
          <w:tcPr>
            <w:tcW w:w="1630" w:type="dxa"/>
            <w:tcBorders>
              <w:top w:val="single" w:color="auto" w:sz="4" w:space="0"/>
              <w:left w:val="single" w:color="auto" w:sz="4" w:space="0"/>
            </w:tcBorders>
            <w:vAlign w:val="center"/>
          </w:tcPr>
          <w:p w14:paraId="60B7C6DB">
            <w:pPr>
              <w:adjustRightInd w:val="0"/>
              <w:snapToGrid w:val="0"/>
              <w:jc w:val="center"/>
              <w:rPr>
                <w:color w:val="auto"/>
                <w:szCs w:val="21"/>
              </w:rPr>
            </w:pPr>
            <w:r>
              <w:rPr>
                <w:color w:val="auto"/>
                <w:szCs w:val="21"/>
              </w:rPr>
              <w:t>生产设备</w:t>
            </w:r>
          </w:p>
        </w:tc>
        <w:tc>
          <w:tcPr>
            <w:tcW w:w="1537" w:type="dxa"/>
            <w:tcBorders>
              <w:bottom w:val="single" w:color="auto" w:sz="4" w:space="0"/>
            </w:tcBorders>
            <w:vAlign w:val="center"/>
          </w:tcPr>
          <w:p w14:paraId="0554AD2F">
            <w:pPr>
              <w:adjustRightInd w:val="0"/>
              <w:snapToGrid w:val="0"/>
              <w:jc w:val="center"/>
              <w:rPr>
                <w:color w:val="auto"/>
                <w:szCs w:val="21"/>
              </w:rPr>
            </w:pPr>
            <w:r>
              <w:rPr>
                <w:color w:val="auto"/>
                <w:szCs w:val="21"/>
              </w:rPr>
              <w:t>噪声</w:t>
            </w:r>
          </w:p>
        </w:tc>
        <w:tc>
          <w:tcPr>
            <w:tcW w:w="2370" w:type="dxa"/>
            <w:vAlign w:val="center"/>
          </w:tcPr>
          <w:p w14:paraId="1C848D96">
            <w:pPr>
              <w:adjustRightInd w:val="0"/>
              <w:snapToGrid w:val="0"/>
              <w:jc w:val="center"/>
              <w:rPr>
                <w:color w:val="auto"/>
                <w:kern w:val="24"/>
                <w:szCs w:val="21"/>
              </w:rPr>
            </w:pPr>
            <w:r>
              <w:rPr>
                <w:color w:val="auto"/>
                <w:szCs w:val="21"/>
              </w:rPr>
              <w:t>基础减振、合理布置噪声源、厂房及绿化隔声等降噪措施</w:t>
            </w:r>
          </w:p>
        </w:tc>
        <w:tc>
          <w:tcPr>
            <w:tcW w:w="2551" w:type="dxa"/>
            <w:tcBorders>
              <w:bottom w:val="single" w:color="auto" w:sz="4" w:space="0"/>
              <w:right w:val="single" w:color="auto" w:sz="6" w:space="0"/>
            </w:tcBorders>
            <w:vAlign w:val="center"/>
          </w:tcPr>
          <w:p w14:paraId="24387F19">
            <w:pPr>
              <w:adjustRightInd w:val="0"/>
              <w:snapToGrid w:val="0"/>
              <w:jc w:val="center"/>
              <w:rPr>
                <w:color w:val="auto"/>
                <w:szCs w:val="21"/>
              </w:rPr>
            </w:pPr>
            <w:r>
              <w:rPr>
                <w:color w:val="auto"/>
                <w:szCs w:val="21"/>
              </w:rPr>
              <w:t>《工业企业厂界环境噪声排放标准》（GB12348-2008）中的3类标准</w:t>
            </w:r>
          </w:p>
        </w:tc>
      </w:tr>
      <w:tr w14:paraId="551D0B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70" w:hRule="atLeast"/>
          <w:jc w:val="center"/>
        </w:trPr>
        <w:tc>
          <w:tcPr>
            <w:tcW w:w="962" w:type="dxa"/>
            <w:tcBorders>
              <w:left w:val="single" w:color="auto" w:sz="6" w:space="0"/>
              <w:right w:val="single" w:color="auto" w:sz="4" w:space="0"/>
            </w:tcBorders>
            <w:vAlign w:val="center"/>
          </w:tcPr>
          <w:p w14:paraId="49BBAE63">
            <w:pPr>
              <w:adjustRightInd w:val="0"/>
              <w:snapToGrid w:val="0"/>
              <w:jc w:val="center"/>
              <w:rPr>
                <w:color w:val="auto"/>
                <w:szCs w:val="21"/>
              </w:rPr>
            </w:pPr>
            <w:r>
              <w:rPr>
                <w:color w:val="auto"/>
                <w:szCs w:val="21"/>
              </w:rPr>
              <w:t>土壤及地下水污染防治措施</w:t>
            </w:r>
          </w:p>
        </w:tc>
        <w:tc>
          <w:tcPr>
            <w:tcW w:w="8088" w:type="dxa"/>
            <w:gridSpan w:val="4"/>
            <w:tcBorders>
              <w:left w:val="single" w:color="auto" w:sz="4" w:space="0"/>
              <w:right w:val="single" w:color="auto" w:sz="6" w:space="0"/>
            </w:tcBorders>
            <w:vAlign w:val="center"/>
          </w:tcPr>
          <w:p w14:paraId="401DDFBC">
            <w:pPr>
              <w:adjustRightInd w:val="0"/>
              <w:snapToGrid w:val="0"/>
              <w:jc w:val="center"/>
              <w:rPr>
                <w:color w:val="auto"/>
              </w:rPr>
            </w:pPr>
            <w:r>
              <w:rPr>
                <w:color w:val="auto"/>
              </w:rPr>
              <w:t>厂房内的原辅材料储存区、危险废物暂存间进行地面硬底化处理，落实有效的防渗漏、防溢流措施，应满足《危险废物贮存污染控制标准》(GB18597-2023)要求。同时日常运行加强对原辅材料、固体废物出入储存的管理。</w:t>
            </w:r>
          </w:p>
        </w:tc>
      </w:tr>
      <w:tr w14:paraId="580EA8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2" w:hRule="atLeast"/>
          <w:jc w:val="center"/>
        </w:trPr>
        <w:tc>
          <w:tcPr>
            <w:tcW w:w="962" w:type="dxa"/>
            <w:tcBorders>
              <w:left w:val="single" w:color="auto" w:sz="6" w:space="0"/>
              <w:right w:val="single" w:color="auto" w:sz="4" w:space="0"/>
            </w:tcBorders>
            <w:vAlign w:val="center"/>
          </w:tcPr>
          <w:p w14:paraId="56619079">
            <w:pPr>
              <w:adjustRightInd w:val="0"/>
              <w:snapToGrid w:val="0"/>
              <w:jc w:val="center"/>
              <w:rPr>
                <w:color w:val="auto"/>
                <w:szCs w:val="21"/>
              </w:rPr>
            </w:pPr>
            <w:r>
              <w:rPr>
                <w:color w:val="auto"/>
                <w:szCs w:val="21"/>
              </w:rPr>
              <w:t>生态保护措施</w:t>
            </w:r>
          </w:p>
        </w:tc>
        <w:tc>
          <w:tcPr>
            <w:tcW w:w="8088" w:type="dxa"/>
            <w:gridSpan w:val="4"/>
            <w:tcBorders>
              <w:left w:val="single" w:color="auto" w:sz="4" w:space="0"/>
              <w:right w:val="single" w:color="auto" w:sz="6" w:space="0"/>
            </w:tcBorders>
            <w:vAlign w:val="center"/>
          </w:tcPr>
          <w:p w14:paraId="77F04832">
            <w:pPr>
              <w:adjustRightInd w:val="0"/>
              <w:snapToGrid w:val="0"/>
              <w:jc w:val="center"/>
              <w:rPr>
                <w:color w:val="auto"/>
                <w:szCs w:val="21"/>
              </w:rPr>
            </w:pPr>
            <w:r>
              <w:rPr>
                <w:color w:val="auto"/>
                <w:szCs w:val="21"/>
              </w:rPr>
              <w:t>/</w:t>
            </w:r>
          </w:p>
        </w:tc>
      </w:tr>
      <w:tr w14:paraId="67E672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1" w:hRule="atLeast"/>
          <w:jc w:val="center"/>
        </w:trPr>
        <w:tc>
          <w:tcPr>
            <w:tcW w:w="962" w:type="dxa"/>
            <w:tcBorders>
              <w:left w:val="single" w:color="auto" w:sz="6" w:space="0"/>
              <w:right w:val="single" w:color="auto" w:sz="4" w:space="0"/>
            </w:tcBorders>
            <w:vAlign w:val="center"/>
          </w:tcPr>
          <w:p w14:paraId="4575D172">
            <w:pPr>
              <w:adjustRightInd w:val="0"/>
              <w:snapToGrid w:val="0"/>
              <w:jc w:val="center"/>
              <w:rPr>
                <w:color w:val="auto"/>
                <w:szCs w:val="21"/>
              </w:rPr>
            </w:pPr>
            <w:r>
              <w:rPr>
                <w:color w:val="auto"/>
                <w:szCs w:val="21"/>
              </w:rPr>
              <w:t>环境风险防范措施</w:t>
            </w:r>
          </w:p>
        </w:tc>
        <w:tc>
          <w:tcPr>
            <w:tcW w:w="8088" w:type="dxa"/>
            <w:gridSpan w:val="4"/>
            <w:tcBorders>
              <w:left w:val="single" w:color="auto" w:sz="4" w:space="0"/>
              <w:right w:val="single" w:color="auto" w:sz="6" w:space="0"/>
            </w:tcBorders>
            <w:vAlign w:val="center"/>
          </w:tcPr>
          <w:p w14:paraId="53F0CC98">
            <w:pPr>
              <w:adjustRightInd w:val="0"/>
              <w:snapToGrid w:val="0"/>
              <w:jc w:val="left"/>
              <w:rPr>
                <w:color w:val="auto"/>
              </w:rPr>
            </w:pPr>
            <w:r>
              <w:rPr>
                <w:color w:val="auto"/>
              </w:rPr>
              <w:t>1.安排专人定期巡检，配备一定的消防、环境应急物资。</w:t>
            </w:r>
          </w:p>
          <w:p w14:paraId="57E5B650">
            <w:pPr>
              <w:adjustRightInd w:val="0"/>
              <w:snapToGrid w:val="0"/>
              <w:jc w:val="left"/>
              <w:rPr>
                <w:color w:val="auto"/>
              </w:rPr>
            </w:pPr>
            <w:r>
              <w:rPr>
                <w:color w:val="auto"/>
              </w:rPr>
              <w:t>2.用于储存危险化学品的物料仓库进行重点防渗，并设置围堰，其余区域作一般防渗，安全操作；配备一定的环境应急物资。</w:t>
            </w:r>
          </w:p>
          <w:p w14:paraId="229005C3">
            <w:pPr>
              <w:adjustRightInd w:val="0"/>
              <w:snapToGrid w:val="0"/>
              <w:jc w:val="left"/>
              <w:rPr>
                <w:color w:val="auto"/>
              </w:rPr>
            </w:pPr>
            <w:r>
              <w:rPr>
                <w:color w:val="auto"/>
              </w:rPr>
              <w:t>3.危废间进行重点防渗，安全操作，配备一定的环境应急物资。</w:t>
            </w:r>
          </w:p>
          <w:p w14:paraId="0A39D67F">
            <w:pPr>
              <w:adjustRightInd w:val="0"/>
              <w:snapToGrid w:val="0"/>
              <w:jc w:val="left"/>
              <w:rPr>
                <w:color w:val="auto"/>
              </w:rPr>
            </w:pPr>
            <w:r>
              <w:rPr>
                <w:color w:val="auto"/>
              </w:rPr>
              <w:t>4.废气治理设施定期进行检修，及时排除故障，废气处理设施故障时及时停产检修。</w:t>
            </w:r>
          </w:p>
        </w:tc>
      </w:tr>
      <w:tr w14:paraId="525E20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1" w:hRule="atLeast"/>
          <w:jc w:val="center"/>
        </w:trPr>
        <w:tc>
          <w:tcPr>
            <w:tcW w:w="962" w:type="dxa"/>
            <w:tcBorders>
              <w:left w:val="single" w:color="auto" w:sz="6" w:space="0"/>
              <w:right w:val="single" w:color="auto" w:sz="4" w:space="0"/>
            </w:tcBorders>
            <w:vAlign w:val="center"/>
          </w:tcPr>
          <w:p w14:paraId="0EC8F9BD">
            <w:pPr>
              <w:adjustRightInd w:val="0"/>
              <w:snapToGrid w:val="0"/>
              <w:jc w:val="center"/>
              <w:rPr>
                <w:color w:val="auto"/>
                <w:spacing w:val="-8"/>
                <w:szCs w:val="21"/>
              </w:rPr>
            </w:pPr>
            <w:r>
              <w:rPr>
                <w:color w:val="auto"/>
                <w:spacing w:val="-8"/>
                <w:szCs w:val="21"/>
              </w:rPr>
              <w:t>其他环境管理要求</w:t>
            </w:r>
          </w:p>
        </w:tc>
        <w:tc>
          <w:tcPr>
            <w:tcW w:w="8088" w:type="dxa"/>
            <w:gridSpan w:val="4"/>
            <w:tcBorders>
              <w:left w:val="single" w:color="auto" w:sz="4" w:space="0"/>
              <w:right w:val="single" w:color="auto" w:sz="6" w:space="0"/>
            </w:tcBorders>
            <w:vAlign w:val="center"/>
          </w:tcPr>
          <w:p w14:paraId="4F217A50">
            <w:pPr>
              <w:adjustRightInd w:val="0"/>
              <w:snapToGrid w:val="0"/>
              <w:jc w:val="center"/>
              <w:rPr>
                <w:color w:val="auto"/>
                <w:szCs w:val="21"/>
              </w:rPr>
            </w:pPr>
            <w:r>
              <w:rPr>
                <w:color w:val="auto"/>
                <w:szCs w:val="21"/>
              </w:rPr>
              <w:t>/</w:t>
            </w:r>
          </w:p>
        </w:tc>
      </w:tr>
    </w:tbl>
    <w:p w14:paraId="001D8590">
      <w:pPr>
        <w:pStyle w:val="33"/>
        <w:adjustRightInd w:val="0"/>
        <w:snapToGrid w:val="0"/>
        <w:jc w:val="center"/>
        <w:outlineLvl w:val="0"/>
        <w:rPr>
          <w:rFonts w:ascii="Times New Roman" w:hAnsi="Times New Roman" w:eastAsia="黑体" w:cs="Times New Roman"/>
          <w:snapToGrid w:val="0"/>
          <w:color w:val="auto"/>
          <w:sz w:val="30"/>
          <w:szCs w:val="30"/>
        </w:rPr>
      </w:pPr>
      <w:r>
        <w:rPr>
          <w:rFonts w:ascii="Times New Roman" w:hAnsi="Times New Roman" w:cs="Times New Roman"/>
          <w:snapToGrid w:val="0"/>
          <w:color w:val="auto"/>
        </w:rPr>
        <w:br w:type="page"/>
      </w:r>
      <w:bookmarkStart w:id="229" w:name="_Toc11505"/>
      <w:bookmarkStart w:id="230" w:name="_Toc378"/>
      <w:bookmarkStart w:id="231" w:name="_Toc23597_WPSOffice_Level1"/>
      <w:bookmarkStart w:id="232" w:name="_Toc7187_WPSOffice_Level1"/>
      <w:bookmarkStart w:id="233" w:name="_Toc12966"/>
      <w:bookmarkStart w:id="234" w:name="_Toc14105_WPSOffice_Level1"/>
      <w:bookmarkStart w:id="235" w:name="_Toc4625_WPSOffice_Level1"/>
      <w:r>
        <w:rPr>
          <w:rFonts w:ascii="Times New Roman" w:hAnsi="Times New Roman" w:eastAsia="黑体" w:cs="Times New Roman"/>
          <w:snapToGrid w:val="0"/>
          <w:color w:val="auto"/>
          <w:sz w:val="30"/>
          <w:szCs w:val="30"/>
        </w:rPr>
        <w:t>六、结论</w:t>
      </w:r>
      <w:bookmarkEnd w:id="229"/>
      <w:bookmarkEnd w:id="230"/>
      <w:bookmarkEnd w:id="231"/>
      <w:bookmarkEnd w:id="232"/>
      <w:bookmarkEnd w:id="233"/>
      <w:bookmarkEnd w:id="234"/>
      <w:bookmarkEnd w:id="235"/>
    </w:p>
    <w:tbl>
      <w:tblPr>
        <w:tblStyle w:val="37"/>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E2DD6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0799890F">
            <w:pPr>
              <w:adjustRightInd w:val="0"/>
              <w:snapToGrid w:val="0"/>
              <w:spacing w:line="360" w:lineRule="auto"/>
              <w:ind w:firstLine="480" w:firstLineChars="200"/>
              <w:rPr>
                <w:b/>
                <w:color w:val="auto"/>
                <w:sz w:val="24"/>
                <w:szCs w:val="21"/>
              </w:rPr>
            </w:pPr>
            <w:r>
              <w:rPr>
                <w:color w:val="auto"/>
                <w:sz w:val="24"/>
                <w:szCs w:val="21"/>
              </w:rPr>
              <w:t>综上所述，在建设单位采取相应措施达到本报告所提出的各项要求后，本项目的建设对环境将不会产生明显的影响。</w:t>
            </w:r>
            <w:r>
              <w:rPr>
                <w:b/>
                <w:bCs/>
                <w:color w:val="auto"/>
                <w:sz w:val="24"/>
                <w:szCs w:val="21"/>
              </w:rPr>
              <w:t>从环境保护角度而言，本项目的建设是可行的。</w:t>
            </w:r>
          </w:p>
          <w:p w14:paraId="282BAA37">
            <w:pPr>
              <w:adjustRightInd w:val="0"/>
              <w:snapToGrid w:val="0"/>
              <w:spacing w:line="360" w:lineRule="auto"/>
              <w:rPr>
                <w:color w:val="auto"/>
                <w:sz w:val="24"/>
              </w:rPr>
            </w:pPr>
          </w:p>
        </w:tc>
      </w:tr>
    </w:tbl>
    <w:p w14:paraId="2F96C829">
      <w:pPr>
        <w:adjustRightInd w:val="0"/>
        <w:snapToGrid w:val="0"/>
        <w:rPr>
          <w:color w:val="auto"/>
        </w:rPr>
        <w:sectPr>
          <w:pgSz w:w="11906" w:h="16838"/>
          <w:pgMar w:top="1417" w:right="1531" w:bottom="1417" w:left="1531" w:header="851" w:footer="1134" w:gutter="0"/>
          <w:cols w:space="720" w:num="1"/>
          <w:docGrid w:linePitch="312" w:charSpace="0"/>
        </w:sectPr>
      </w:pPr>
    </w:p>
    <w:p w14:paraId="5460D001">
      <w:pPr>
        <w:jc w:val="center"/>
        <w:outlineLvl w:val="0"/>
        <w:rPr>
          <w:color w:val="auto"/>
        </w:rPr>
      </w:pPr>
    </w:p>
    <w:sectPr>
      <w:headerReference r:id="rId9" w:type="default"/>
      <w:footerReference r:id="rId10" w:type="default"/>
      <w:pgSz w:w="16783" w:h="11850" w:orient="landscape"/>
      <w:pgMar w:top="1134" w:right="1701" w:bottom="1134" w:left="170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TimesNewRomanPSMT">
    <w:altName w:val="等线"/>
    <w:panose1 w:val="00000000000000000000"/>
    <w:charset w:val="86"/>
    <w:family w:val="auto"/>
    <w:pitch w:val="default"/>
    <w:sig w:usb0="00000000" w:usb1="00000000" w:usb2="00000010" w:usb3="00000000" w:csb0="00040000" w:csb1="00000000"/>
  </w:font>
  <w:font w:name="Impact">
    <w:panose1 w:val="020B0806030902050204"/>
    <w:charset w:val="00"/>
    <w:family w:val="swiss"/>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华文楷体">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ingsoft U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67A8B">
    <w:pPr>
      <w:pStyle w:val="2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0863F">
    <w:pPr>
      <w:pStyle w:val="27"/>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8721C">
    <w:pPr>
      <w:pStyle w:val="27"/>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A531E">
                          <w:pPr>
                            <w:pStyle w:val="27"/>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joN1CwCAABZBAAADgAAAAAAAAABACAAAAAfAQAAZHJzL2Uyb0RvYy54bWxQSwUGAAAAAAYA&#10;BgBZAQAAvQUAAAAA&#10;">
              <v:fill on="f" focussize="0,0"/>
              <v:stroke on="f" weight="0.5pt"/>
              <v:imagedata o:title=""/>
              <o:lock v:ext="edit" aspectratio="f"/>
              <v:textbox inset="0mm,0mm,0mm,0mm" style="mso-fit-shape-to-text:t;">
                <w:txbxContent>
                  <w:p w14:paraId="679A531E">
                    <w:pPr>
                      <w:pStyle w:val="27"/>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626E7">
    <w:pPr>
      <w:pStyle w:val="27"/>
      <w:ind w:right="360"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3A5B5">
                          <w:pPr>
                            <w:pStyle w:val="2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3AE3A5B5">
                    <w:pPr>
                      <w:pStyle w:val="2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6DB2B">
    <w:pPr>
      <w:pStyle w:val="27"/>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49225" cy="1828800"/>
              <wp:effectExtent l="0" t="0" r="0" b="0"/>
              <wp:wrapNone/>
              <wp:docPr id="159" name="文本框 159"/>
              <wp:cNvGraphicFramePr/>
              <a:graphic xmlns:a="http://schemas.openxmlformats.org/drawingml/2006/main">
                <a:graphicData uri="http://schemas.microsoft.com/office/word/2010/wordprocessingShape">
                  <wps:wsp>
                    <wps:cNvSpPr txBox="1"/>
                    <wps:spPr>
                      <a:xfrm>
                        <a:off x="0" y="0"/>
                        <a:ext cx="14922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2D703">
                          <w:pPr>
                            <w:pStyle w:val="27"/>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1.75pt;mso-position-horizontal:center;mso-position-horizontal-relative:margin;z-index:251661312;mso-width-relative:page;mso-height-relative:page;" filled="f" stroked="f" coordsize="21600,21600" o:gfxdata="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6mPi/TAAAABAEAAA8AAAAAAAAAAQAgAAAAIgAAAGRycy9kb3ducmV2LnhtbFBL&#10;AQIUABQAAAAIAIdO4kD7ZYKnNAIAAFoEAAAOAAAAAAAAAAEAIAAAACIBAABkcnMvZTJvRG9jLnht&#10;bFBLBQYAAAAABgAGAFkBAADIBQAAAAA=&#10;">
              <v:fill on="f" focussize="0,0"/>
              <v:stroke on="f" weight="0.5pt"/>
              <v:imagedata o:title=""/>
              <o:lock v:ext="edit" aspectratio="f"/>
              <v:textbox inset="0mm,0mm,0mm,0mm" style="mso-fit-shape-to-text:t;">
                <w:txbxContent>
                  <w:p w14:paraId="5082D703">
                    <w:pPr>
                      <w:pStyle w:val="27"/>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30033">
    <w:pPr>
      <w:spacing w:line="14" w:lineRule="auto"/>
      <w:rPr>
        <w:sz w:val="20"/>
        <w:szCs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FE626">
                          <w:pPr>
                            <w:pStyle w:val="27"/>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427FE626">
                    <w:pPr>
                      <w:pStyle w:val="27"/>
                    </w:pPr>
                    <w:r>
                      <w:fldChar w:fldCharType="begin"/>
                    </w:r>
                    <w:r>
                      <w:instrText xml:space="preserve"> PAGE  \* MERGEFORMAT </w:instrText>
                    </w:r>
                    <w:r>
                      <w:fldChar w:fldCharType="separate"/>
                    </w:r>
                    <w:r>
                      <w:t>93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D9A0C">
    <w:pPr>
      <w:pStyle w:val="2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8044B">
    <w:pPr>
      <w:pBdr>
        <w:top w:val="none" w:color="auto" w:sz="0" w:space="1"/>
        <w:left w:val="none" w:color="auto" w:sz="0" w:space="4"/>
        <w:bottom w:val="none" w:color="auto" w:sz="0" w:space="1"/>
        <w:right w:val="none" w:color="auto" w:sz="0" w:space="4"/>
      </w:pBdr>
      <w:tabs>
        <w:tab w:val="center" w:pos="4153"/>
        <w:tab w:val="right" w:pos="8306"/>
      </w:tabs>
      <w:kinsoku w:val="0"/>
      <w:autoSpaceDE w:val="0"/>
      <w:autoSpaceDN w:val="0"/>
      <w:adjustRightInd w:val="0"/>
      <w:snapToGrid w:val="0"/>
      <w:ind w:firstLine="360" w:firstLineChars="200"/>
      <w:textAlignment w:val="baseline"/>
      <w:rPr>
        <w:rFonts w:ascii="Arial" w:hAnsi="Arial" w:cs="Arial"/>
        <w:snapToGrid w:val="0"/>
        <w:color w:val="000000"/>
        <w:kern w:val="0"/>
        <w:sz w:val="18"/>
        <w:szCs w:val="21"/>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FFBBC"/>
    <w:multiLevelType w:val="singleLevel"/>
    <w:tmpl w:val="80BFFBBC"/>
    <w:lvl w:ilvl="0" w:tentative="0">
      <w:start w:val="1"/>
      <w:numFmt w:val="chineseCounting"/>
      <w:suff w:val="nothing"/>
      <w:lvlText w:val="%1、"/>
      <w:lvlJc w:val="left"/>
      <w:rPr>
        <w:rFonts w:hint="eastAsia"/>
      </w:rPr>
    </w:lvl>
  </w:abstractNum>
  <w:abstractNum w:abstractNumId="1">
    <w:nsid w:val="8BF8B4C9"/>
    <w:multiLevelType w:val="singleLevel"/>
    <w:tmpl w:val="8BF8B4C9"/>
    <w:lvl w:ilvl="0" w:tentative="0">
      <w:start w:val="1"/>
      <w:numFmt w:val="decimal"/>
      <w:suff w:val="nothing"/>
      <w:lvlText w:val="%1"/>
      <w:lvlJc w:val="center"/>
      <w:pPr>
        <w:ind w:left="0" w:firstLine="0"/>
      </w:pPr>
      <w:rPr>
        <w:rFonts w:hint="default"/>
      </w:rPr>
    </w:lvl>
  </w:abstractNum>
  <w:abstractNum w:abstractNumId="2">
    <w:nsid w:val="A345BD94"/>
    <w:multiLevelType w:val="singleLevel"/>
    <w:tmpl w:val="A345BD94"/>
    <w:lvl w:ilvl="0" w:tentative="0">
      <w:start w:val="1"/>
      <w:numFmt w:val="decimal"/>
      <w:suff w:val="nothing"/>
      <w:lvlText w:val="（%1）"/>
      <w:lvlJc w:val="left"/>
    </w:lvl>
  </w:abstractNum>
  <w:abstractNum w:abstractNumId="3">
    <w:nsid w:val="A3746A8F"/>
    <w:multiLevelType w:val="singleLevel"/>
    <w:tmpl w:val="A3746A8F"/>
    <w:lvl w:ilvl="0" w:tentative="0">
      <w:start w:val="2"/>
      <w:numFmt w:val="decimal"/>
      <w:suff w:val="nothing"/>
      <w:lvlText w:val="%1、"/>
      <w:lvlJc w:val="left"/>
    </w:lvl>
  </w:abstractNum>
  <w:abstractNum w:abstractNumId="4">
    <w:nsid w:val="BD966ED7"/>
    <w:multiLevelType w:val="singleLevel"/>
    <w:tmpl w:val="BD966ED7"/>
    <w:lvl w:ilvl="0" w:tentative="0">
      <w:start w:val="1"/>
      <w:numFmt w:val="decimal"/>
      <w:suff w:val="nothing"/>
      <w:lvlText w:val="%1、"/>
      <w:lvlJc w:val="left"/>
    </w:lvl>
  </w:abstractNum>
  <w:abstractNum w:abstractNumId="5">
    <w:nsid w:val="C2F48A0A"/>
    <w:multiLevelType w:val="singleLevel"/>
    <w:tmpl w:val="C2F48A0A"/>
    <w:lvl w:ilvl="0" w:tentative="0">
      <w:start w:val="1"/>
      <w:numFmt w:val="decimal"/>
      <w:suff w:val="nothing"/>
      <w:lvlText w:val="%1"/>
      <w:lvlJc w:val="center"/>
      <w:pPr>
        <w:ind w:left="0" w:firstLine="0"/>
      </w:pPr>
      <w:rPr>
        <w:rFonts w:hint="default"/>
      </w:rPr>
    </w:lvl>
  </w:abstractNum>
  <w:abstractNum w:abstractNumId="6">
    <w:nsid w:val="C34B403C"/>
    <w:multiLevelType w:val="singleLevel"/>
    <w:tmpl w:val="C34B403C"/>
    <w:lvl w:ilvl="0" w:tentative="0">
      <w:start w:val="1"/>
      <w:numFmt w:val="decimal"/>
      <w:suff w:val="nothing"/>
      <w:lvlText w:val="%1、"/>
      <w:lvlJc w:val="left"/>
    </w:lvl>
  </w:abstractNum>
  <w:abstractNum w:abstractNumId="7">
    <w:nsid w:val="D0D903B8"/>
    <w:multiLevelType w:val="singleLevel"/>
    <w:tmpl w:val="D0D903B8"/>
    <w:lvl w:ilvl="0" w:tentative="0">
      <w:start w:val="1"/>
      <w:numFmt w:val="decimal"/>
      <w:suff w:val="nothing"/>
      <w:lvlText w:val="%1"/>
      <w:lvlJc w:val="center"/>
      <w:pPr>
        <w:tabs>
          <w:tab w:val="left" w:pos="0"/>
        </w:tabs>
        <w:ind w:left="0" w:firstLine="0"/>
      </w:pPr>
      <w:rPr>
        <w:rFonts w:hint="default"/>
        <w:sz w:val="21"/>
        <w:szCs w:val="21"/>
      </w:rPr>
    </w:lvl>
  </w:abstractNum>
  <w:abstractNum w:abstractNumId="8">
    <w:nsid w:val="D4E59ED8"/>
    <w:multiLevelType w:val="singleLevel"/>
    <w:tmpl w:val="D4E59ED8"/>
    <w:lvl w:ilvl="0" w:tentative="0">
      <w:start w:val="1"/>
      <w:numFmt w:val="upperLetter"/>
      <w:lvlText w:val="%1、"/>
      <w:lvlJc w:val="left"/>
      <w:pPr>
        <w:ind w:left="440" w:hanging="440"/>
      </w:pPr>
    </w:lvl>
  </w:abstractNum>
  <w:abstractNum w:abstractNumId="9">
    <w:nsid w:val="E9D6D6B7"/>
    <w:multiLevelType w:val="singleLevel"/>
    <w:tmpl w:val="E9D6D6B7"/>
    <w:lvl w:ilvl="0" w:tentative="0">
      <w:start w:val="1"/>
      <w:numFmt w:val="decimal"/>
      <w:suff w:val="nothing"/>
      <w:lvlText w:val="%1"/>
      <w:lvlJc w:val="center"/>
      <w:pPr>
        <w:ind w:left="0" w:firstLine="0"/>
      </w:pPr>
      <w:rPr>
        <w:rFonts w:hint="default"/>
      </w:rPr>
    </w:lvl>
  </w:abstractNum>
  <w:abstractNum w:abstractNumId="10">
    <w:nsid w:val="F96B5D27"/>
    <w:multiLevelType w:val="singleLevel"/>
    <w:tmpl w:val="F96B5D27"/>
    <w:lvl w:ilvl="0" w:tentative="0">
      <w:start w:val="1"/>
      <w:numFmt w:val="decimal"/>
      <w:suff w:val="nothing"/>
      <w:lvlText w:val="%1、"/>
      <w:lvlJc w:val="left"/>
    </w:lvl>
  </w:abstractNum>
  <w:abstractNum w:abstractNumId="11">
    <w:nsid w:val="FA944725"/>
    <w:multiLevelType w:val="singleLevel"/>
    <w:tmpl w:val="FA944725"/>
    <w:lvl w:ilvl="0" w:tentative="0">
      <w:start w:val="1"/>
      <w:numFmt w:val="decimal"/>
      <w:suff w:val="nothing"/>
      <w:lvlText w:val="%1、"/>
      <w:lvlJc w:val="left"/>
    </w:lvl>
  </w:abstractNum>
  <w:abstractNum w:abstractNumId="12">
    <w:nsid w:val="00BDCD37"/>
    <w:multiLevelType w:val="singleLevel"/>
    <w:tmpl w:val="00BDCD37"/>
    <w:lvl w:ilvl="0" w:tentative="0">
      <w:start w:val="1"/>
      <w:numFmt w:val="chineseCounting"/>
      <w:suff w:val="nothing"/>
      <w:lvlText w:val="（%1）"/>
      <w:lvlJc w:val="left"/>
      <w:rPr>
        <w:rFonts w:hint="eastAsia"/>
      </w:rPr>
    </w:lvl>
  </w:abstractNum>
  <w:abstractNum w:abstractNumId="13">
    <w:nsid w:val="13AF6C82"/>
    <w:multiLevelType w:val="singleLevel"/>
    <w:tmpl w:val="13AF6C82"/>
    <w:lvl w:ilvl="0" w:tentative="0">
      <w:start w:val="1"/>
      <w:numFmt w:val="bullet"/>
      <w:pStyle w:val="11"/>
      <w:lvlText w:val=""/>
      <w:lvlJc w:val="left"/>
      <w:pPr>
        <w:tabs>
          <w:tab w:val="left" w:pos="780"/>
        </w:tabs>
        <w:ind w:left="780" w:hanging="360"/>
      </w:pPr>
      <w:rPr>
        <w:rFonts w:hint="default" w:ascii="Wingdings" w:hAnsi="Wingdings"/>
      </w:rPr>
    </w:lvl>
  </w:abstractNum>
  <w:abstractNum w:abstractNumId="14">
    <w:nsid w:val="144D1EB1"/>
    <w:multiLevelType w:val="singleLevel"/>
    <w:tmpl w:val="144D1EB1"/>
    <w:lvl w:ilvl="0" w:tentative="0">
      <w:start w:val="1"/>
      <w:numFmt w:val="decimal"/>
      <w:suff w:val="nothing"/>
      <w:lvlText w:val="%1、"/>
      <w:lvlJc w:val="left"/>
    </w:lvl>
  </w:abstractNum>
  <w:abstractNum w:abstractNumId="15">
    <w:nsid w:val="1CC6A13A"/>
    <w:multiLevelType w:val="singleLevel"/>
    <w:tmpl w:val="1CC6A13A"/>
    <w:lvl w:ilvl="0" w:tentative="0">
      <w:start w:val="3"/>
      <w:numFmt w:val="decimal"/>
      <w:suff w:val="nothing"/>
      <w:lvlText w:val="（%1）"/>
      <w:lvlJc w:val="left"/>
    </w:lvl>
  </w:abstractNum>
  <w:abstractNum w:abstractNumId="16">
    <w:nsid w:val="1EEBF92F"/>
    <w:multiLevelType w:val="singleLevel"/>
    <w:tmpl w:val="1EEBF92F"/>
    <w:lvl w:ilvl="0" w:tentative="0">
      <w:start w:val="1"/>
      <w:numFmt w:val="decimal"/>
      <w:suff w:val="nothing"/>
      <w:lvlText w:val="%1"/>
      <w:lvlJc w:val="center"/>
      <w:pPr>
        <w:ind w:left="0" w:firstLine="0"/>
      </w:pPr>
      <w:rPr>
        <w:rFonts w:hint="default"/>
      </w:rPr>
    </w:lvl>
  </w:abstractNum>
  <w:abstractNum w:abstractNumId="17">
    <w:nsid w:val="1FACBDA7"/>
    <w:multiLevelType w:val="singleLevel"/>
    <w:tmpl w:val="1FACBDA7"/>
    <w:lvl w:ilvl="0" w:tentative="0">
      <w:start w:val="1"/>
      <w:numFmt w:val="decimal"/>
      <w:lvlText w:val="(%1)"/>
      <w:lvlJc w:val="left"/>
      <w:pPr>
        <w:tabs>
          <w:tab w:val="left" w:pos="312"/>
        </w:tabs>
      </w:pPr>
    </w:lvl>
  </w:abstractNum>
  <w:abstractNum w:abstractNumId="18">
    <w:nsid w:val="2C6ECF80"/>
    <w:multiLevelType w:val="singleLevel"/>
    <w:tmpl w:val="2C6ECF80"/>
    <w:lvl w:ilvl="0" w:tentative="0">
      <w:start w:val="1"/>
      <w:numFmt w:val="decimal"/>
      <w:lvlText w:val="(%1)"/>
      <w:lvlJc w:val="left"/>
      <w:pPr>
        <w:tabs>
          <w:tab w:val="left" w:pos="312"/>
        </w:tabs>
      </w:pPr>
    </w:lvl>
  </w:abstractNum>
  <w:abstractNum w:abstractNumId="19">
    <w:nsid w:val="2F3E37A0"/>
    <w:multiLevelType w:val="singleLevel"/>
    <w:tmpl w:val="2F3E37A0"/>
    <w:lvl w:ilvl="0" w:tentative="0">
      <w:start w:val="6"/>
      <w:numFmt w:val="decimal"/>
      <w:suff w:val="nothing"/>
      <w:lvlText w:val="%1、"/>
      <w:lvlJc w:val="left"/>
    </w:lvl>
  </w:abstractNum>
  <w:abstractNum w:abstractNumId="20">
    <w:nsid w:val="31BA0E0A"/>
    <w:multiLevelType w:val="singleLevel"/>
    <w:tmpl w:val="31BA0E0A"/>
    <w:lvl w:ilvl="0" w:tentative="0">
      <w:start w:val="1"/>
      <w:numFmt w:val="decimal"/>
      <w:suff w:val="nothing"/>
      <w:lvlText w:val="%1"/>
      <w:lvlJc w:val="left"/>
      <w:pPr>
        <w:tabs>
          <w:tab w:val="left" w:pos="0"/>
        </w:tabs>
        <w:ind w:left="0" w:firstLine="0"/>
      </w:pPr>
      <w:rPr>
        <w:rFonts w:hint="default"/>
      </w:rPr>
    </w:lvl>
  </w:abstractNum>
  <w:abstractNum w:abstractNumId="21">
    <w:nsid w:val="345CBA26"/>
    <w:multiLevelType w:val="singleLevel"/>
    <w:tmpl w:val="345CBA26"/>
    <w:lvl w:ilvl="0" w:tentative="0">
      <w:start w:val="1"/>
      <w:numFmt w:val="decimal"/>
      <w:suff w:val="nothing"/>
      <w:lvlText w:val="%1"/>
      <w:lvlJc w:val="left"/>
      <w:pPr>
        <w:tabs>
          <w:tab w:val="left" w:pos="0"/>
        </w:tabs>
        <w:ind w:left="0" w:firstLine="0"/>
      </w:pPr>
      <w:rPr>
        <w:rFonts w:hint="default"/>
      </w:rPr>
    </w:lvl>
  </w:abstractNum>
  <w:abstractNum w:abstractNumId="22">
    <w:nsid w:val="515B707D"/>
    <w:multiLevelType w:val="singleLevel"/>
    <w:tmpl w:val="515B707D"/>
    <w:lvl w:ilvl="0" w:tentative="0">
      <w:start w:val="1"/>
      <w:numFmt w:val="decimal"/>
      <w:suff w:val="nothing"/>
      <w:lvlText w:val="%1、"/>
      <w:lvlJc w:val="left"/>
    </w:lvl>
  </w:abstractNum>
  <w:abstractNum w:abstractNumId="23">
    <w:nsid w:val="51BDDCF4"/>
    <w:multiLevelType w:val="singleLevel"/>
    <w:tmpl w:val="51BDDCF4"/>
    <w:lvl w:ilvl="0" w:tentative="0">
      <w:start w:val="1"/>
      <w:numFmt w:val="decimal"/>
      <w:suff w:val="nothing"/>
      <w:lvlText w:val="%1、"/>
      <w:lvlJc w:val="left"/>
    </w:lvl>
  </w:abstractNum>
  <w:abstractNum w:abstractNumId="24">
    <w:nsid w:val="5A10E1BF"/>
    <w:multiLevelType w:val="singleLevel"/>
    <w:tmpl w:val="5A10E1BF"/>
    <w:lvl w:ilvl="0" w:tentative="0">
      <w:start w:val="1"/>
      <w:numFmt w:val="decimal"/>
      <w:suff w:val="nothing"/>
      <w:lvlText w:val="%1"/>
      <w:lvlJc w:val="center"/>
      <w:pPr>
        <w:ind w:left="0" w:firstLine="0"/>
      </w:pPr>
      <w:rPr>
        <w:rFonts w:hint="default"/>
      </w:rPr>
    </w:lvl>
  </w:abstractNum>
  <w:abstractNum w:abstractNumId="25">
    <w:nsid w:val="7E84E819"/>
    <w:multiLevelType w:val="singleLevel"/>
    <w:tmpl w:val="7E84E819"/>
    <w:lvl w:ilvl="0" w:tentative="0">
      <w:start w:val="1"/>
      <w:numFmt w:val="decimal"/>
      <w:pStyle w:val="178"/>
      <w:suff w:val="space"/>
      <w:lvlText w:val="表1-%1"/>
      <w:lvlJc w:val="center"/>
      <w:pPr>
        <w:tabs>
          <w:tab w:val="left" w:pos="0"/>
        </w:tabs>
        <w:ind w:left="0" w:leftChars="0" w:firstLine="0" w:firstLineChars="0"/>
      </w:pPr>
      <w:rPr>
        <w:rFonts w:hint="default" w:ascii="Times New Roman" w:hAnsi="Times New Roman"/>
        <w:b/>
        <w:bCs/>
        <w:sz w:val="21"/>
        <w:szCs w:val="21"/>
      </w:rPr>
    </w:lvl>
  </w:abstractNum>
  <w:abstractNum w:abstractNumId="26">
    <w:nsid w:val="7F5C1D41"/>
    <w:multiLevelType w:val="singleLevel"/>
    <w:tmpl w:val="7F5C1D41"/>
    <w:lvl w:ilvl="0" w:tentative="0">
      <w:start w:val="2"/>
      <w:numFmt w:val="decimal"/>
      <w:suff w:val="nothing"/>
      <w:lvlText w:val="%1、"/>
      <w:lvlJc w:val="left"/>
    </w:lvl>
  </w:abstractNum>
  <w:num w:numId="1">
    <w:abstractNumId w:val="13"/>
  </w:num>
  <w:num w:numId="2">
    <w:abstractNumId w:val="25"/>
  </w:num>
  <w:num w:numId="3">
    <w:abstractNumId w:val="19"/>
  </w:num>
  <w:num w:numId="4">
    <w:abstractNumId w:val="12"/>
  </w:num>
  <w:num w:numId="5">
    <w:abstractNumId w:val="4"/>
  </w:num>
  <w:num w:numId="6">
    <w:abstractNumId w:val="3"/>
  </w:num>
  <w:num w:numId="7">
    <w:abstractNumId w:val="22"/>
  </w:num>
  <w:num w:numId="8">
    <w:abstractNumId w:val="26"/>
  </w:num>
  <w:num w:numId="9">
    <w:abstractNumId w:val="11"/>
  </w:num>
  <w:num w:numId="10">
    <w:abstractNumId w:val="23"/>
  </w:num>
  <w:num w:numId="11">
    <w:abstractNumId w:val="10"/>
  </w:num>
  <w:num w:numId="12">
    <w:abstractNumId w:val="6"/>
  </w:num>
  <w:num w:numId="13">
    <w:abstractNumId w:val="0"/>
  </w:num>
  <w:num w:numId="14">
    <w:abstractNumId w:val="7"/>
  </w:num>
  <w:num w:numId="15">
    <w:abstractNumId w:val="21"/>
  </w:num>
  <w:num w:numId="16">
    <w:abstractNumId w:val="20"/>
  </w:num>
  <w:num w:numId="17">
    <w:abstractNumId w:val="5"/>
  </w:num>
  <w:num w:numId="18">
    <w:abstractNumId w:val="14"/>
  </w:num>
  <w:num w:numId="19">
    <w:abstractNumId w:val="15"/>
  </w:num>
  <w:num w:numId="20">
    <w:abstractNumId w:val="8"/>
    <w:lvlOverride w:ilvl="0">
      <w:startOverride w:val="1"/>
    </w:lvlOverride>
  </w:num>
  <w:num w:numId="21">
    <w:abstractNumId w:val="2"/>
  </w:num>
  <w:num w:numId="22">
    <w:abstractNumId w:val="24"/>
  </w:num>
  <w:num w:numId="23">
    <w:abstractNumId w:val="16"/>
  </w:num>
  <w:num w:numId="24">
    <w:abstractNumId w:val="9"/>
  </w:num>
  <w:num w:numId="25">
    <w:abstractNumId w:val="18"/>
  </w:num>
  <w:num w:numId="26">
    <w:abstractNumId w:val="17"/>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0M2VkOTVjY2I0N2RiODE3MTFiNmU4ZDk2ZjBhNzkifQ=="/>
  </w:docVars>
  <w:rsids>
    <w:rsidRoot w:val="00172A27"/>
    <w:rsid w:val="00041C01"/>
    <w:rsid w:val="00055E53"/>
    <w:rsid w:val="00066D69"/>
    <w:rsid w:val="00082078"/>
    <w:rsid w:val="00085CCD"/>
    <w:rsid w:val="000A5AC0"/>
    <w:rsid w:val="000D4045"/>
    <w:rsid w:val="000E3AEF"/>
    <w:rsid w:val="0010103B"/>
    <w:rsid w:val="0010309D"/>
    <w:rsid w:val="00111689"/>
    <w:rsid w:val="001343DF"/>
    <w:rsid w:val="00172A27"/>
    <w:rsid w:val="001C0A11"/>
    <w:rsid w:val="001F4394"/>
    <w:rsid w:val="002018FB"/>
    <w:rsid w:val="002318E0"/>
    <w:rsid w:val="00232D43"/>
    <w:rsid w:val="00250EF6"/>
    <w:rsid w:val="002740E3"/>
    <w:rsid w:val="00283076"/>
    <w:rsid w:val="002A6466"/>
    <w:rsid w:val="002C100F"/>
    <w:rsid w:val="002D6559"/>
    <w:rsid w:val="0030474F"/>
    <w:rsid w:val="00357F71"/>
    <w:rsid w:val="003949CA"/>
    <w:rsid w:val="003B78EE"/>
    <w:rsid w:val="003F18CD"/>
    <w:rsid w:val="00412FDE"/>
    <w:rsid w:val="00415FC1"/>
    <w:rsid w:val="00417BDE"/>
    <w:rsid w:val="004207B1"/>
    <w:rsid w:val="00427413"/>
    <w:rsid w:val="00437DCF"/>
    <w:rsid w:val="004424D0"/>
    <w:rsid w:val="004A2752"/>
    <w:rsid w:val="004A5170"/>
    <w:rsid w:val="004B2034"/>
    <w:rsid w:val="004D6E59"/>
    <w:rsid w:val="004F43C0"/>
    <w:rsid w:val="005072BF"/>
    <w:rsid w:val="005362EB"/>
    <w:rsid w:val="00564299"/>
    <w:rsid w:val="00584121"/>
    <w:rsid w:val="005954E9"/>
    <w:rsid w:val="006077CC"/>
    <w:rsid w:val="00632FBF"/>
    <w:rsid w:val="00641A67"/>
    <w:rsid w:val="006442F5"/>
    <w:rsid w:val="00665BAD"/>
    <w:rsid w:val="00672F65"/>
    <w:rsid w:val="006A233D"/>
    <w:rsid w:val="006A6E65"/>
    <w:rsid w:val="006E35FE"/>
    <w:rsid w:val="00707DD1"/>
    <w:rsid w:val="007172CE"/>
    <w:rsid w:val="0072314A"/>
    <w:rsid w:val="0076392E"/>
    <w:rsid w:val="007D4475"/>
    <w:rsid w:val="007F69EA"/>
    <w:rsid w:val="00873541"/>
    <w:rsid w:val="00881AFC"/>
    <w:rsid w:val="008A6F00"/>
    <w:rsid w:val="008B1A1B"/>
    <w:rsid w:val="008B485A"/>
    <w:rsid w:val="008C4221"/>
    <w:rsid w:val="008D6F73"/>
    <w:rsid w:val="00917D69"/>
    <w:rsid w:val="009639F0"/>
    <w:rsid w:val="00973C17"/>
    <w:rsid w:val="00995996"/>
    <w:rsid w:val="009A0752"/>
    <w:rsid w:val="009B2CDC"/>
    <w:rsid w:val="009C0710"/>
    <w:rsid w:val="009C31D0"/>
    <w:rsid w:val="009C3513"/>
    <w:rsid w:val="009D583C"/>
    <w:rsid w:val="00A2058B"/>
    <w:rsid w:val="00A61973"/>
    <w:rsid w:val="00A65D22"/>
    <w:rsid w:val="00A80863"/>
    <w:rsid w:val="00A8169A"/>
    <w:rsid w:val="00AA7259"/>
    <w:rsid w:val="00AB639D"/>
    <w:rsid w:val="00AC4D07"/>
    <w:rsid w:val="00B37C51"/>
    <w:rsid w:val="00B51FF7"/>
    <w:rsid w:val="00BB472C"/>
    <w:rsid w:val="00BD0423"/>
    <w:rsid w:val="00C37CB8"/>
    <w:rsid w:val="00C65D25"/>
    <w:rsid w:val="00C91C98"/>
    <w:rsid w:val="00CA0977"/>
    <w:rsid w:val="00CB2F65"/>
    <w:rsid w:val="00CC1074"/>
    <w:rsid w:val="00CC12D0"/>
    <w:rsid w:val="00CF76B9"/>
    <w:rsid w:val="00D06709"/>
    <w:rsid w:val="00D237AD"/>
    <w:rsid w:val="00D33818"/>
    <w:rsid w:val="00D8110D"/>
    <w:rsid w:val="00DA0145"/>
    <w:rsid w:val="00DA3903"/>
    <w:rsid w:val="00DC78A4"/>
    <w:rsid w:val="00E33787"/>
    <w:rsid w:val="00E53911"/>
    <w:rsid w:val="00EC0EA8"/>
    <w:rsid w:val="00EE28B5"/>
    <w:rsid w:val="00F218CD"/>
    <w:rsid w:val="00F42AA5"/>
    <w:rsid w:val="00FA2043"/>
    <w:rsid w:val="00FA6E56"/>
    <w:rsid w:val="00FF7FA0"/>
    <w:rsid w:val="0115249E"/>
    <w:rsid w:val="0116312F"/>
    <w:rsid w:val="011B458E"/>
    <w:rsid w:val="01210DFA"/>
    <w:rsid w:val="01230F3F"/>
    <w:rsid w:val="0124693E"/>
    <w:rsid w:val="012D37B0"/>
    <w:rsid w:val="013730A5"/>
    <w:rsid w:val="0146468C"/>
    <w:rsid w:val="01483301"/>
    <w:rsid w:val="015118E7"/>
    <w:rsid w:val="01700752"/>
    <w:rsid w:val="0172320E"/>
    <w:rsid w:val="01901EC9"/>
    <w:rsid w:val="01A549C7"/>
    <w:rsid w:val="01A940BB"/>
    <w:rsid w:val="01A97A7E"/>
    <w:rsid w:val="01AE3368"/>
    <w:rsid w:val="01B84821"/>
    <w:rsid w:val="01BB18CF"/>
    <w:rsid w:val="01C06C86"/>
    <w:rsid w:val="01C20DAF"/>
    <w:rsid w:val="01CA2606"/>
    <w:rsid w:val="01D01EAA"/>
    <w:rsid w:val="01F66ABD"/>
    <w:rsid w:val="01FF3CF5"/>
    <w:rsid w:val="020149A5"/>
    <w:rsid w:val="02014B86"/>
    <w:rsid w:val="02015445"/>
    <w:rsid w:val="02077141"/>
    <w:rsid w:val="0208313C"/>
    <w:rsid w:val="020A20E9"/>
    <w:rsid w:val="020C63BC"/>
    <w:rsid w:val="020E772B"/>
    <w:rsid w:val="023F0F46"/>
    <w:rsid w:val="02483464"/>
    <w:rsid w:val="02651658"/>
    <w:rsid w:val="027A149C"/>
    <w:rsid w:val="027C608F"/>
    <w:rsid w:val="0288602A"/>
    <w:rsid w:val="028C27B2"/>
    <w:rsid w:val="028F20A6"/>
    <w:rsid w:val="029448B8"/>
    <w:rsid w:val="02970AAA"/>
    <w:rsid w:val="029807DD"/>
    <w:rsid w:val="029C4C3A"/>
    <w:rsid w:val="02A27878"/>
    <w:rsid w:val="02A64AEF"/>
    <w:rsid w:val="02A7505C"/>
    <w:rsid w:val="02AC1116"/>
    <w:rsid w:val="02B45830"/>
    <w:rsid w:val="02BB6EBF"/>
    <w:rsid w:val="02BC79B9"/>
    <w:rsid w:val="02C81E1C"/>
    <w:rsid w:val="02CB08DD"/>
    <w:rsid w:val="02E40283"/>
    <w:rsid w:val="02E50CC4"/>
    <w:rsid w:val="02F32860"/>
    <w:rsid w:val="02FA0276"/>
    <w:rsid w:val="030D1F63"/>
    <w:rsid w:val="030E3D82"/>
    <w:rsid w:val="030F51BC"/>
    <w:rsid w:val="03164268"/>
    <w:rsid w:val="03195AE7"/>
    <w:rsid w:val="032608B3"/>
    <w:rsid w:val="03360BA6"/>
    <w:rsid w:val="035041F5"/>
    <w:rsid w:val="035C0F7D"/>
    <w:rsid w:val="03626D01"/>
    <w:rsid w:val="0367564C"/>
    <w:rsid w:val="0374044B"/>
    <w:rsid w:val="037931B4"/>
    <w:rsid w:val="03857F05"/>
    <w:rsid w:val="038D7643"/>
    <w:rsid w:val="03922122"/>
    <w:rsid w:val="039F16C4"/>
    <w:rsid w:val="03A83419"/>
    <w:rsid w:val="03B31F8D"/>
    <w:rsid w:val="03B51943"/>
    <w:rsid w:val="03B73768"/>
    <w:rsid w:val="03B91EA2"/>
    <w:rsid w:val="03BF3D68"/>
    <w:rsid w:val="03C06A72"/>
    <w:rsid w:val="03C21E03"/>
    <w:rsid w:val="03C47C08"/>
    <w:rsid w:val="03DF6239"/>
    <w:rsid w:val="03E613BD"/>
    <w:rsid w:val="03EB5A37"/>
    <w:rsid w:val="03F343FE"/>
    <w:rsid w:val="04077E05"/>
    <w:rsid w:val="040A561C"/>
    <w:rsid w:val="040B6E6F"/>
    <w:rsid w:val="04206073"/>
    <w:rsid w:val="04213A68"/>
    <w:rsid w:val="044267A6"/>
    <w:rsid w:val="0444041B"/>
    <w:rsid w:val="0448063B"/>
    <w:rsid w:val="044E498E"/>
    <w:rsid w:val="04557DBB"/>
    <w:rsid w:val="046A4DC3"/>
    <w:rsid w:val="047F2E67"/>
    <w:rsid w:val="0480252A"/>
    <w:rsid w:val="04895318"/>
    <w:rsid w:val="048A5D47"/>
    <w:rsid w:val="04921D4D"/>
    <w:rsid w:val="04935879"/>
    <w:rsid w:val="04953A1E"/>
    <w:rsid w:val="04A8566C"/>
    <w:rsid w:val="04AE5E77"/>
    <w:rsid w:val="04CF2CEB"/>
    <w:rsid w:val="04D20EA2"/>
    <w:rsid w:val="04DE21B6"/>
    <w:rsid w:val="04DE6C91"/>
    <w:rsid w:val="04EC7361"/>
    <w:rsid w:val="04ED064B"/>
    <w:rsid w:val="04EF43C3"/>
    <w:rsid w:val="05021258"/>
    <w:rsid w:val="050A719C"/>
    <w:rsid w:val="05133495"/>
    <w:rsid w:val="05141712"/>
    <w:rsid w:val="051B6DD9"/>
    <w:rsid w:val="05265919"/>
    <w:rsid w:val="052B4CCF"/>
    <w:rsid w:val="053414CB"/>
    <w:rsid w:val="053B79DC"/>
    <w:rsid w:val="053D20FB"/>
    <w:rsid w:val="05420D54"/>
    <w:rsid w:val="05437633"/>
    <w:rsid w:val="05452D1B"/>
    <w:rsid w:val="05561194"/>
    <w:rsid w:val="055C6325"/>
    <w:rsid w:val="055F790D"/>
    <w:rsid w:val="056A6866"/>
    <w:rsid w:val="056B1F3F"/>
    <w:rsid w:val="056D7E55"/>
    <w:rsid w:val="05866B55"/>
    <w:rsid w:val="059C11FA"/>
    <w:rsid w:val="05A87724"/>
    <w:rsid w:val="05BB6D67"/>
    <w:rsid w:val="05CE45D2"/>
    <w:rsid w:val="05D7406F"/>
    <w:rsid w:val="05E240EC"/>
    <w:rsid w:val="05E56AF4"/>
    <w:rsid w:val="05E57D37"/>
    <w:rsid w:val="05F30B26"/>
    <w:rsid w:val="060570E3"/>
    <w:rsid w:val="060972B4"/>
    <w:rsid w:val="060972BF"/>
    <w:rsid w:val="06185487"/>
    <w:rsid w:val="062231D8"/>
    <w:rsid w:val="06370EDC"/>
    <w:rsid w:val="06431D9C"/>
    <w:rsid w:val="06646FCC"/>
    <w:rsid w:val="06647FA6"/>
    <w:rsid w:val="066C3554"/>
    <w:rsid w:val="06733A1F"/>
    <w:rsid w:val="06753411"/>
    <w:rsid w:val="0686724A"/>
    <w:rsid w:val="0694128C"/>
    <w:rsid w:val="069D5A24"/>
    <w:rsid w:val="06A0349B"/>
    <w:rsid w:val="06B0131A"/>
    <w:rsid w:val="06BD0E47"/>
    <w:rsid w:val="06D15E34"/>
    <w:rsid w:val="06D329FB"/>
    <w:rsid w:val="06D3710F"/>
    <w:rsid w:val="06D940F9"/>
    <w:rsid w:val="06DD3749"/>
    <w:rsid w:val="06E71965"/>
    <w:rsid w:val="07005665"/>
    <w:rsid w:val="070443A6"/>
    <w:rsid w:val="07052311"/>
    <w:rsid w:val="070F6C68"/>
    <w:rsid w:val="071B2356"/>
    <w:rsid w:val="071D4B2F"/>
    <w:rsid w:val="07294629"/>
    <w:rsid w:val="072B7F76"/>
    <w:rsid w:val="072F7E6A"/>
    <w:rsid w:val="073E70D8"/>
    <w:rsid w:val="07433CF3"/>
    <w:rsid w:val="07456433"/>
    <w:rsid w:val="07483944"/>
    <w:rsid w:val="07493433"/>
    <w:rsid w:val="07623825"/>
    <w:rsid w:val="07656380"/>
    <w:rsid w:val="076D0151"/>
    <w:rsid w:val="07852DC9"/>
    <w:rsid w:val="07945330"/>
    <w:rsid w:val="07987386"/>
    <w:rsid w:val="079C4963"/>
    <w:rsid w:val="07A1458F"/>
    <w:rsid w:val="07AD638F"/>
    <w:rsid w:val="07B0559B"/>
    <w:rsid w:val="07B85D35"/>
    <w:rsid w:val="07BA3909"/>
    <w:rsid w:val="07BA49A2"/>
    <w:rsid w:val="07BD51F1"/>
    <w:rsid w:val="07C45579"/>
    <w:rsid w:val="07C707D7"/>
    <w:rsid w:val="07CC5726"/>
    <w:rsid w:val="07E31045"/>
    <w:rsid w:val="07E850FA"/>
    <w:rsid w:val="07F939D5"/>
    <w:rsid w:val="07FA4D45"/>
    <w:rsid w:val="0803567E"/>
    <w:rsid w:val="0817295F"/>
    <w:rsid w:val="08174BB0"/>
    <w:rsid w:val="081859DF"/>
    <w:rsid w:val="081D2020"/>
    <w:rsid w:val="082231B1"/>
    <w:rsid w:val="08280FDE"/>
    <w:rsid w:val="0830412B"/>
    <w:rsid w:val="0842416E"/>
    <w:rsid w:val="08484EDE"/>
    <w:rsid w:val="085369D2"/>
    <w:rsid w:val="085B1D6F"/>
    <w:rsid w:val="086309DC"/>
    <w:rsid w:val="0863470A"/>
    <w:rsid w:val="086467B9"/>
    <w:rsid w:val="087252B9"/>
    <w:rsid w:val="08766C10"/>
    <w:rsid w:val="087F402B"/>
    <w:rsid w:val="08820B85"/>
    <w:rsid w:val="08917BE0"/>
    <w:rsid w:val="089431D5"/>
    <w:rsid w:val="089F6B82"/>
    <w:rsid w:val="08A10925"/>
    <w:rsid w:val="08BC04C2"/>
    <w:rsid w:val="08D16D05"/>
    <w:rsid w:val="08D46EF2"/>
    <w:rsid w:val="08D963F1"/>
    <w:rsid w:val="08DB7911"/>
    <w:rsid w:val="08DF3E3B"/>
    <w:rsid w:val="08E32682"/>
    <w:rsid w:val="08E52077"/>
    <w:rsid w:val="08F0620A"/>
    <w:rsid w:val="09024039"/>
    <w:rsid w:val="090B2B02"/>
    <w:rsid w:val="090E17B5"/>
    <w:rsid w:val="090E6555"/>
    <w:rsid w:val="0922463B"/>
    <w:rsid w:val="093D1475"/>
    <w:rsid w:val="09486D7C"/>
    <w:rsid w:val="094A112B"/>
    <w:rsid w:val="094D46EC"/>
    <w:rsid w:val="09546A4F"/>
    <w:rsid w:val="095E2C78"/>
    <w:rsid w:val="095E74E4"/>
    <w:rsid w:val="096906F3"/>
    <w:rsid w:val="097A625D"/>
    <w:rsid w:val="097B7AB8"/>
    <w:rsid w:val="097D6D63"/>
    <w:rsid w:val="09820733"/>
    <w:rsid w:val="09966B38"/>
    <w:rsid w:val="099C0779"/>
    <w:rsid w:val="09BB4EDF"/>
    <w:rsid w:val="09C4011F"/>
    <w:rsid w:val="09DE0250"/>
    <w:rsid w:val="09E60DC2"/>
    <w:rsid w:val="09EA585B"/>
    <w:rsid w:val="09F466A5"/>
    <w:rsid w:val="0A061210"/>
    <w:rsid w:val="0A0D52EB"/>
    <w:rsid w:val="0A10344F"/>
    <w:rsid w:val="0A141A00"/>
    <w:rsid w:val="0A173A74"/>
    <w:rsid w:val="0A216DF6"/>
    <w:rsid w:val="0A255FA7"/>
    <w:rsid w:val="0A29575D"/>
    <w:rsid w:val="0A2C5A95"/>
    <w:rsid w:val="0A3336B3"/>
    <w:rsid w:val="0A501853"/>
    <w:rsid w:val="0A537131"/>
    <w:rsid w:val="0A6B6511"/>
    <w:rsid w:val="0A6E7A3B"/>
    <w:rsid w:val="0A71519F"/>
    <w:rsid w:val="0A7C75DD"/>
    <w:rsid w:val="0A8458DA"/>
    <w:rsid w:val="0A886B01"/>
    <w:rsid w:val="0A9021C5"/>
    <w:rsid w:val="0A9061BE"/>
    <w:rsid w:val="0A934C7E"/>
    <w:rsid w:val="0A94591C"/>
    <w:rsid w:val="0A9767AB"/>
    <w:rsid w:val="0A9C544F"/>
    <w:rsid w:val="0A9E7CF1"/>
    <w:rsid w:val="0A9F77D7"/>
    <w:rsid w:val="0AAE6186"/>
    <w:rsid w:val="0AB57CA4"/>
    <w:rsid w:val="0AD7054A"/>
    <w:rsid w:val="0ADC4BB7"/>
    <w:rsid w:val="0ADE6970"/>
    <w:rsid w:val="0AE25376"/>
    <w:rsid w:val="0AE54150"/>
    <w:rsid w:val="0AEA4ECB"/>
    <w:rsid w:val="0AEB5C0B"/>
    <w:rsid w:val="0AF43ABA"/>
    <w:rsid w:val="0AFC10E6"/>
    <w:rsid w:val="0B0045B0"/>
    <w:rsid w:val="0B0A0160"/>
    <w:rsid w:val="0B0A026F"/>
    <w:rsid w:val="0B0A4F74"/>
    <w:rsid w:val="0B0D13B7"/>
    <w:rsid w:val="0B313428"/>
    <w:rsid w:val="0B3B3792"/>
    <w:rsid w:val="0B3F2038"/>
    <w:rsid w:val="0B4126E4"/>
    <w:rsid w:val="0B4A7BBD"/>
    <w:rsid w:val="0B4C675B"/>
    <w:rsid w:val="0B504DCF"/>
    <w:rsid w:val="0B573619"/>
    <w:rsid w:val="0B8246FE"/>
    <w:rsid w:val="0B852A0F"/>
    <w:rsid w:val="0B870982"/>
    <w:rsid w:val="0B8D0CC9"/>
    <w:rsid w:val="0BB27EF8"/>
    <w:rsid w:val="0BB517D9"/>
    <w:rsid w:val="0BBF53D5"/>
    <w:rsid w:val="0BCD0840"/>
    <w:rsid w:val="0BCE2A8C"/>
    <w:rsid w:val="0BF962B1"/>
    <w:rsid w:val="0BFE313E"/>
    <w:rsid w:val="0C0A11A2"/>
    <w:rsid w:val="0C120FA7"/>
    <w:rsid w:val="0C172D3E"/>
    <w:rsid w:val="0C2A437F"/>
    <w:rsid w:val="0C2C1AFC"/>
    <w:rsid w:val="0C2D495F"/>
    <w:rsid w:val="0C2F5972"/>
    <w:rsid w:val="0C3D737C"/>
    <w:rsid w:val="0C462AA0"/>
    <w:rsid w:val="0C4973ED"/>
    <w:rsid w:val="0C573708"/>
    <w:rsid w:val="0C77451B"/>
    <w:rsid w:val="0C797FDA"/>
    <w:rsid w:val="0C924A35"/>
    <w:rsid w:val="0C943286"/>
    <w:rsid w:val="0C995004"/>
    <w:rsid w:val="0C9C59D0"/>
    <w:rsid w:val="0CA737D5"/>
    <w:rsid w:val="0CAA73B4"/>
    <w:rsid w:val="0CAC521A"/>
    <w:rsid w:val="0CE539EC"/>
    <w:rsid w:val="0CE642FD"/>
    <w:rsid w:val="0CE85501"/>
    <w:rsid w:val="0CF20E57"/>
    <w:rsid w:val="0CF604C1"/>
    <w:rsid w:val="0D241088"/>
    <w:rsid w:val="0D2D242E"/>
    <w:rsid w:val="0D310B2D"/>
    <w:rsid w:val="0D3204BA"/>
    <w:rsid w:val="0D344F7F"/>
    <w:rsid w:val="0D5D20E6"/>
    <w:rsid w:val="0D702F3C"/>
    <w:rsid w:val="0D7F1852"/>
    <w:rsid w:val="0D823DB2"/>
    <w:rsid w:val="0D825D38"/>
    <w:rsid w:val="0D8E4BC1"/>
    <w:rsid w:val="0D905974"/>
    <w:rsid w:val="0D941960"/>
    <w:rsid w:val="0D9B38AF"/>
    <w:rsid w:val="0DBF54F2"/>
    <w:rsid w:val="0DC421DE"/>
    <w:rsid w:val="0DCE1066"/>
    <w:rsid w:val="0DCE4FC1"/>
    <w:rsid w:val="0DD138C4"/>
    <w:rsid w:val="0DE87A1A"/>
    <w:rsid w:val="0DEB1510"/>
    <w:rsid w:val="0DEF5BD1"/>
    <w:rsid w:val="0DF2614E"/>
    <w:rsid w:val="0DF92532"/>
    <w:rsid w:val="0DFA5B87"/>
    <w:rsid w:val="0E0153BF"/>
    <w:rsid w:val="0E062330"/>
    <w:rsid w:val="0E0C7729"/>
    <w:rsid w:val="0E253811"/>
    <w:rsid w:val="0E2B5FEA"/>
    <w:rsid w:val="0E371B9E"/>
    <w:rsid w:val="0E3A1B39"/>
    <w:rsid w:val="0E4D08C7"/>
    <w:rsid w:val="0E617972"/>
    <w:rsid w:val="0E625875"/>
    <w:rsid w:val="0E631512"/>
    <w:rsid w:val="0E647DE6"/>
    <w:rsid w:val="0E67368A"/>
    <w:rsid w:val="0E7019A5"/>
    <w:rsid w:val="0E7C4E65"/>
    <w:rsid w:val="0E91181E"/>
    <w:rsid w:val="0E934B2A"/>
    <w:rsid w:val="0E99714E"/>
    <w:rsid w:val="0E9A5ECD"/>
    <w:rsid w:val="0EA128DA"/>
    <w:rsid w:val="0EA91BD4"/>
    <w:rsid w:val="0EA96A21"/>
    <w:rsid w:val="0EAC3455"/>
    <w:rsid w:val="0EBC5559"/>
    <w:rsid w:val="0EBD5C79"/>
    <w:rsid w:val="0EBE4E06"/>
    <w:rsid w:val="0EC573E0"/>
    <w:rsid w:val="0ECC23A3"/>
    <w:rsid w:val="0ECC7523"/>
    <w:rsid w:val="0ED74DCE"/>
    <w:rsid w:val="0EDA4FAC"/>
    <w:rsid w:val="0EE00D2E"/>
    <w:rsid w:val="0EF33782"/>
    <w:rsid w:val="0EFB1BB6"/>
    <w:rsid w:val="0F0F13E1"/>
    <w:rsid w:val="0F144A26"/>
    <w:rsid w:val="0F1F58A5"/>
    <w:rsid w:val="0F244F11"/>
    <w:rsid w:val="0F290F95"/>
    <w:rsid w:val="0F2C36EF"/>
    <w:rsid w:val="0F375EDC"/>
    <w:rsid w:val="0F400316"/>
    <w:rsid w:val="0F400AF9"/>
    <w:rsid w:val="0F433F10"/>
    <w:rsid w:val="0F4B318D"/>
    <w:rsid w:val="0F532182"/>
    <w:rsid w:val="0F5A248F"/>
    <w:rsid w:val="0F6461A0"/>
    <w:rsid w:val="0F6875FC"/>
    <w:rsid w:val="0F693940"/>
    <w:rsid w:val="0F743EDF"/>
    <w:rsid w:val="0F7D273E"/>
    <w:rsid w:val="0F821DB3"/>
    <w:rsid w:val="0F8310E6"/>
    <w:rsid w:val="0F877CAB"/>
    <w:rsid w:val="0F8E6586"/>
    <w:rsid w:val="0F991EE4"/>
    <w:rsid w:val="0FA77C62"/>
    <w:rsid w:val="0FAC054F"/>
    <w:rsid w:val="0FB16862"/>
    <w:rsid w:val="0FB6788B"/>
    <w:rsid w:val="0FB732F7"/>
    <w:rsid w:val="0FC0256E"/>
    <w:rsid w:val="0FC643A9"/>
    <w:rsid w:val="0FC97C9F"/>
    <w:rsid w:val="0FD258CE"/>
    <w:rsid w:val="0FD93D44"/>
    <w:rsid w:val="0FDF0F86"/>
    <w:rsid w:val="0FF07530"/>
    <w:rsid w:val="10062804"/>
    <w:rsid w:val="100936FD"/>
    <w:rsid w:val="101D43F1"/>
    <w:rsid w:val="1020238D"/>
    <w:rsid w:val="1027408F"/>
    <w:rsid w:val="102B552E"/>
    <w:rsid w:val="1031492B"/>
    <w:rsid w:val="10386530"/>
    <w:rsid w:val="103E1D5B"/>
    <w:rsid w:val="10600FA6"/>
    <w:rsid w:val="106530CD"/>
    <w:rsid w:val="10671913"/>
    <w:rsid w:val="10734911"/>
    <w:rsid w:val="10894B2E"/>
    <w:rsid w:val="108C6F6A"/>
    <w:rsid w:val="10A047C3"/>
    <w:rsid w:val="10B31E4D"/>
    <w:rsid w:val="10BA66EE"/>
    <w:rsid w:val="10C508D8"/>
    <w:rsid w:val="10C634AA"/>
    <w:rsid w:val="10D5519A"/>
    <w:rsid w:val="10DA119F"/>
    <w:rsid w:val="10DB2B88"/>
    <w:rsid w:val="10DE3CA8"/>
    <w:rsid w:val="10E25205"/>
    <w:rsid w:val="10E730F1"/>
    <w:rsid w:val="10F43B27"/>
    <w:rsid w:val="10F46578"/>
    <w:rsid w:val="10FD1C16"/>
    <w:rsid w:val="11020FDA"/>
    <w:rsid w:val="110B127A"/>
    <w:rsid w:val="11183F4B"/>
    <w:rsid w:val="111C7EFE"/>
    <w:rsid w:val="111E0C02"/>
    <w:rsid w:val="112873FD"/>
    <w:rsid w:val="11317091"/>
    <w:rsid w:val="113635F8"/>
    <w:rsid w:val="113A4007"/>
    <w:rsid w:val="114D40BD"/>
    <w:rsid w:val="1150072A"/>
    <w:rsid w:val="11634CD7"/>
    <w:rsid w:val="11654820"/>
    <w:rsid w:val="11691059"/>
    <w:rsid w:val="117177BD"/>
    <w:rsid w:val="117A295D"/>
    <w:rsid w:val="1182316A"/>
    <w:rsid w:val="119010F0"/>
    <w:rsid w:val="11927A12"/>
    <w:rsid w:val="11A35471"/>
    <w:rsid w:val="11A55309"/>
    <w:rsid w:val="11AE61BC"/>
    <w:rsid w:val="11B00A48"/>
    <w:rsid w:val="11B31CE7"/>
    <w:rsid w:val="11D265D7"/>
    <w:rsid w:val="11E123CE"/>
    <w:rsid w:val="11E93C71"/>
    <w:rsid w:val="11EA0736"/>
    <w:rsid w:val="11FA1B24"/>
    <w:rsid w:val="12076C5F"/>
    <w:rsid w:val="120E5271"/>
    <w:rsid w:val="121D20F2"/>
    <w:rsid w:val="122729E3"/>
    <w:rsid w:val="122B78F6"/>
    <w:rsid w:val="12301CF4"/>
    <w:rsid w:val="1240690B"/>
    <w:rsid w:val="125553E6"/>
    <w:rsid w:val="125D1022"/>
    <w:rsid w:val="126D782D"/>
    <w:rsid w:val="12825471"/>
    <w:rsid w:val="128328E5"/>
    <w:rsid w:val="128D0D77"/>
    <w:rsid w:val="128E5207"/>
    <w:rsid w:val="129A1DAD"/>
    <w:rsid w:val="12AB489A"/>
    <w:rsid w:val="12B63043"/>
    <w:rsid w:val="12B7085D"/>
    <w:rsid w:val="12B80D6E"/>
    <w:rsid w:val="12D23689"/>
    <w:rsid w:val="12D67369"/>
    <w:rsid w:val="12E2136E"/>
    <w:rsid w:val="12ED2DCF"/>
    <w:rsid w:val="12FA24C5"/>
    <w:rsid w:val="13037EEA"/>
    <w:rsid w:val="130723DA"/>
    <w:rsid w:val="131040DC"/>
    <w:rsid w:val="1315136D"/>
    <w:rsid w:val="131F3C28"/>
    <w:rsid w:val="13243B78"/>
    <w:rsid w:val="133F0DFB"/>
    <w:rsid w:val="134D1A62"/>
    <w:rsid w:val="13532DD0"/>
    <w:rsid w:val="13540636"/>
    <w:rsid w:val="13555339"/>
    <w:rsid w:val="13560EEC"/>
    <w:rsid w:val="1358677F"/>
    <w:rsid w:val="13594A30"/>
    <w:rsid w:val="135A50B8"/>
    <w:rsid w:val="137E34AD"/>
    <w:rsid w:val="13805611"/>
    <w:rsid w:val="138349DA"/>
    <w:rsid w:val="13870851"/>
    <w:rsid w:val="139539BD"/>
    <w:rsid w:val="13983E78"/>
    <w:rsid w:val="13A564F0"/>
    <w:rsid w:val="13C23088"/>
    <w:rsid w:val="13C84E4F"/>
    <w:rsid w:val="13C939EE"/>
    <w:rsid w:val="13D87AC2"/>
    <w:rsid w:val="13E170CD"/>
    <w:rsid w:val="13E47DAB"/>
    <w:rsid w:val="13FC6704"/>
    <w:rsid w:val="13FD1632"/>
    <w:rsid w:val="14117786"/>
    <w:rsid w:val="14132826"/>
    <w:rsid w:val="141925E2"/>
    <w:rsid w:val="142E4AAC"/>
    <w:rsid w:val="142F3E4D"/>
    <w:rsid w:val="143D5684"/>
    <w:rsid w:val="14465218"/>
    <w:rsid w:val="14465682"/>
    <w:rsid w:val="14482F9F"/>
    <w:rsid w:val="14521A87"/>
    <w:rsid w:val="146A7461"/>
    <w:rsid w:val="146D0E60"/>
    <w:rsid w:val="14777D02"/>
    <w:rsid w:val="14787B76"/>
    <w:rsid w:val="147B08B2"/>
    <w:rsid w:val="147F0C7F"/>
    <w:rsid w:val="14847EB4"/>
    <w:rsid w:val="149046B6"/>
    <w:rsid w:val="149264F3"/>
    <w:rsid w:val="14B873F0"/>
    <w:rsid w:val="14C00AF7"/>
    <w:rsid w:val="14C87450"/>
    <w:rsid w:val="14E802B2"/>
    <w:rsid w:val="14EF3787"/>
    <w:rsid w:val="14F35954"/>
    <w:rsid w:val="150418BD"/>
    <w:rsid w:val="15080357"/>
    <w:rsid w:val="151005D5"/>
    <w:rsid w:val="151500F9"/>
    <w:rsid w:val="15190B26"/>
    <w:rsid w:val="151F0225"/>
    <w:rsid w:val="1521721A"/>
    <w:rsid w:val="15534F45"/>
    <w:rsid w:val="15541662"/>
    <w:rsid w:val="15623992"/>
    <w:rsid w:val="15652D26"/>
    <w:rsid w:val="156A27C6"/>
    <w:rsid w:val="156F0F99"/>
    <w:rsid w:val="156F1CF4"/>
    <w:rsid w:val="15806013"/>
    <w:rsid w:val="15877D00"/>
    <w:rsid w:val="15886D2F"/>
    <w:rsid w:val="15894594"/>
    <w:rsid w:val="158E14BB"/>
    <w:rsid w:val="15934B3E"/>
    <w:rsid w:val="159464D6"/>
    <w:rsid w:val="15A24298"/>
    <w:rsid w:val="15A27129"/>
    <w:rsid w:val="15A42379"/>
    <w:rsid w:val="15A9396A"/>
    <w:rsid w:val="15B12A8F"/>
    <w:rsid w:val="15BA68CE"/>
    <w:rsid w:val="15C0597A"/>
    <w:rsid w:val="15C355AB"/>
    <w:rsid w:val="15C45AC9"/>
    <w:rsid w:val="15C50BFB"/>
    <w:rsid w:val="15C9315D"/>
    <w:rsid w:val="15CF16A7"/>
    <w:rsid w:val="15CF7829"/>
    <w:rsid w:val="15D16456"/>
    <w:rsid w:val="15D8055B"/>
    <w:rsid w:val="15DB0EA4"/>
    <w:rsid w:val="15E33B75"/>
    <w:rsid w:val="15EF69A1"/>
    <w:rsid w:val="15F86E50"/>
    <w:rsid w:val="15F97D2F"/>
    <w:rsid w:val="15FD3EEB"/>
    <w:rsid w:val="15FD565A"/>
    <w:rsid w:val="16086FF3"/>
    <w:rsid w:val="160873DF"/>
    <w:rsid w:val="16091694"/>
    <w:rsid w:val="161101F6"/>
    <w:rsid w:val="16194A95"/>
    <w:rsid w:val="162255F0"/>
    <w:rsid w:val="162A7777"/>
    <w:rsid w:val="16333A0A"/>
    <w:rsid w:val="16385CA8"/>
    <w:rsid w:val="163B18EC"/>
    <w:rsid w:val="16477027"/>
    <w:rsid w:val="165F011A"/>
    <w:rsid w:val="16607FDA"/>
    <w:rsid w:val="1674701F"/>
    <w:rsid w:val="167E113F"/>
    <w:rsid w:val="168326F3"/>
    <w:rsid w:val="168737FA"/>
    <w:rsid w:val="16895CFA"/>
    <w:rsid w:val="16A47F1B"/>
    <w:rsid w:val="16AD0C87"/>
    <w:rsid w:val="16B604A6"/>
    <w:rsid w:val="16BB1820"/>
    <w:rsid w:val="16BC223E"/>
    <w:rsid w:val="16BD1FFD"/>
    <w:rsid w:val="16DE4126"/>
    <w:rsid w:val="16E32DEE"/>
    <w:rsid w:val="16EF6780"/>
    <w:rsid w:val="16FF575B"/>
    <w:rsid w:val="17081A5A"/>
    <w:rsid w:val="170A2C0C"/>
    <w:rsid w:val="17103DDA"/>
    <w:rsid w:val="17114142"/>
    <w:rsid w:val="172107DA"/>
    <w:rsid w:val="172451D6"/>
    <w:rsid w:val="17290354"/>
    <w:rsid w:val="172E2DE2"/>
    <w:rsid w:val="17302362"/>
    <w:rsid w:val="173B1EC3"/>
    <w:rsid w:val="173C20BE"/>
    <w:rsid w:val="173E1CDF"/>
    <w:rsid w:val="173F62DF"/>
    <w:rsid w:val="17494767"/>
    <w:rsid w:val="17514A4A"/>
    <w:rsid w:val="17594914"/>
    <w:rsid w:val="17604CAC"/>
    <w:rsid w:val="176220B5"/>
    <w:rsid w:val="176513BB"/>
    <w:rsid w:val="17727052"/>
    <w:rsid w:val="17736DC9"/>
    <w:rsid w:val="17893DBE"/>
    <w:rsid w:val="17894050"/>
    <w:rsid w:val="178C29F6"/>
    <w:rsid w:val="179268EF"/>
    <w:rsid w:val="17A06A73"/>
    <w:rsid w:val="17A9347F"/>
    <w:rsid w:val="17BC2BA7"/>
    <w:rsid w:val="17D15BAA"/>
    <w:rsid w:val="17DB0EF9"/>
    <w:rsid w:val="17EC0950"/>
    <w:rsid w:val="180252DD"/>
    <w:rsid w:val="18031CD2"/>
    <w:rsid w:val="180705EC"/>
    <w:rsid w:val="181141BF"/>
    <w:rsid w:val="18301B55"/>
    <w:rsid w:val="183167AD"/>
    <w:rsid w:val="183D5A60"/>
    <w:rsid w:val="18416C6F"/>
    <w:rsid w:val="184519F4"/>
    <w:rsid w:val="184E0DCC"/>
    <w:rsid w:val="184E2251"/>
    <w:rsid w:val="184F37ED"/>
    <w:rsid w:val="18692C03"/>
    <w:rsid w:val="187F5606"/>
    <w:rsid w:val="1881777E"/>
    <w:rsid w:val="18A150D1"/>
    <w:rsid w:val="18AA4ACE"/>
    <w:rsid w:val="18B06199"/>
    <w:rsid w:val="18CD45C3"/>
    <w:rsid w:val="18D019BE"/>
    <w:rsid w:val="18D55226"/>
    <w:rsid w:val="18DB5C85"/>
    <w:rsid w:val="18E61F77"/>
    <w:rsid w:val="18E96610"/>
    <w:rsid w:val="18EF17D4"/>
    <w:rsid w:val="18F65412"/>
    <w:rsid w:val="18FD2A6E"/>
    <w:rsid w:val="1903456B"/>
    <w:rsid w:val="19055D62"/>
    <w:rsid w:val="1907738F"/>
    <w:rsid w:val="19183D6F"/>
    <w:rsid w:val="192137AF"/>
    <w:rsid w:val="192166BD"/>
    <w:rsid w:val="194406A1"/>
    <w:rsid w:val="194B54E8"/>
    <w:rsid w:val="194F7205"/>
    <w:rsid w:val="19556E7C"/>
    <w:rsid w:val="1958643D"/>
    <w:rsid w:val="19586951"/>
    <w:rsid w:val="196D4A0F"/>
    <w:rsid w:val="1970037C"/>
    <w:rsid w:val="1971292B"/>
    <w:rsid w:val="19750620"/>
    <w:rsid w:val="197F2406"/>
    <w:rsid w:val="198D62B5"/>
    <w:rsid w:val="198E700E"/>
    <w:rsid w:val="198F5F37"/>
    <w:rsid w:val="199134B6"/>
    <w:rsid w:val="199B7543"/>
    <w:rsid w:val="19AA6E6D"/>
    <w:rsid w:val="19AC5283"/>
    <w:rsid w:val="19AE4A5E"/>
    <w:rsid w:val="19BB38AB"/>
    <w:rsid w:val="19BE3F0C"/>
    <w:rsid w:val="19C11A90"/>
    <w:rsid w:val="19C71013"/>
    <w:rsid w:val="19D7310D"/>
    <w:rsid w:val="19D94BCC"/>
    <w:rsid w:val="19DB6C5B"/>
    <w:rsid w:val="19E51A54"/>
    <w:rsid w:val="19EB237B"/>
    <w:rsid w:val="19EE6547"/>
    <w:rsid w:val="1A015967"/>
    <w:rsid w:val="1A081AFF"/>
    <w:rsid w:val="1A1A711A"/>
    <w:rsid w:val="1A287DF6"/>
    <w:rsid w:val="1A34067F"/>
    <w:rsid w:val="1A3607AB"/>
    <w:rsid w:val="1A3652AF"/>
    <w:rsid w:val="1A37159D"/>
    <w:rsid w:val="1A465FC2"/>
    <w:rsid w:val="1A50725A"/>
    <w:rsid w:val="1A562397"/>
    <w:rsid w:val="1A574EEB"/>
    <w:rsid w:val="1A584361"/>
    <w:rsid w:val="1A5F749D"/>
    <w:rsid w:val="1A6854CC"/>
    <w:rsid w:val="1A6A58F3"/>
    <w:rsid w:val="1A7370B4"/>
    <w:rsid w:val="1A756D09"/>
    <w:rsid w:val="1A805159"/>
    <w:rsid w:val="1A8B2B51"/>
    <w:rsid w:val="1A8D2FE0"/>
    <w:rsid w:val="1AA37D82"/>
    <w:rsid w:val="1AA46BAD"/>
    <w:rsid w:val="1AA70A95"/>
    <w:rsid w:val="1ABA0B77"/>
    <w:rsid w:val="1ABC487C"/>
    <w:rsid w:val="1ABC6F82"/>
    <w:rsid w:val="1AC55816"/>
    <w:rsid w:val="1AC83401"/>
    <w:rsid w:val="1ACB75E9"/>
    <w:rsid w:val="1ACF336B"/>
    <w:rsid w:val="1AEF3DF3"/>
    <w:rsid w:val="1AF15B0E"/>
    <w:rsid w:val="1AF35E37"/>
    <w:rsid w:val="1AF50A57"/>
    <w:rsid w:val="1AFE50F5"/>
    <w:rsid w:val="1B0B03A8"/>
    <w:rsid w:val="1B125FC2"/>
    <w:rsid w:val="1B263082"/>
    <w:rsid w:val="1B306F4E"/>
    <w:rsid w:val="1B38601F"/>
    <w:rsid w:val="1B395DC9"/>
    <w:rsid w:val="1B3C385C"/>
    <w:rsid w:val="1B433BCB"/>
    <w:rsid w:val="1B49173F"/>
    <w:rsid w:val="1B4C4A90"/>
    <w:rsid w:val="1B590519"/>
    <w:rsid w:val="1B5D4A17"/>
    <w:rsid w:val="1B5D7058"/>
    <w:rsid w:val="1B6202C0"/>
    <w:rsid w:val="1B6E79EB"/>
    <w:rsid w:val="1B974A15"/>
    <w:rsid w:val="1BB36650"/>
    <w:rsid w:val="1BB54BE2"/>
    <w:rsid w:val="1BD74452"/>
    <w:rsid w:val="1BDB0B9C"/>
    <w:rsid w:val="1BDE2644"/>
    <w:rsid w:val="1BEA0FE8"/>
    <w:rsid w:val="1BF55789"/>
    <w:rsid w:val="1BF854AA"/>
    <w:rsid w:val="1BF96EC2"/>
    <w:rsid w:val="1BFC4317"/>
    <w:rsid w:val="1C040959"/>
    <w:rsid w:val="1C0856E2"/>
    <w:rsid w:val="1C163B8C"/>
    <w:rsid w:val="1C170114"/>
    <w:rsid w:val="1C24225E"/>
    <w:rsid w:val="1C277032"/>
    <w:rsid w:val="1C3306BE"/>
    <w:rsid w:val="1C400BF6"/>
    <w:rsid w:val="1C4A452D"/>
    <w:rsid w:val="1C5060C2"/>
    <w:rsid w:val="1C530673"/>
    <w:rsid w:val="1C533CAB"/>
    <w:rsid w:val="1C715398"/>
    <w:rsid w:val="1C7767B0"/>
    <w:rsid w:val="1C7E168D"/>
    <w:rsid w:val="1C7E6AA5"/>
    <w:rsid w:val="1C943657"/>
    <w:rsid w:val="1CAA22CA"/>
    <w:rsid w:val="1CBE502D"/>
    <w:rsid w:val="1CE16684"/>
    <w:rsid w:val="1CE855CA"/>
    <w:rsid w:val="1CEC768E"/>
    <w:rsid w:val="1CF01DC8"/>
    <w:rsid w:val="1CFD65A6"/>
    <w:rsid w:val="1D075740"/>
    <w:rsid w:val="1D0D1E52"/>
    <w:rsid w:val="1D3723D1"/>
    <w:rsid w:val="1D3A646D"/>
    <w:rsid w:val="1D3A7FAB"/>
    <w:rsid w:val="1D3F0B73"/>
    <w:rsid w:val="1D402683"/>
    <w:rsid w:val="1D407F17"/>
    <w:rsid w:val="1D437BE0"/>
    <w:rsid w:val="1D477723"/>
    <w:rsid w:val="1D4C2E8F"/>
    <w:rsid w:val="1D4F4A3A"/>
    <w:rsid w:val="1D5A3773"/>
    <w:rsid w:val="1D5F79FB"/>
    <w:rsid w:val="1D630719"/>
    <w:rsid w:val="1D6A1F13"/>
    <w:rsid w:val="1D6E17A5"/>
    <w:rsid w:val="1D73167E"/>
    <w:rsid w:val="1D7D5632"/>
    <w:rsid w:val="1D8C153C"/>
    <w:rsid w:val="1D99437E"/>
    <w:rsid w:val="1D9F3377"/>
    <w:rsid w:val="1DAA4ED3"/>
    <w:rsid w:val="1DC3198C"/>
    <w:rsid w:val="1DC557E2"/>
    <w:rsid w:val="1DC94585"/>
    <w:rsid w:val="1DCA2E80"/>
    <w:rsid w:val="1DD441FF"/>
    <w:rsid w:val="1DDE0649"/>
    <w:rsid w:val="1DED6D13"/>
    <w:rsid w:val="1DF779ED"/>
    <w:rsid w:val="1E181E88"/>
    <w:rsid w:val="1E1C6C43"/>
    <w:rsid w:val="1E1D5C42"/>
    <w:rsid w:val="1E217763"/>
    <w:rsid w:val="1E3830FE"/>
    <w:rsid w:val="1E403142"/>
    <w:rsid w:val="1E4104C8"/>
    <w:rsid w:val="1E4225B6"/>
    <w:rsid w:val="1E4A0F72"/>
    <w:rsid w:val="1E5119AA"/>
    <w:rsid w:val="1E57672E"/>
    <w:rsid w:val="1E582088"/>
    <w:rsid w:val="1E5B2EFF"/>
    <w:rsid w:val="1E5B61CE"/>
    <w:rsid w:val="1E5E6A53"/>
    <w:rsid w:val="1E656653"/>
    <w:rsid w:val="1E684081"/>
    <w:rsid w:val="1E6A5475"/>
    <w:rsid w:val="1E6F67F6"/>
    <w:rsid w:val="1E7134CC"/>
    <w:rsid w:val="1E7B5051"/>
    <w:rsid w:val="1E8000F5"/>
    <w:rsid w:val="1E90481B"/>
    <w:rsid w:val="1E946D23"/>
    <w:rsid w:val="1EA0577A"/>
    <w:rsid w:val="1EB25882"/>
    <w:rsid w:val="1ECE6562"/>
    <w:rsid w:val="1ED32208"/>
    <w:rsid w:val="1EDA71F2"/>
    <w:rsid w:val="1EEC336F"/>
    <w:rsid w:val="1EEE05B5"/>
    <w:rsid w:val="1EFB0BBB"/>
    <w:rsid w:val="1F0A1604"/>
    <w:rsid w:val="1F0B522A"/>
    <w:rsid w:val="1F1774DB"/>
    <w:rsid w:val="1F22316C"/>
    <w:rsid w:val="1F3149BA"/>
    <w:rsid w:val="1F385CFF"/>
    <w:rsid w:val="1F393ACC"/>
    <w:rsid w:val="1F4B0C61"/>
    <w:rsid w:val="1F5A000D"/>
    <w:rsid w:val="1F7B3120"/>
    <w:rsid w:val="1F8115F5"/>
    <w:rsid w:val="1FA46CB2"/>
    <w:rsid w:val="1FB52A9F"/>
    <w:rsid w:val="1FDB6D13"/>
    <w:rsid w:val="1FE30C84"/>
    <w:rsid w:val="1FE37C2C"/>
    <w:rsid w:val="1FE67D19"/>
    <w:rsid w:val="1FE7281C"/>
    <w:rsid w:val="1FE84BCD"/>
    <w:rsid w:val="20037B0D"/>
    <w:rsid w:val="200A1185"/>
    <w:rsid w:val="2015593F"/>
    <w:rsid w:val="201E3CA1"/>
    <w:rsid w:val="20247704"/>
    <w:rsid w:val="203B62C7"/>
    <w:rsid w:val="204333BD"/>
    <w:rsid w:val="204607B7"/>
    <w:rsid w:val="20481CF7"/>
    <w:rsid w:val="204C04C4"/>
    <w:rsid w:val="207A409D"/>
    <w:rsid w:val="20817A88"/>
    <w:rsid w:val="208573DA"/>
    <w:rsid w:val="2088623B"/>
    <w:rsid w:val="208F3E33"/>
    <w:rsid w:val="20962A57"/>
    <w:rsid w:val="20967624"/>
    <w:rsid w:val="20A26336"/>
    <w:rsid w:val="20AD351F"/>
    <w:rsid w:val="20B91196"/>
    <w:rsid w:val="20BE2F62"/>
    <w:rsid w:val="20C1695B"/>
    <w:rsid w:val="20CB5D46"/>
    <w:rsid w:val="20DB7AF0"/>
    <w:rsid w:val="20DF4C72"/>
    <w:rsid w:val="20E06727"/>
    <w:rsid w:val="20E4744F"/>
    <w:rsid w:val="20E66B1C"/>
    <w:rsid w:val="20EB1EC4"/>
    <w:rsid w:val="20F63F8C"/>
    <w:rsid w:val="20FA153E"/>
    <w:rsid w:val="20FB00CA"/>
    <w:rsid w:val="20FB0BD0"/>
    <w:rsid w:val="2101552A"/>
    <w:rsid w:val="210508C0"/>
    <w:rsid w:val="210D0C48"/>
    <w:rsid w:val="210E0976"/>
    <w:rsid w:val="21195A64"/>
    <w:rsid w:val="213E1D98"/>
    <w:rsid w:val="21452AEA"/>
    <w:rsid w:val="214E531E"/>
    <w:rsid w:val="214F7558"/>
    <w:rsid w:val="21607B4A"/>
    <w:rsid w:val="216754E8"/>
    <w:rsid w:val="21747C74"/>
    <w:rsid w:val="217C7D5E"/>
    <w:rsid w:val="21833AB0"/>
    <w:rsid w:val="21834CD6"/>
    <w:rsid w:val="21972085"/>
    <w:rsid w:val="219E7681"/>
    <w:rsid w:val="21AE1C0A"/>
    <w:rsid w:val="21B43AAC"/>
    <w:rsid w:val="21BB06CC"/>
    <w:rsid w:val="21C46E94"/>
    <w:rsid w:val="21DF654B"/>
    <w:rsid w:val="21E52A37"/>
    <w:rsid w:val="21E631C4"/>
    <w:rsid w:val="21E83581"/>
    <w:rsid w:val="21EF407C"/>
    <w:rsid w:val="21F34680"/>
    <w:rsid w:val="22021705"/>
    <w:rsid w:val="220A3193"/>
    <w:rsid w:val="220D32FF"/>
    <w:rsid w:val="22113BC6"/>
    <w:rsid w:val="221B49C5"/>
    <w:rsid w:val="22271898"/>
    <w:rsid w:val="22276EB6"/>
    <w:rsid w:val="2228127D"/>
    <w:rsid w:val="222B4917"/>
    <w:rsid w:val="22305D4D"/>
    <w:rsid w:val="2241392C"/>
    <w:rsid w:val="224E1984"/>
    <w:rsid w:val="225750AC"/>
    <w:rsid w:val="22584179"/>
    <w:rsid w:val="226B6C28"/>
    <w:rsid w:val="227123D7"/>
    <w:rsid w:val="22722945"/>
    <w:rsid w:val="22763012"/>
    <w:rsid w:val="229F76C5"/>
    <w:rsid w:val="22A103E9"/>
    <w:rsid w:val="22A30639"/>
    <w:rsid w:val="22A35059"/>
    <w:rsid w:val="22C9275A"/>
    <w:rsid w:val="22CC4021"/>
    <w:rsid w:val="22D738DF"/>
    <w:rsid w:val="22E92236"/>
    <w:rsid w:val="22EF5B67"/>
    <w:rsid w:val="22F66FA4"/>
    <w:rsid w:val="22F76F05"/>
    <w:rsid w:val="23010566"/>
    <w:rsid w:val="231473BD"/>
    <w:rsid w:val="23234993"/>
    <w:rsid w:val="232667D7"/>
    <w:rsid w:val="233133A3"/>
    <w:rsid w:val="234416E0"/>
    <w:rsid w:val="23445482"/>
    <w:rsid w:val="23582CDC"/>
    <w:rsid w:val="236A21F4"/>
    <w:rsid w:val="237B1596"/>
    <w:rsid w:val="23817DE3"/>
    <w:rsid w:val="23851B5A"/>
    <w:rsid w:val="238C0B11"/>
    <w:rsid w:val="23922BE5"/>
    <w:rsid w:val="23963804"/>
    <w:rsid w:val="239739DB"/>
    <w:rsid w:val="23981347"/>
    <w:rsid w:val="23983A20"/>
    <w:rsid w:val="239F735E"/>
    <w:rsid w:val="23B246C4"/>
    <w:rsid w:val="23B51EDC"/>
    <w:rsid w:val="23B70EE2"/>
    <w:rsid w:val="23C142D5"/>
    <w:rsid w:val="23D60C5C"/>
    <w:rsid w:val="23D93213"/>
    <w:rsid w:val="23DE207B"/>
    <w:rsid w:val="23E16D41"/>
    <w:rsid w:val="23E4223A"/>
    <w:rsid w:val="23FA7D8C"/>
    <w:rsid w:val="23FE36CC"/>
    <w:rsid w:val="241B31D4"/>
    <w:rsid w:val="241F48DE"/>
    <w:rsid w:val="24253306"/>
    <w:rsid w:val="24284DA4"/>
    <w:rsid w:val="242C608A"/>
    <w:rsid w:val="2437397B"/>
    <w:rsid w:val="24512AD8"/>
    <w:rsid w:val="24515EFF"/>
    <w:rsid w:val="245F23B1"/>
    <w:rsid w:val="24682086"/>
    <w:rsid w:val="247920BC"/>
    <w:rsid w:val="248B703D"/>
    <w:rsid w:val="248B78FE"/>
    <w:rsid w:val="24B30B11"/>
    <w:rsid w:val="24B43897"/>
    <w:rsid w:val="24B9237A"/>
    <w:rsid w:val="24BB025D"/>
    <w:rsid w:val="24C37A39"/>
    <w:rsid w:val="24C6693D"/>
    <w:rsid w:val="24C96D6A"/>
    <w:rsid w:val="24CF5E0D"/>
    <w:rsid w:val="24DE1ED5"/>
    <w:rsid w:val="24E3519A"/>
    <w:rsid w:val="24FE5CBB"/>
    <w:rsid w:val="251379C9"/>
    <w:rsid w:val="251F0311"/>
    <w:rsid w:val="25253114"/>
    <w:rsid w:val="252B4B4C"/>
    <w:rsid w:val="25382851"/>
    <w:rsid w:val="253A44F0"/>
    <w:rsid w:val="253E2DA2"/>
    <w:rsid w:val="25403C52"/>
    <w:rsid w:val="254A0D4A"/>
    <w:rsid w:val="25583467"/>
    <w:rsid w:val="255D5254"/>
    <w:rsid w:val="25672F7A"/>
    <w:rsid w:val="25697946"/>
    <w:rsid w:val="256E7974"/>
    <w:rsid w:val="259638D4"/>
    <w:rsid w:val="259869A0"/>
    <w:rsid w:val="25A64E94"/>
    <w:rsid w:val="25A87C09"/>
    <w:rsid w:val="25AD635F"/>
    <w:rsid w:val="25B90897"/>
    <w:rsid w:val="25C77E7A"/>
    <w:rsid w:val="25C90628"/>
    <w:rsid w:val="25D8750D"/>
    <w:rsid w:val="25F22F8A"/>
    <w:rsid w:val="25FC33D9"/>
    <w:rsid w:val="260F0833"/>
    <w:rsid w:val="261C79B6"/>
    <w:rsid w:val="263D6742"/>
    <w:rsid w:val="265E4CC3"/>
    <w:rsid w:val="266109F7"/>
    <w:rsid w:val="26646A2F"/>
    <w:rsid w:val="2681730F"/>
    <w:rsid w:val="26953D9A"/>
    <w:rsid w:val="269B05DC"/>
    <w:rsid w:val="269E1015"/>
    <w:rsid w:val="269F5B60"/>
    <w:rsid w:val="26A757E9"/>
    <w:rsid w:val="26A768EE"/>
    <w:rsid w:val="26AA421F"/>
    <w:rsid w:val="26AA5F44"/>
    <w:rsid w:val="26AC52FE"/>
    <w:rsid w:val="26B22D26"/>
    <w:rsid w:val="26B3423C"/>
    <w:rsid w:val="26BB1EFF"/>
    <w:rsid w:val="26C160D6"/>
    <w:rsid w:val="26DA6CFE"/>
    <w:rsid w:val="26DD65F4"/>
    <w:rsid w:val="26EF3531"/>
    <w:rsid w:val="26F24CAC"/>
    <w:rsid w:val="26FD5F5C"/>
    <w:rsid w:val="270216C1"/>
    <w:rsid w:val="27041EA0"/>
    <w:rsid w:val="27105E1E"/>
    <w:rsid w:val="271424E1"/>
    <w:rsid w:val="27184587"/>
    <w:rsid w:val="272A733C"/>
    <w:rsid w:val="272C6EE6"/>
    <w:rsid w:val="27385370"/>
    <w:rsid w:val="273C175D"/>
    <w:rsid w:val="273C26C8"/>
    <w:rsid w:val="274767A9"/>
    <w:rsid w:val="274F76F6"/>
    <w:rsid w:val="275300D2"/>
    <w:rsid w:val="27534783"/>
    <w:rsid w:val="275D29C6"/>
    <w:rsid w:val="2763543A"/>
    <w:rsid w:val="27764078"/>
    <w:rsid w:val="27806282"/>
    <w:rsid w:val="27887D4C"/>
    <w:rsid w:val="278B28CA"/>
    <w:rsid w:val="278E7135"/>
    <w:rsid w:val="27A4370A"/>
    <w:rsid w:val="27B1572D"/>
    <w:rsid w:val="27B32BB9"/>
    <w:rsid w:val="27C60647"/>
    <w:rsid w:val="27D17BED"/>
    <w:rsid w:val="27E71CC0"/>
    <w:rsid w:val="27F15F1B"/>
    <w:rsid w:val="27F529C8"/>
    <w:rsid w:val="27F55691"/>
    <w:rsid w:val="27F908F2"/>
    <w:rsid w:val="27F9314E"/>
    <w:rsid w:val="2800534D"/>
    <w:rsid w:val="281032E0"/>
    <w:rsid w:val="281521E2"/>
    <w:rsid w:val="281C0B9C"/>
    <w:rsid w:val="282A3A8C"/>
    <w:rsid w:val="282F36CD"/>
    <w:rsid w:val="28340114"/>
    <w:rsid w:val="28355B4F"/>
    <w:rsid w:val="28553E82"/>
    <w:rsid w:val="286F11FF"/>
    <w:rsid w:val="28815028"/>
    <w:rsid w:val="288446AD"/>
    <w:rsid w:val="288733D3"/>
    <w:rsid w:val="28876E44"/>
    <w:rsid w:val="288A1457"/>
    <w:rsid w:val="28AF0CC9"/>
    <w:rsid w:val="28B01F47"/>
    <w:rsid w:val="28B81E29"/>
    <w:rsid w:val="28BC4504"/>
    <w:rsid w:val="28C31B65"/>
    <w:rsid w:val="28CC7EA1"/>
    <w:rsid w:val="28CF14F5"/>
    <w:rsid w:val="28D251B8"/>
    <w:rsid w:val="28D728F5"/>
    <w:rsid w:val="28D7567E"/>
    <w:rsid w:val="28E906A2"/>
    <w:rsid w:val="29041A0B"/>
    <w:rsid w:val="29042A9B"/>
    <w:rsid w:val="29053906"/>
    <w:rsid w:val="290A2CCA"/>
    <w:rsid w:val="291611AA"/>
    <w:rsid w:val="291B7DB9"/>
    <w:rsid w:val="291E7155"/>
    <w:rsid w:val="29254D6F"/>
    <w:rsid w:val="29285806"/>
    <w:rsid w:val="292D67E3"/>
    <w:rsid w:val="293272D1"/>
    <w:rsid w:val="293328F5"/>
    <w:rsid w:val="29370AA5"/>
    <w:rsid w:val="294A2BED"/>
    <w:rsid w:val="294B6E0F"/>
    <w:rsid w:val="29500971"/>
    <w:rsid w:val="29633DB7"/>
    <w:rsid w:val="29673338"/>
    <w:rsid w:val="296C0ECF"/>
    <w:rsid w:val="296C71B5"/>
    <w:rsid w:val="29755FB6"/>
    <w:rsid w:val="298A33F5"/>
    <w:rsid w:val="299662E8"/>
    <w:rsid w:val="29A80279"/>
    <w:rsid w:val="29AF561F"/>
    <w:rsid w:val="29B220B5"/>
    <w:rsid w:val="29B654DB"/>
    <w:rsid w:val="29C267F4"/>
    <w:rsid w:val="29CD14D5"/>
    <w:rsid w:val="29CE7C3B"/>
    <w:rsid w:val="29D03E03"/>
    <w:rsid w:val="29DD1D6D"/>
    <w:rsid w:val="29E1484E"/>
    <w:rsid w:val="29F77DA7"/>
    <w:rsid w:val="29FB0046"/>
    <w:rsid w:val="2A0E5B3D"/>
    <w:rsid w:val="2A0F0883"/>
    <w:rsid w:val="2A1B583C"/>
    <w:rsid w:val="2A500BB0"/>
    <w:rsid w:val="2A603251"/>
    <w:rsid w:val="2A707E11"/>
    <w:rsid w:val="2A7A1EBE"/>
    <w:rsid w:val="2A7F3536"/>
    <w:rsid w:val="2A82631D"/>
    <w:rsid w:val="2A8642F2"/>
    <w:rsid w:val="2A8C4DCA"/>
    <w:rsid w:val="2A8C7BFA"/>
    <w:rsid w:val="2A9536A9"/>
    <w:rsid w:val="2A973881"/>
    <w:rsid w:val="2A9E6740"/>
    <w:rsid w:val="2AA23C41"/>
    <w:rsid w:val="2AA77BDC"/>
    <w:rsid w:val="2AA97FE8"/>
    <w:rsid w:val="2AB578B4"/>
    <w:rsid w:val="2ABA728F"/>
    <w:rsid w:val="2ABE5C7F"/>
    <w:rsid w:val="2AC035F2"/>
    <w:rsid w:val="2AC71838"/>
    <w:rsid w:val="2AD244D9"/>
    <w:rsid w:val="2AD8076C"/>
    <w:rsid w:val="2ADA2F54"/>
    <w:rsid w:val="2ADD60B0"/>
    <w:rsid w:val="2AE04A78"/>
    <w:rsid w:val="2AEE3F22"/>
    <w:rsid w:val="2AF149B0"/>
    <w:rsid w:val="2AFA0B1C"/>
    <w:rsid w:val="2B105BBA"/>
    <w:rsid w:val="2B1D5034"/>
    <w:rsid w:val="2B2838DB"/>
    <w:rsid w:val="2B2B194D"/>
    <w:rsid w:val="2B3012C7"/>
    <w:rsid w:val="2B355EA2"/>
    <w:rsid w:val="2B3561B7"/>
    <w:rsid w:val="2B3F559A"/>
    <w:rsid w:val="2B410A9E"/>
    <w:rsid w:val="2B4B2940"/>
    <w:rsid w:val="2B4D0534"/>
    <w:rsid w:val="2B4D3415"/>
    <w:rsid w:val="2B590C39"/>
    <w:rsid w:val="2B5D27A3"/>
    <w:rsid w:val="2B623AD7"/>
    <w:rsid w:val="2B6A684C"/>
    <w:rsid w:val="2B6B330A"/>
    <w:rsid w:val="2B774D62"/>
    <w:rsid w:val="2B7F4868"/>
    <w:rsid w:val="2B80747C"/>
    <w:rsid w:val="2B87774B"/>
    <w:rsid w:val="2B8A7BBA"/>
    <w:rsid w:val="2B955B4D"/>
    <w:rsid w:val="2BB62E29"/>
    <w:rsid w:val="2BC306D5"/>
    <w:rsid w:val="2BC6197D"/>
    <w:rsid w:val="2BC77908"/>
    <w:rsid w:val="2BC93799"/>
    <w:rsid w:val="2BD509A2"/>
    <w:rsid w:val="2BE31BAA"/>
    <w:rsid w:val="2C097159"/>
    <w:rsid w:val="2C143450"/>
    <w:rsid w:val="2C1F1CC4"/>
    <w:rsid w:val="2C27051C"/>
    <w:rsid w:val="2C2B008F"/>
    <w:rsid w:val="2C2E6B57"/>
    <w:rsid w:val="2C332EFD"/>
    <w:rsid w:val="2C3371E1"/>
    <w:rsid w:val="2C3D10D8"/>
    <w:rsid w:val="2C4417FC"/>
    <w:rsid w:val="2C4E45FC"/>
    <w:rsid w:val="2C510E4D"/>
    <w:rsid w:val="2C671821"/>
    <w:rsid w:val="2C6743CD"/>
    <w:rsid w:val="2C681CC9"/>
    <w:rsid w:val="2C6E02B0"/>
    <w:rsid w:val="2C6E0D75"/>
    <w:rsid w:val="2C7B7FC0"/>
    <w:rsid w:val="2C7F2C36"/>
    <w:rsid w:val="2C811698"/>
    <w:rsid w:val="2C825706"/>
    <w:rsid w:val="2CAA32C0"/>
    <w:rsid w:val="2CC270DA"/>
    <w:rsid w:val="2CC66F08"/>
    <w:rsid w:val="2CD50A95"/>
    <w:rsid w:val="2CD5539D"/>
    <w:rsid w:val="2CE36046"/>
    <w:rsid w:val="2CEA709A"/>
    <w:rsid w:val="2CF32EB6"/>
    <w:rsid w:val="2CF34862"/>
    <w:rsid w:val="2D047A30"/>
    <w:rsid w:val="2D0719D8"/>
    <w:rsid w:val="2D162374"/>
    <w:rsid w:val="2D177764"/>
    <w:rsid w:val="2D2138F4"/>
    <w:rsid w:val="2D281B20"/>
    <w:rsid w:val="2D2B6B78"/>
    <w:rsid w:val="2D41600D"/>
    <w:rsid w:val="2D4D1F73"/>
    <w:rsid w:val="2D5E4C4B"/>
    <w:rsid w:val="2D6B5B42"/>
    <w:rsid w:val="2D6D7CCB"/>
    <w:rsid w:val="2D705E1E"/>
    <w:rsid w:val="2D7C0BAE"/>
    <w:rsid w:val="2D8F0C44"/>
    <w:rsid w:val="2DBE154B"/>
    <w:rsid w:val="2DC17216"/>
    <w:rsid w:val="2DC93154"/>
    <w:rsid w:val="2DD42753"/>
    <w:rsid w:val="2DD46BCC"/>
    <w:rsid w:val="2DF54F33"/>
    <w:rsid w:val="2DFD5E0A"/>
    <w:rsid w:val="2E026666"/>
    <w:rsid w:val="2E061418"/>
    <w:rsid w:val="2E0971A1"/>
    <w:rsid w:val="2E1731CE"/>
    <w:rsid w:val="2E2311B6"/>
    <w:rsid w:val="2E310B42"/>
    <w:rsid w:val="2E36211A"/>
    <w:rsid w:val="2E3C24D3"/>
    <w:rsid w:val="2E480995"/>
    <w:rsid w:val="2E5119EC"/>
    <w:rsid w:val="2E5A2916"/>
    <w:rsid w:val="2E5C6C5D"/>
    <w:rsid w:val="2E60583B"/>
    <w:rsid w:val="2E6633AD"/>
    <w:rsid w:val="2E686A42"/>
    <w:rsid w:val="2E6D4943"/>
    <w:rsid w:val="2E7A57D8"/>
    <w:rsid w:val="2E7C1C8B"/>
    <w:rsid w:val="2E7F397C"/>
    <w:rsid w:val="2E873D6E"/>
    <w:rsid w:val="2E8A6183"/>
    <w:rsid w:val="2E98058F"/>
    <w:rsid w:val="2E9E2B2D"/>
    <w:rsid w:val="2EA21541"/>
    <w:rsid w:val="2EA566AF"/>
    <w:rsid w:val="2EAB0AAB"/>
    <w:rsid w:val="2EAB4607"/>
    <w:rsid w:val="2EAF2225"/>
    <w:rsid w:val="2EB31127"/>
    <w:rsid w:val="2EC4724E"/>
    <w:rsid w:val="2EC9321B"/>
    <w:rsid w:val="2EDD115D"/>
    <w:rsid w:val="2EE203C6"/>
    <w:rsid w:val="2EF40F87"/>
    <w:rsid w:val="2F063130"/>
    <w:rsid w:val="2F06797B"/>
    <w:rsid w:val="2F164E59"/>
    <w:rsid w:val="2F195634"/>
    <w:rsid w:val="2F253B3B"/>
    <w:rsid w:val="2F260653"/>
    <w:rsid w:val="2F2A5E74"/>
    <w:rsid w:val="2F2F0371"/>
    <w:rsid w:val="2F317ACD"/>
    <w:rsid w:val="2F336154"/>
    <w:rsid w:val="2F3A053A"/>
    <w:rsid w:val="2F3D0213"/>
    <w:rsid w:val="2F583FF0"/>
    <w:rsid w:val="2F591238"/>
    <w:rsid w:val="2F61755C"/>
    <w:rsid w:val="2F6754EC"/>
    <w:rsid w:val="2F7737C8"/>
    <w:rsid w:val="2F794434"/>
    <w:rsid w:val="2F7E3DA7"/>
    <w:rsid w:val="2F897056"/>
    <w:rsid w:val="2F8A1A41"/>
    <w:rsid w:val="2F8C44C0"/>
    <w:rsid w:val="2F8F485C"/>
    <w:rsid w:val="2F90044F"/>
    <w:rsid w:val="2F9477F2"/>
    <w:rsid w:val="2FA14E63"/>
    <w:rsid w:val="2FAF3AC9"/>
    <w:rsid w:val="2FB61B4C"/>
    <w:rsid w:val="2FB95D2D"/>
    <w:rsid w:val="2FBB77D9"/>
    <w:rsid w:val="2FC0220F"/>
    <w:rsid w:val="2FC16508"/>
    <w:rsid w:val="2FC36D78"/>
    <w:rsid w:val="2FD55CBE"/>
    <w:rsid w:val="2FDA2F6F"/>
    <w:rsid w:val="2FDC4C6E"/>
    <w:rsid w:val="2FE740A5"/>
    <w:rsid w:val="2FE850B7"/>
    <w:rsid w:val="2FEB0E00"/>
    <w:rsid w:val="2FF73FCC"/>
    <w:rsid w:val="30037D09"/>
    <w:rsid w:val="30095C2B"/>
    <w:rsid w:val="30101FAD"/>
    <w:rsid w:val="301202CE"/>
    <w:rsid w:val="30151903"/>
    <w:rsid w:val="30162107"/>
    <w:rsid w:val="301A1DE5"/>
    <w:rsid w:val="30322FA2"/>
    <w:rsid w:val="304254C2"/>
    <w:rsid w:val="3045258A"/>
    <w:rsid w:val="304C1E1A"/>
    <w:rsid w:val="30765BF9"/>
    <w:rsid w:val="307E46F4"/>
    <w:rsid w:val="3080760B"/>
    <w:rsid w:val="308B1673"/>
    <w:rsid w:val="308B3642"/>
    <w:rsid w:val="308C2216"/>
    <w:rsid w:val="308C6499"/>
    <w:rsid w:val="308D6703"/>
    <w:rsid w:val="309036F0"/>
    <w:rsid w:val="309760E4"/>
    <w:rsid w:val="309F1EE9"/>
    <w:rsid w:val="30A31A68"/>
    <w:rsid w:val="30A95F69"/>
    <w:rsid w:val="30AC4F52"/>
    <w:rsid w:val="30BC3A23"/>
    <w:rsid w:val="30CC3D3A"/>
    <w:rsid w:val="30E711B5"/>
    <w:rsid w:val="30F027A5"/>
    <w:rsid w:val="30F86327"/>
    <w:rsid w:val="31073FE0"/>
    <w:rsid w:val="31084FB4"/>
    <w:rsid w:val="31123311"/>
    <w:rsid w:val="31126E83"/>
    <w:rsid w:val="31165F67"/>
    <w:rsid w:val="31240886"/>
    <w:rsid w:val="31242382"/>
    <w:rsid w:val="31351B1D"/>
    <w:rsid w:val="313B3695"/>
    <w:rsid w:val="315164BE"/>
    <w:rsid w:val="315B2ABC"/>
    <w:rsid w:val="316824A8"/>
    <w:rsid w:val="316D2AA4"/>
    <w:rsid w:val="317E6F4C"/>
    <w:rsid w:val="318A1534"/>
    <w:rsid w:val="318B1832"/>
    <w:rsid w:val="318E4FC1"/>
    <w:rsid w:val="319C46DB"/>
    <w:rsid w:val="319F7372"/>
    <w:rsid w:val="31AC215D"/>
    <w:rsid w:val="31D930EA"/>
    <w:rsid w:val="31E827E7"/>
    <w:rsid w:val="31ED6C2E"/>
    <w:rsid w:val="31FF1194"/>
    <w:rsid w:val="31FF1567"/>
    <w:rsid w:val="320D387D"/>
    <w:rsid w:val="322D69F9"/>
    <w:rsid w:val="32343344"/>
    <w:rsid w:val="32364B30"/>
    <w:rsid w:val="323A75F4"/>
    <w:rsid w:val="323B3AD5"/>
    <w:rsid w:val="32404C8D"/>
    <w:rsid w:val="324547B6"/>
    <w:rsid w:val="32680EDF"/>
    <w:rsid w:val="3268238D"/>
    <w:rsid w:val="32737664"/>
    <w:rsid w:val="328D22C8"/>
    <w:rsid w:val="328E7DA3"/>
    <w:rsid w:val="32923F56"/>
    <w:rsid w:val="329F6FE1"/>
    <w:rsid w:val="32A92418"/>
    <w:rsid w:val="32AA73E3"/>
    <w:rsid w:val="32AA7974"/>
    <w:rsid w:val="32BD3F78"/>
    <w:rsid w:val="32DA195F"/>
    <w:rsid w:val="32E63247"/>
    <w:rsid w:val="32E72135"/>
    <w:rsid w:val="32EA0979"/>
    <w:rsid w:val="32EB1476"/>
    <w:rsid w:val="32EB5C65"/>
    <w:rsid w:val="32EC15C2"/>
    <w:rsid w:val="32ED3641"/>
    <w:rsid w:val="32F27C7E"/>
    <w:rsid w:val="3300193C"/>
    <w:rsid w:val="331662B2"/>
    <w:rsid w:val="33171ACC"/>
    <w:rsid w:val="333A0650"/>
    <w:rsid w:val="33452351"/>
    <w:rsid w:val="33793117"/>
    <w:rsid w:val="337A54DE"/>
    <w:rsid w:val="337E053C"/>
    <w:rsid w:val="337F0819"/>
    <w:rsid w:val="3380257B"/>
    <w:rsid w:val="3386303A"/>
    <w:rsid w:val="338B5DBB"/>
    <w:rsid w:val="33A11C48"/>
    <w:rsid w:val="33AD6572"/>
    <w:rsid w:val="33B22C5F"/>
    <w:rsid w:val="33BE302F"/>
    <w:rsid w:val="33C8472C"/>
    <w:rsid w:val="33D0068D"/>
    <w:rsid w:val="33D202A3"/>
    <w:rsid w:val="33D21A49"/>
    <w:rsid w:val="33D4063A"/>
    <w:rsid w:val="33D927DC"/>
    <w:rsid w:val="33F24078"/>
    <w:rsid w:val="33F911DD"/>
    <w:rsid w:val="33FB0FF0"/>
    <w:rsid w:val="3400257B"/>
    <w:rsid w:val="34116311"/>
    <w:rsid w:val="34292C8F"/>
    <w:rsid w:val="342A32B1"/>
    <w:rsid w:val="342C4778"/>
    <w:rsid w:val="343C522D"/>
    <w:rsid w:val="34411662"/>
    <w:rsid w:val="34582BEF"/>
    <w:rsid w:val="347030AD"/>
    <w:rsid w:val="347B6681"/>
    <w:rsid w:val="347F5CED"/>
    <w:rsid w:val="34872E38"/>
    <w:rsid w:val="34881893"/>
    <w:rsid w:val="34957292"/>
    <w:rsid w:val="34964372"/>
    <w:rsid w:val="349A3309"/>
    <w:rsid w:val="34A40554"/>
    <w:rsid w:val="34A774A7"/>
    <w:rsid w:val="34A87BE1"/>
    <w:rsid w:val="34B5558C"/>
    <w:rsid w:val="34D15FD4"/>
    <w:rsid w:val="34DD2DF2"/>
    <w:rsid w:val="34E23110"/>
    <w:rsid w:val="34E373EB"/>
    <w:rsid w:val="34E53FED"/>
    <w:rsid w:val="34E97AFA"/>
    <w:rsid w:val="34F0489B"/>
    <w:rsid w:val="34F97BCC"/>
    <w:rsid w:val="35130EFF"/>
    <w:rsid w:val="351C03B3"/>
    <w:rsid w:val="351E3A6E"/>
    <w:rsid w:val="35211C49"/>
    <w:rsid w:val="35252B41"/>
    <w:rsid w:val="352B10D4"/>
    <w:rsid w:val="35350CDC"/>
    <w:rsid w:val="354237EC"/>
    <w:rsid w:val="35465468"/>
    <w:rsid w:val="354D16DF"/>
    <w:rsid w:val="35707838"/>
    <w:rsid w:val="35720B60"/>
    <w:rsid w:val="358866CF"/>
    <w:rsid w:val="35893DE2"/>
    <w:rsid w:val="359C1ED4"/>
    <w:rsid w:val="35A434F0"/>
    <w:rsid w:val="35AF2C47"/>
    <w:rsid w:val="35B16E01"/>
    <w:rsid w:val="35BE1E1C"/>
    <w:rsid w:val="35C6077A"/>
    <w:rsid w:val="35DB64AF"/>
    <w:rsid w:val="35DC49C8"/>
    <w:rsid w:val="35FA76B1"/>
    <w:rsid w:val="35FF2BBD"/>
    <w:rsid w:val="36175B93"/>
    <w:rsid w:val="361D6316"/>
    <w:rsid w:val="36214836"/>
    <w:rsid w:val="3632523B"/>
    <w:rsid w:val="36384FAA"/>
    <w:rsid w:val="363D22D1"/>
    <w:rsid w:val="364863D7"/>
    <w:rsid w:val="364E79A6"/>
    <w:rsid w:val="364F44DA"/>
    <w:rsid w:val="365A51DB"/>
    <w:rsid w:val="36655284"/>
    <w:rsid w:val="366E45AB"/>
    <w:rsid w:val="36816E2C"/>
    <w:rsid w:val="36897A59"/>
    <w:rsid w:val="368A5B9C"/>
    <w:rsid w:val="368B4B36"/>
    <w:rsid w:val="36955AF2"/>
    <w:rsid w:val="3696568C"/>
    <w:rsid w:val="369902E8"/>
    <w:rsid w:val="369B756D"/>
    <w:rsid w:val="36A30463"/>
    <w:rsid w:val="36A41D99"/>
    <w:rsid w:val="36A74C3A"/>
    <w:rsid w:val="36A91D74"/>
    <w:rsid w:val="36B05829"/>
    <w:rsid w:val="36B80AF7"/>
    <w:rsid w:val="36BD1351"/>
    <w:rsid w:val="36C0056A"/>
    <w:rsid w:val="36DB2966"/>
    <w:rsid w:val="36E546A7"/>
    <w:rsid w:val="36EC0548"/>
    <w:rsid w:val="37021484"/>
    <w:rsid w:val="370D1706"/>
    <w:rsid w:val="370D4C36"/>
    <w:rsid w:val="370F7157"/>
    <w:rsid w:val="37117919"/>
    <w:rsid w:val="37362A5F"/>
    <w:rsid w:val="373A1001"/>
    <w:rsid w:val="373E0820"/>
    <w:rsid w:val="37431AEF"/>
    <w:rsid w:val="37466858"/>
    <w:rsid w:val="37500E29"/>
    <w:rsid w:val="37683F74"/>
    <w:rsid w:val="377563FF"/>
    <w:rsid w:val="3793116C"/>
    <w:rsid w:val="37987415"/>
    <w:rsid w:val="37A736AA"/>
    <w:rsid w:val="37A820BA"/>
    <w:rsid w:val="37AD0744"/>
    <w:rsid w:val="37B717FE"/>
    <w:rsid w:val="37D03192"/>
    <w:rsid w:val="37DE7BB7"/>
    <w:rsid w:val="37E53F3C"/>
    <w:rsid w:val="37EC236A"/>
    <w:rsid w:val="37EC5CB0"/>
    <w:rsid w:val="37EE31A2"/>
    <w:rsid w:val="37F2308E"/>
    <w:rsid w:val="37FE2922"/>
    <w:rsid w:val="37FE309A"/>
    <w:rsid w:val="38070859"/>
    <w:rsid w:val="381B3CFA"/>
    <w:rsid w:val="38244E8F"/>
    <w:rsid w:val="383845E1"/>
    <w:rsid w:val="383B5134"/>
    <w:rsid w:val="38457734"/>
    <w:rsid w:val="384E7BEB"/>
    <w:rsid w:val="385C3A5B"/>
    <w:rsid w:val="385F4C1F"/>
    <w:rsid w:val="38710670"/>
    <w:rsid w:val="3873163F"/>
    <w:rsid w:val="38733711"/>
    <w:rsid w:val="38765C86"/>
    <w:rsid w:val="38794AE0"/>
    <w:rsid w:val="388178EE"/>
    <w:rsid w:val="38827164"/>
    <w:rsid w:val="388A073E"/>
    <w:rsid w:val="388D01DF"/>
    <w:rsid w:val="38917716"/>
    <w:rsid w:val="38A66223"/>
    <w:rsid w:val="38AB0566"/>
    <w:rsid w:val="38AD1D6E"/>
    <w:rsid w:val="38AF7DAD"/>
    <w:rsid w:val="38B17300"/>
    <w:rsid w:val="38B844F1"/>
    <w:rsid w:val="38C43C08"/>
    <w:rsid w:val="38CD2028"/>
    <w:rsid w:val="38D47846"/>
    <w:rsid w:val="38D77D18"/>
    <w:rsid w:val="38D83B5A"/>
    <w:rsid w:val="38DC6A01"/>
    <w:rsid w:val="38DF5067"/>
    <w:rsid w:val="38E41C0E"/>
    <w:rsid w:val="38E5105E"/>
    <w:rsid w:val="38E5631C"/>
    <w:rsid w:val="38E64162"/>
    <w:rsid w:val="38E93212"/>
    <w:rsid w:val="38FA334D"/>
    <w:rsid w:val="38FA42FC"/>
    <w:rsid w:val="39053FB4"/>
    <w:rsid w:val="390E3242"/>
    <w:rsid w:val="39186D28"/>
    <w:rsid w:val="391F7179"/>
    <w:rsid w:val="39216AB2"/>
    <w:rsid w:val="39261C89"/>
    <w:rsid w:val="3931503B"/>
    <w:rsid w:val="3935015F"/>
    <w:rsid w:val="393B3097"/>
    <w:rsid w:val="3941764F"/>
    <w:rsid w:val="394E6C03"/>
    <w:rsid w:val="394E76EB"/>
    <w:rsid w:val="39501FE8"/>
    <w:rsid w:val="39533CEB"/>
    <w:rsid w:val="39565882"/>
    <w:rsid w:val="395A3FC8"/>
    <w:rsid w:val="395C1C0A"/>
    <w:rsid w:val="39875749"/>
    <w:rsid w:val="39875BB9"/>
    <w:rsid w:val="39A85315"/>
    <w:rsid w:val="39AA35DE"/>
    <w:rsid w:val="39AB5119"/>
    <w:rsid w:val="39AE3D61"/>
    <w:rsid w:val="39B267CC"/>
    <w:rsid w:val="39BB5D68"/>
    <w:rsid w:val="39BE0E48"/>
    <w:rsid w:val="39BF18AF"/>
    <w:rsid w:val="39C149D4"/>
    <w:rsid w:val="39CA1EF5"/>
    <w:rsid w:val="39CF00BA"/>
    <w:rsid w:val="39E2230C"/>
    <w:rsid w:val="3A00614F"/>
    <w:rsid w:val="3A013C75"/>
    <w:rsid w:val="3A034BAE"/>
    <w:rsid w:val="3A047D9E"/>
    <w:rsid w:val="3A053512"/>
    <w:rsid w:val="3A0C1A35"/>
    <w:rsid w:val="3A191B4D"/>
    <w:rsid w:val="3A221B67"/>
    <w:rsid w:val="3A2E10B1"/>
    <w:rsid w:val="3A363601"/>
    <w:rsid w:val="3A3E24BB"/>
    <w:rsid w:val="3A5224C6"/>
    <w:rsid w:val="3A684A66"/>
    <w:rsid w:val="3A72531F"/>
    <w:rsid w:val="3A8C0D88"/>
    <w:rsid w:val="3A954267"/>
    <w:rsid w:val="3A9E6D53"/>
    <w:rsid w:val="3A9F3BA7"/>
    <w:rsid w:val="3AA21653"/>
    <w:rsid w:val="3AAE2D9B"/>
    <w:rsid w:val="3ABF078A"/>
    <w:rsid w:val="3AC73C5A"/>
    <w:rsid w:val="3ACA50F5"/>
    <w:rsid w:val="3ACC4A1A"/>
    <w:rsid w:val="3ACC6031"/>
    <w:rsid w:val="3AE06885"/>
    <w:rsid w:val="3AE626F7"/>
    <w:rsid w:val="3AE734D9"/>
    <w:rsid w:val="3B011FBB"/>
    <w:rsid w:val="3B016DC0"/>
    <w:rsid w:val="3B133EC5"/>
    <w:rsid w:val="3B1A06A6"/>
    <w:rsid w:val="3B245F4F"/>
    <w:rsid w:val="3B2714BA"/>
    <w:rsid w:val="3B2E270D"/>
    <w:rsid w:val="3B421A51"/>
    <w:rsid w:val="3B4507E6"/>
    <w:rsid w:val="3B596CD6"/>
    <w:rsid w:val="3B5A3527"/>
    <w:rsid w:val="3B5A363D"/>
    <w:rsid w:val="3B63376B"/>
    <w:rsid w:val="3B634289"/>
    <w:rsid w:val="3B6C511E"/>
    <w:rsid w:val="3B6F2621"/>
    <w:rsid w:val="3B707A04"/>
    <w:rsid w:val="3B8338D8"/>
    <w:rsid w:val="3B8E1998"/>
    <w:rsid w:val="3B936903"/>
    <w:rsid w:val="3B964AFE"/>
    <w:rsid w:val="3B9B0AE6"/>
    <w:rsid w:val="3B9F4056"/>
    <w:rsid w:val="3BBC2496"/>
    <w:rsid w:val="3BCA2AEF"/>
    <w:rsid w:val="3BE90611"/>
    <w:rsid w:val="3BF41F3A"/>
    <w:rsid w:val="3BF71A03"/>
    <w:rsid w:val="3BF85902"/>
    <w:rsid w:val="3BFA484F"/>
    <w:rsid w:val="3C131894"/>
    <w:rsid w:val="3C176742"/>
    <w:rsid w:val="3C2701EC"/>
    <w:rsid w:val="3C33265C"/>
    <w:rsid w:val="3C3F72DC"/>
    <w:rsid w:val="3C49449E"/>
    <w:rsid w:val="3C4B742A"/>
    <w:rsid w:val="3C4E696D"/>
    <w:rsid w:val="3C5157FD"/>
    <w:rsid w:val="3C795106"/>
    <w:rsid w:val="3C7A02AE"/>
    <w:rsid w:val="3C7B7C41"/>
    <w:rsid w:val="3C871D83"/>
    <w:rsid w:val="3C8C26AA"/>
    <w:rsid w:val="3C8E6755"/>
    <w:rsid w:val="3C9B0EC8"/>
    <w:rsid w:val="3C9D2819"/>
    <w:rsid w:val="3CA562E6"/>
    <w:rsid w:val="3CA65300"/>
    <w:rsid w:val="3CAD3C40"/>
    <w:rsid w:val="3CB141CF"/>
    <w:rsid w:val="3CB17029"/>
    <w:rsid w:val="3CB958B9"/>
    <w:rsid w:val="3CC46016"/>
    <w:rsid w:val="3CC630B2"/>
    <w:rsid w:val="3CCE7A93"/>
    <w:rsid w:val="3CDB4A7F"/>
    <w:rsid w:val="3CDE0727"/>
    <w:rsid w:val="3CDE2BF0"/>
    <w:rsid w:val="3CE755FA"/>
    <w:rsid w:val="3CE8141D"/>
    <w:rsid w:val="3CE8514A"/>
    <w:rsid w:val="3CEF3FE4"/>
    <w:rsid w:val="3CEF56AE"/>
    <w:rsid w:val="3CF215C4"/>
    <w:rsid w:val="3CFD3D87"/>
    <w:rsid w:val="3D064D12"/>
    <w:rsid w:val="3D077E5F"/>
    <w:rsid w:val="3D085EA1"/>
    <w:rsid w:val="3D104F3B"/>
    <w:rsid w:val="3D302FD5"/>
    <w:rsid w:val="3D3236FC"/>
    <w:rsid w:val="3D3C586D"/>
    <w:rsid w:val="3D3E664E"/>
    <w:rsid w:val="3D4036DE"/>
    <w:rsid w:val="3D4320E0"/>
    <w:rsid w:val="3D46138C"/>
    <w:rsid w:val="3D5347E8"/>
    <w:rsid w:val="3D54347E"/>
    <w:rsid w:val="3D5D7CE3"/>
    <w:rsid w:val="3D5F512A"/>
    <w:rsid w:val="3D660A3D"/>
    <w:rsid w:val="3D712EC0"/>
    <w:rsid w:val="3D74475E"/>
    <w:rsid w:val="3D7E0D62"/>
    <w:rsid w:val="3D8B0772"/>
    <w:rsid w:val="3D8B7ECC"/>
    <w:rsid w:val="3D9D3CB5"/>
    <w:rsid w:val="3DAB041F"/>
    <w:rsid w:val="3DB237C7"/>
    <w:rsid w:val="3DB76757"/>
    <w:rsid w:val="3DC0347E"/>
    <w:rsid w:val="3DC94659"/>
    <w:rsid w:val="3DCE6CA8"/>
    <w:rsid w:val="3DF0679B"/>
    <w:rsid w:val="3E01515F"/>
    <w:rsid w:val="3E06399F"/>
    <w:rsid w:val="3E0D7C77"/>
    <w:rsid w:val="3E27326E"/>
    <w:rsid w:val="3E2C25C6"/>
    <w:rsid w:val="3E2E5E6C"/>
    <w:rsid w:val="3E3F1DC6"/>
    <w:rsid w:val="3E4C6946"/>
    <w:rsid w:val="3E5A3B9A"/>
    <w:rsid w:val="3E5F7D0A"/>
    <w:rsid w:val="3E691AF4"/>
    <w:rsid w:val="3E720C9E"/>
    <w:rsid w:val="3E790C96"/>
    <w:rsid w:val="3E802148"/>
    <w:rsid w:val="3E95080D"/>
    <w:rsid w:val="3E9A2B30"/>
    <w:rsid w:val="3EA54293"/>
    <w:rsid w:val="3EAD0ABC"/>
    <w:rsid w:val="3EB1021E"/>
    <w:rsid w:val="3EBD3466"/>
    <w:rsid w:val="3ED16A7C"/>
    <w:rsid w:val="3EE11F4D"/>
    <w:rsid w:val="3EF256C6"/>
    <w:rsid w:val="3F052174"/>
    <w:rsid w:val="3F0D2384"/>
    <w:rsid w:val="3F0E0A76"/>
    <w:rsid w:val="3F183F1F"/>
    <w:rsid w:val="3F193AE1"/>
    <w:rsid w:val="3F1C646D"/>
    <w:rsid w:val="3F270F2A"/>
    <w:rsid w:val="3F30342A"/>
    <w:rsid w:val="3F3D7D13"/>
    <w:rsid w:val="3F4469D2"/>
    <w:rsid w:val="3F474BA4"/>
    <w:rsid w:val="3F4764C6"/>
    <w:rsid w:val="3F4F5AEE"/>
    <w:rsid w:val="3F5340BA"/>
    <w:rsid w:val="3F577B8B"/>
    <w:rsid w:val="3F5808BB"/>
    <w:rsid w:val="3F620045"/>
    <w:rsid w:val="3F650B29"/>
    <w:rsid w:val="3F6928C9"/>
    <w:rsid w:val="3F6E28AD"/>
    <w:rsid w:val="3F6E5D7F"/>
    <w:rsid w:val="3F6F3FFC"/>
    <w:rsid w:val="3F7339E1"/>
    <w:rsid w:val="3F764BC1"/>
    <w:rsid w:val="3F774FE0"/>
    <w:rsid w:val="3F7F3755"/>
    <w:rsid w:val="3F886170"/>
    <w:rsid w:val="3F983D7E"/>
    <w:rsid w:val="3F9D770A"/>
    <w:rsid w:val="3F9E086A"/>
    <w:rsid w:val="3FBB4D88"/>
    <w:rsid w:val="3FC8175D"/>
    <w:rsid w:val="3FCE3D31"/>
    <w:rsid w:val="3FD118C6"/>
    <w:rsid w:val="3FD37A4C"/>
    <w:rsid w:val="3FD51501"/>
    <w:rsid w:val="3FDF16EF"/>
    <w:rsid w:val="3FF40FCC"/>
    <w:rsid w:val="400241CF"/>
    <w:rsid w:val="4004583E"/>
    <w:rsid w:val="40123B77"/>
    <w:rsid w:val="40126DD1"/>
    <w:rsid w:val="4024612C"/>
    <w:rsid w:val="402835BD"/>
    <w:rsid w:val="403F4280"/>
    <w:rsid w:val="40434ECB"/>
    <w:rsid w:val="40436F57"/>
    <w:rsid w:val="404F6F29"/>
    <w:rsid w:val="40532D51"/>
    <w:rsid w:val="405506C9"/>
    <w:rsid w:val="405D1C2F"/>
    <w:rsid w:val="40662CFD"/>
    <w:rsid w:val="40724F46"/>
    <w:rsid w:val="40731ACE"/>
    <w:rsid w:val="407466C9"/>
    <w:rsid w:val="407536D0"/>
    <w:rsid w:val="40787FC7"/>
    <w:rsid w:val="407B3EF9"/>
    <w:rsid w:val="40890D55"/>
    <w:rsid w:val="408B23B6"/>
    <w:rsid w:val="408B3175"/>
    <w:rsid w:val="4095482F"/>
    <w:rsid w:val="40956D12"/>
    <w:rsid w:val="40976DDA"/>
    <w:rsid w:val="409D00EE"/>
    <w:rsid w:val="40A2679D"/>
    <w:rsid w:val="40A36ACF"/>
    <w:rsid w:val="40A57351"/>
    <w:rsid w:val="40AC4102"/>
    <w:rsid w:val="40B502AA"/>
    <w:rsid w:val="40BA4F7B"/>
    <w:rsid w:val="40BB6144"/>
    <w:rsid w:val="40C81DCC"/>
    <w:rsid w:val="40D258E0"/>
    <w:rsid w:val="40EA5463"/>
    <w:rsid w:val="40EA7211"/>
    <w:rsid w:val="40F9104A"/>
    <w:rsid w:val="40FE5FFB"/>
    <w:rsid w:val="411136A4"/>
    <w:rsid w:val="41156EA9"/>
    <w:rsid w:val="41210759"/>
    <w:rsid w:val="412B09D8"/>
    <w:rsid w:val="412F32B8"/>
    <w:rsid w:val="414F1681"/>
    <w:rsid w:val="41546D80"/>
    <w:rsid w:val="41700834"/>
    <w:rsid w:val="418E2B81"/>
    <w:rsid w:val="419019C3"/>
    <w:rsid w:val="419F7CE8"/>
    <w:rsid w:val="41A15C68"/>
    <w:rsid w:val="41B01828"/>
    <w:rsid w:val="41B63B95"/>
    <w:rsid w:val="41B77C79"/>
    <w:rsid w:val="41B810A6"/>
    <w:rsid w:val="41BC1AAB"/>
    <w:rsid w:val="41C413A8"/>
    <w:rsid w:val="41C643A0"/>
    <w:rsid w:val="41CD08A2"/>
    <w:rsid w:val="41D2545A"/>
    <w:rsid w:val="41D603B1"/>
    <w:rsid w:val="41E25F19"/>
    <w:rsid w:val="41E547F8"/>
    <w:rsid w:val="41E9315C"/>
    <w:rsid w:val="41EC31F8"/>
    <w:rsid w:val="41F90EDD"/>
    <w:rsid w:val="42083B1B"/>
    <w:rsid w:val="420C3D09"/>
    <w:rsid w:val="420F68EF"/>
    <w:rsid w:val="42367BAF"/>
    <w:rsid w:val="424D3EFC"/>
    <w:rsid w:val="42661CC3"/>
    <w:rsid w:val="426A12C1"/>
    <w:rsid w:val="426D388C"/>
    <w:rsid w:val="427644F9"/>
    <w:rsid w:val="4286036E"/>
    <w:rsid w:val="428E5277"/>
    <w:rsid w:val="429D7E27"/>
    <w:rsid w:val="429E19BA"/>
    <w:rsid w:val="42A27C90"/>
    <w:rsid w:val="42C14F95"/>
    <w:rsid w:val="42D2740D"/>
    <w:rsid w:val="42D77E17"/>
    <w:rsid w:val="42DE7AD4"/>
    <w:rsid w:val="42E100E0"/>
    <w:rsid w:val="42E15CB3"/>
    <w:rsid w:val="42F04887"/>
    <w:rsid w:val="42F91EFB"/>
    <w:rsid w:val="4304327D"/>
    <w:rsid w:val="4309738C"/>
    <w:rsid w:val="4310354B"/>
    <w:rsid w:val="4315253F"/>
    <w:rsid w:val="43160695"/>
    <w:rsid w:val="431E55F4"/>
    <w:rsid w:val="432430C7"/>
    <w:rsid w:val="43250BC9"/>
    <w:rsid w:val="432C345D"/>
    <w:rsid w:val="43340C18"/>
    <w:rsid w:val="433A71D7"/>
    <w:rsid w:val="433B783A"/>
    <w:rsid w:val="434A7959"/>
    <w:rsid w:val="435B2648"/>
    <w:rsid w:val="43654244"/>
    <w:rsid w:val="4366105E"/>
    <w:rsid w:val="4368313E"/>
    <w:rsid w:val="43762DAF"/>
    <w:rsid w:val="43803C64"/>
    <w:rsid w:val="43954822"/>
    <w:rsid w:val="43985411"/>
    <w:rsid w:val="43991D55"/>
    <w:rsid w:val="43A33523"/>
    <w:rsid w:val="43A76495"/>
    <w:rsid w:val="43AF0A4A"/>
    <w:rsid w:val="43B816A8"/>
    <w:rsid w:val="43B9111D"/>
    <w:rsid w:val="43BF0ABD"/>
    <w:rsid w:val="43C57AC2"/>
    <w:rsid w:val="43CA7FC3"/>
    <w:rsid w:val="43CB4EF9"/>
    <w:rsid w:val="43CD65DA"/>
    <w:rsid w:val="43DD4F36"/>
    <w:rsid w:val="43EE7087"/>
    <w:rsid w:val="440D22A7"/>
    <w:rsid w:val="440F7783"/>
    <w:rsid w:val="44294D5B"/>
    <w:rsid w:val="44335F05"/>
    <w:rsid w:val="4434780C"/>
    <w:rsid w:val="443929F5"/>
    <w:rsid w:val="444561BC"/>
    <w:rsid w:val="44487AD8"/>
    <w:rsid w:val="44492A75"/>
    <w:rsid w:val="445F5477"/>
    <w:rsid w:val="446A4D7C"/>
    <w:rsid w:val="44781379"/>
    <w:rsid w:val="448E61DF"/>
    <w:rsid w:val="448F5365"/>
    <w:rsid w:val="44903927"/>
    <w:rsid w:val="44A0416C"/>
    <w:rsid w:val="44CD32C1"/>
    <w:rsid w:val="44D92B5A"/>
    <w:rsid w:val="44D95B1A"/>
    <w:rsid w:val="44DE4317"/>
    <w:rsid w:val="44DE77EA"/>
    <w:rsid w:val="44E22A1E"/>
    <w:rsid w:val="44F624DB"/>
    <w:rsid w:val="4506363B"/>
    <w:rsid w:val="4507124A"/>
    <w:rsid w:val="450974FE"/>
    <w:rsid w:val="45113C6D"/>
    <w:rsid w:val="45193845"/>
    <w:rsid w:val="45262F20"/>
    <w:rsid w:val="45307118"/>
    <w:rsid w:val="4546479A"/>
    <w:rsid w:val="45480BEC"/>
    <w:rsid w:val="454925F5"/>
    <w:rsid w:val="45494354"/>
    <w:rsid w:val="455270B8"/>
    <w:rsid w:val="455C11B6"/>
    <w:rsid w:val="455D3C54"/>
    <w:rsid w:val="45642510"/>
    <w:rsid w:val="456653BA"/>
    <w:rsid w:val="4583049F"/>
    <w:rsid w:val="459C03CB"/>
    <w:rsid w:val="45A2156F"/>
    <w:rsid w:val="45B538C0"/>
    <w:rsid w:val="45B903AC"/>
    <w:rsid w:val="45C74928"/>
    <w:rsid w:val="45CD79D9"/>
    <w:rsid w:val="45E2455A"/>
    <w:rsid w:val="45E86AF2"/>
    <w:rsid w:val="45EC302F"/>
    <w:rsid w:val="45F219B3"/>
    <w:rsid w:val="45F63D75"/>
    <w:rsid w:val="46041E5A"/>
    <w:rsid w:val="46064DD7"/>
    <w:rsid w:val="460B1F37"/>
    <w:rsid w:val="46196294"/>
    <w:rsid w:val="461C11AA"/>
    <w:rsid w:val="46246FC3"/>
    <w:rsid w:val="46273049"/>
    <w:rsid w:val="462C2768"/>
    <w:rsid w:val="463351B6"/>
    <w:rsid w:val="46350C1B"/>
    <w:rsid w:val="463E19A2"/>
    <w:rsid w:val="46406D69"/>
    <w:rsid w:val="4654047F"/>
    <w:rsid w:val="46591A0F"/>
    <w:rsid w:val="467D1A71"/>
    <w:rsid w:val="46881374"/>
    <w:rsid w:val="468A3341"/>
    <w:rsid w:val="468D5210"/>
    <w:rsid w:val="46963F36"/>
    <w:rsid w:val="469D6367"/>
    <w:rsid w:val="46A051AA"/>
    <w:rsid w:val="46B76D8C"/>
    <w:rsid w:val="46BB694A"/>
    <w:rsid w:val="46C32E10"/>
    <w:rsid w:val="46CE4460"/>
    <w:rsid w:val="46D52B54"/>
    <w:rsid w:val="46DF533E"/>
    <w:rsid w:val="46E31091"/>
    <w:rsid w:val="46E32DCB"/>
    <w:rsid w:val="46F939DE"/>
    <w:rsid w:val="4703102D"/>
    <w:rsid w:val="47076C4B"/>
    <w:rsid w:val="470902D0"/>
    <w:rsid w:val="4713022D"/>
    <w:rsid w:val="471E5D1E"/>
    <w:rsid w:val="47247544"/>
    <w:rsid w:val="472D7196"/>
    <w:rsid w:val="47361015"/>
    <w:rsid w:val="474115B8"/>
    <w:rsid w:val="4741228F"/>
    <w:rsid w:val="47434055"/>
    <w:rsid w:val="4748068D"/>
    <w:rsid w:val="4751672B"/>
    <w:rsid w:val="475222DC"/>
    <w:rsid w:val="476E25CA"/>
    <w:rsid w:val="4774248B"/>
    <w:rsid w:val="477B5067"/>
    <w:rsid w:val="477D3257"/>
    <w:rsid w:val="478907CD"/>
    <w:rsid w:val="47904018"/>
    <w:rsid w:val="47967979"/>
    <w:rsid w:val="47AC0E04"/>
    <w:rsid w:val="47AE6C76"/>
    <w:rsid w:val="47B71E17"/>
    <w:rsid w:val="47BC1E2B"/>
    <w:rsid w:val="47D41938"/>
    <w:rsid w:val="47E4603B"/>
    <w:rsid w:val="47E72CA8"/>
    <w:rsid w:val="48084C83"/>
    <w:rsid w:val="480E54EE"/>
    <w:rsid w:val="481B7CEF"/>
    <w:rsid w:val="482A7986"/>
    <w:rsid w:val="482F70CA"/>
    <w:rsid w:val="48333173"/>
    <w:rsid w:val="483C7B63"/>
    <w:rsid w:val="48401E0D"/>
    <w:rsid w:val="485847C6"/>
    <w:rsid w:val="48594487"/>
    <w:rsid w:val="485E550A"/>
    <w:rsid w:val="48645016"/>
    <w:rsid w:val="48671469"/>
    <w:rsid w:val="48895330"/>
    <w:rsid w:val="489A7040"/>
    <w:rsid w:val="489C32E0"/>
    <w:rsid w:val="48A00E6D"/>
    <w:rsid w:val="48A12F3D"/>
    <w:rsid w:val="48BB5BD4"/>
    <w:rsid w:val="48BF6E78"/>
    <w:rsid w:val="48C27415"/>
    <w:rsid w:val="48CE1266"/>
    <w:rsid w:val="48D04A9D"/>
    <w:rsid w:val="48D76E65"/>
    <w:rsid w:val="48D80297"/>
    <w:rsid w:val="48D92844"/>
    <w:rsid w:val="48E103D4"/>
    <w:rsid w:val="48E331A2"/>
    <w:rsid w:val="48EA0F60"/>
    <w:rsid w:val="48F22B13"/>
    <w:rsid w:val="48F620AF"/>
    <w:rsid w:val="48FD32E3"/>
    <w:rsid w:val="490D6193"/>
    <w:rsid w:val="49122378"/>
    <w:rsid w:val="491608D8"/>
    <w:rsid w:val="49197859"/>
    <w:rsid w:val="491B6BDF"/>
    <w:rsid w:val="491D158B"/>
    <w:rsid w:val="491F1C6C"/>
    <w:rsid w:val="49220692"/>
    <w:rsid w:val="49297555"/>
    <w:rsid w:val="493E32B2"/>
    <w:rsid w:val="493E586F"/>
    <w:rsid w:val="494E68B7"/>
    <w:rsid w:val="494F055A"/>
    <w:rsid w:val="49521DB5"/>
    <w:rsid w:val="49573C6D"/>
    <w:rsid w:val="49632ACC"/>
    <w:rsid w:val="496935B7"/>
    <w:rsid w:val="496A23BA"/>
    <w:rsid w:val="496D1A21"/>
    <w:rsid w:val="498157E2"/>
    <w:rsid w:val="4987387C"/>
    <w:rsid w:val="498776B9"/>
    <w:rsid w:val="49AE17D5"/>
    <w:rsid w:val="49B3201F"/>
    <w:rsid w:val="49B56330"/>
    <w:rsid w:val="49B86E67"/>
    <w:rsid w:val="49BF28EF"/>
    <w:rsid w:val="49C21C9A"/>
    <w:rsid w:val="49CB030F"/>
    <w:rsid w:val="49CB6038"/>
    <w:rsid w:val="49D30F8D"/>
    <w:rsid w:val="49D81F97"/>
    <w:rsid w:val="49FB20BA"/>
    <w:rsid w:val="4A092CE4"/>
    <w:rsid w:val="4A1009E3"/>
    <w:rsid w:val="4A12620F"/>
    <w:rsid w:val="4A1C1A36"/>
    <w:rsid w:val="4A217A88"/>
    <w:rsid w:val="4A365D40"/>
    <w:rsid w:val="4A4C0588"/>
    <w:rsid w:val="4A59142F"/>
    <w:rsid w:val="4A5F18B1"/>
    <w:rsid w:val="4A5F2387"/>
    <w:rsid w:val="4A612E0C"/>
    <w:rsid w:val="4A616EA2"/>
    <w:rsid w:val="4A7A0D68"/>
    <w:rsid w:val="4A7B59CA"/>
    <w:rsid w:val="4A7F0739"/>
    <w:rsid w:val="4A930F8A"/>
    <w:rsid w:val="4A94010E"/>
    <w:rsid w:val="4AA87152"/>
    <w:rsid w:val="4AAE0700"/>
    <w:rsid w:val="4ACB1EE7"/>
    <w:rsid w:val="4ACB2229"/>
    <w:rsid w:val="4ACE1AAA"/>
    <w:rsid w:val="4AD7056A"/>
    <w:rsid w:val="4ADA2ECA"/>
    <w:rsid w:val="4AEC329A"/>
    <w:rsid w:val="4AF62C56"/>
    <w:rsid w:val="4AF905A9"/>
    <w:rsid w:val="4B067D95"/>
    <w:rsid w:val="4B2B173E"/>
    <w:rsid w:val="4B5577B9"/>
    <w:rsid w:val="4B5827AC"/>
    <w:rsid w:val="4B6A0B57"/>
    <w:rsid w:val="4B6F1F83"/>
    <w:rsid w:val="4B782CD5"/>
    <w:rsid w:val="4B791E00"/>
    <w:rsid w:val="4B7F7BED"/>
    <w:rsid w:val="4B93430D"/>
    <w:rsid w:val="4B9C6611"/>
    <w:rsid w:val="4BAB291A"/>
    <w:rsid w:val="4BB068EC"/>
    <w:rsid w:val="4BB414F5"/>
    <w:rsid w:val="4BB4227E"/>
    <w:rsid w:val="4BBB2075"/>
    <w:rsid w:val="4BBB4742"/>
    <w:rsid w:val="4BC36FDC"/>
    <w:rsid w:val="4BC373BE"/>
    <w:rsid w:val="4BD73B3D"/>
    <w:rsid w:val="4BF4152F"/>
    <w:rsid w:val="4C082429"/>
    <w:rsid w:val="4C1635B0"/>
    <w:rsid w:val="4C205DD1"/>
    <w:rsid w:val="4C245756"/>
    <w:rsid w:val="4C3048AB"/>
    <w:rsid w:val="4C51535F"/>
    <w:rsid w:val="4C516B1B"/>
    <w:rsid w:val="4C61155D"/>
    <w:rsid w:val="4C720717"/>
    <w:rsid w:val="4C7C3456"/>
    <w:rsid w:val="4C800598"/>
    <w:rsid w:val="4C821E99"/>
    <w:rsid w:val="4CA53E85"/>
    <w:rsid w:val="4CB0680A"/>
    <w:rsid w:val="4CB663DC"/>
    <w:rsid w:val="4CBB52F9"/>
    <w:rsid w:val="4CC360BC"/>
    <w:rsid w:val="4CC50B32"/>
    <w:rsid w:val="4CD9638C"/>
    <w:rsid w:val="4CDB611B"/>
    <w:rsid w:val="4CE644AA"/>
    <w:rsid w:val="4CF00A69"/>
    <w:rsid w:val="4D0D3DAA"/>
    <w:rsid w:val="4D1416D0"/>
    <w:rsid w:val="4D197648"/>
    <w:rsid w:val="4D265BDE"/>
    <w:rsid w:val="4D344E20"/>
    <w:rsid w:val="4D573654"/>
    <w:rsid w:val="4D615DA4"/>
    <w:rsid w:val="4D6E5DD5"/>
    <w:rsid w:val="4D720268"/>
    <w:rsid w:val="4D7913B4"/>
    <w:rsid w:val="4D7C3735"/>
    <w:rsid w:val="4D8A0FB6"/>
    <w:rsid w:val="4D9A1FBF"/>
    <w:rsid w:val="4DA91C03"/>
    <w:rsid w:val="4DB07482"/>
    <w:rsid w:val="4DB766DA"/>
    <w:rsid w:val="4DBA5155"/>
    <w:rsid w:val="4DC4265F"/>
    <w:rsid w:val="4DCB25CC"/>
    <w:rsid w:val="4DDB57D8"/>
    <w:rsid w:val="4DDD653E"/>
    <w:rsid w:val="4DE0241F"/>
    <w:rsid w:val="4DEA6525"/>
    <w:rsid w:val="4DED66B8"/>
    <w:rsid w:val="4DFA615B"/>
    <w:rsid w:val="4DFD684F"/>
    <w:rsid w:val="4E033434"/>
    <w:rsid w:val="4E0B5420"/>
    <w:rsid w:val="4E137D7B"/>
    <w:rsid w:val="4E25165F"/>
    <w:rsid w:val="4E2A528C"/>
    <w:rsid w:val="4E4168DE"/>
    <w:rsid w:val="4E57709B"/>
    <w:rsid w:val="4E715C22"/>
    <w:rsid w:val="4E740A62"/>
    <w:rsid w:val="4E760913"/>
    <w:rsid w:val="4E894652"/>
    <w:rsid w:val="4E946A0E"/>
    <w:rsid w:val="4E957109"/>
    <w:rsid w:val="4E991130"/>
    <w:rsid w:val="4E992428"/>
    <w:rsid w:val="4EA159F7"/>
    <w:rsid w:val="4EAA6F54"/>
    <w:rsid w:val="4EBD5E39"/>
    <w:rsid w:val="4ECC76E6"/>
    <w:rsid w:val="4ED1267B"/>
    <w:rsid w:val="4EDC7EA2"/>
    <w:rsid w:val="4EE22F7C"/>
    <w:rsid w:val="4EE40BDC"/>
    <w:rsid w:val="4EEB4280"/>
    <w:rsid w:val="4EF0566C"/>
    <w:rsid w:val="4EFF76EE"/>
    <w:rsid w:val="4F0A39CD"/>
    <w:rsid w:val="4F141E6B"/>
    <w:rsid w:val="4F156B5C"/>
    <w:rsid w:val="4F16674C"/>
    <w:rsid w:val="4F1A71FA"/>
    <w:rsid w:val="4F252111"/>
    <w:rsid w:val="4F29218F"/>
    <w:rsid w:val="4F381AD6"/>
    <w:rsid w:val="4F385E75"/>
    <w:rsid w:val="4F453060"/>
    <w:rsid w:val="4F4C3460"/>
    <w:rsid w:val="4F501714"/>
    <w:rsid w:val="4F5537C1"/>
    <w:rsid w:val="4F5E57B4"/>
    <w:rsid w:val="4F613E37"/>
    <w:rsid w:val="4F6569F0"/>
    <w:rsid w:val="4F661638"/>
    <w:rsid w:val="4F6665FD"/>
    <w:rsid w:val="4F6D7314"/>
    <w:rsid w:val="4F753366"/>
    <w:rsid w:val="4F7F34A9"/>
    <w:rsid w:val="4F8E3374"/>
    <w:rsid w:val="4F980D77"/>
    <w:rsid w:val="4FA61123"/>
    <w:rsid w:val="4FBA5364"/>
    <w:rsid w:val="4FBB5677"/>
    <w:rsid w:val="4FD02C1E"/>
    <w:rsid w:val="4FD46D9D"/>
    <w:rsid w:val="4FD73788"/>
    <w:rsid w:val="4FD82FB2"/>
    <w:rsid w:val="4FFB42AF"/>
    <w:rsid w:val="500227FC"/>
    <w:rsid w:val="50217537"/>
    <w:rsid w:val="503C3712"/>
    <w:rsid w:val="503F1979"/>
    <w:rsid w:val="5041455F"/>
    <w:rsid w:val="5077497A"/>
    <w:rsid w:val="507765E7"/>
    <w:rsid w:val="507F01AA"/>
    <w:rsid w:val="508255D8"/>
    <w:rsid w:val="508C4B55"/>
    <w:rsid w:val="50983E5A"/>
    <w:rsid w:val="509A415B"/>
    <w:rsid w:val="50A57023"/>
    <w:rsid w:val="50A83663"/>
    <w:rsid w:val="50A9604B"/>
    <w:rsid w:val="50AC368B"/>
    <w:rsid w:val="50AE6448"/>
    <w:rsid w:val="50B9265F"/>
    <w:rsid w:val="50BC166D"/>
    <w:rsid w:val="50C231BF"/>
    <w:rsid w:val="50CB7B01"/>
    <w:rsid w:val="50D21E82"/>
    <w:rsid w:val="50DC0C43"/>
    <w:rsid w:val="50DE6667"/>
    <w:rsid w:val="50FC65B2"/>
    <w:rsid w:val="51027A1E"/>
    <w:rsid w:val="51034522"/>
    <w:rsid w:val="5106116D"/>
    <w:rsid w:val="510856F7"/>
    <w:rsid w:val="51105755"/>
    <w:rsid w:val="511F4424"/>
    <w:rsid w:val="511F5905"/>
    <w:rsid w:val="512D5A25"/>
    <w:rsid w:val="512F2288"/>
    <w:rsid w:val="513117C1"/>
    <w:rsid w:val="516721B8"/>
    <w:rsid w:val="516F72BF"/>
    <w:rsid w:val="51700E3C"/>
    <w:rsid w:val="51711289"/>
    <w:rsid w:val="517A3EEB"/>
    <w:rsid w:val="518E7BA9"/>
    <w:rsid w:val="51900B49"/>
    <w:rsid w:val="51946859"/>
    <w:rsid w:val="519C1780"/>
    <w:rsid w:val="51A053CA"/>
    <w:rsid w:val="51B12D8F"/>
    <w:rsid w:val="51B50C0F"/>
    <w:rsid w:val="51BA5475"/>
    <w:rsid w:val="51C711F1"/>
    <w:rsid w:val="51C86FDC"/>
    <w:rsid w:val="51D304E8"/>
    <w:rsid w:val="51D773CE"/>
    <w:rsid w:val="51F34631"/>
    <w:rsid w:val="51F36577"/>
    <w:rsid w:val="52081DA9"/>
    <w:rsid w:val="520E2F00"/>
    <w:rsid w:val="521317D7"/>
    <w:rsid w:val="521F63CF"/>
    <w:rsid w:val="5226253D"/>
    <w:rsid w:val="52307131"/>
    <w:rsid w:val="524840A8"/>
    <w:rsid w:val="525C4192"/>
    <w:rsid w:val="527D3B2A"/>
    <w:rsid w:val="527E5A0B"/>
    <w:rsid w:val="528E4229"/>
    <w:rsid w:val="528F1B35"/>
    <w:rsid w:val="5296495D"/>
    <w:rsid w:val="529850D1"/>
    <w:rsid w:val="52A16C31"/>
    <w:rsid w:val="52A35816"/>
    <w:rsid w:val="52AD009F"/>
    <w:rsid w:val="52B45FFF"/>
    <w:rsid w:val="52C95932"/>
    <w:rsid w:val="52DE2DAF"/>
    <w:rsid w:val="52DF683D"/>
    <w:rsid w:val="52E04032"/>
    <w:rsid w:val="52E0541C"/>
    <w:rsid w:val="52E35987"/>
    <w:rsid w:val="52EA6DF4"/>
    <w:rsid w:val="52EF4B5B"/>
    <w:rsid w:val="52FB2686"/>
    <w:rsid w:val="530630D9"/>
    <w:rsid w:val="53087834"/>
    <w:rsid w:val="53180BBF"/>
    <w:rsid w:val="531C141D"/>
    <w:rsid w:val="5324516B"/>
    <w:rsid w:val="53316B8F"/>
    <w:rsid w:val="53431713"/>
    <w:rsid w:val="534F6154"/>
    <w:rsid w:val="535E3905"/>
    <w:rsid w:val="53644FA3"/>
    <w:rsid w:val="536B6CF7"/>
    <w:rsid w:val="537A200C"/>
    <w:rsid w:val="537B77D9"/>
    <w:rsid w:val="538726B6"/>
    <w:rsid w:val="539250E9"/>
    <w:rsid w:val="53A37630"/>
    <w:rsid w:val="53A776FB"/>
    <w:rsid w:val="53C34300"/>
    <w:rsid w:val="53D25F0F"/>
    <w:rsid w:val="53D95E5D"/>
    <w:rsid w:val="53DB71C5"/>
    <w:rsid w:val="53E47295"/>
    <w:rsid w:val="53E63F5A"/>
    <w:rsid w:val="53EB63BA"/>
    <w:rsid w:val="53EE790F"/>
    <w:rsid w:val="53F75E90"/>
    <w:rsid w:val="53FC7C6F"/>
    <w:rsid w:val="53FE617A"/>
    <w:rsid w:val="54144F28"/>
    <w:rsid w:val="541D0A09"/>
    <w:rsid w:val="543570E8"/>
    <w:rsid w:val="5443739A"/>
    <w:rsid w:val="544F3BE0"/>
    <w:rsid w:val="54592570"/>
    <w:rsid w:val="545A0CF3"/>
    <w:rsid w:val="5461259D"/>
    <w:rsid w:val="5463583A"/>
    <w:rsid w:val="547C3736"/>
    <w:rsid w:val="547C45E9"/>
    <w:rsid w:val="54907445"/>
    <w:rsid w:val="54922D92"/>
    <w:rsid w:val="54963DA8"/>
    <w:rsid w:val="54B04C71"/>
    <w:rsid w:val="54B615DA"/>
    <w:rsid w:val="54B96BD0"/>
    <w:rsid w:val="54BA166D"/>
    <w:rsid w:val="54CF1A4F"/>
    <w:rsid w:val="54D544D2"/>
    <w:rsid w:val="54DE3ED1"/>
    <w:rsid w:val="54EE0C7C"/>
    <w:rsid w:val="54EF3C8D"/>
    <w:rsid w:val="54F83CD4"/>
    <w:rsid w:val="54F92A3E"/>
    <w:rsid w:val="5506367E"/>
    <w:rsid w:val="55065871"/>
    <w:rsid w:val="55115D13"/>
    <w:rsid w:val="55147894"/>
    <w:rsid w:val="551C47E8"/>
    <w:rsid w:val="551D5E73"/>
    <w:rsid w:val="553441BB"/>
    <w:rsid w:val="553F228F"/>
    <w:rsid w:val="554017AC"/>
    <w:rsid w:val="55482300"/>
    <w:rsid w:val="554C6B2C"/>
    <w:rsid w:val="55540517"/>
    <w:rsid w:val="555421FF"/>
    <w:rsid w:val="5558132B"/>
    <w:rsid w:val="55590873"/>
    <w:rsid w:val="555C06B2"/>
    <w:rsid w:val="556A2C89"/>
    <w:rsid w:val="556D1CDC"/>
    <w:rsid w:val="556E6CF8"/>
    <w:rsid w:val="557405F0"/>
    <w:rsid w:val="55780E38"/>
    <w:rsid w:val="557F7F03"/>
    <w:rsid w:val="55893B35"/>
    <w:rsid w:val="55A113E7"/>
    <w:rsid w:val="55AA7DD2"/>
    <w:rsid w:val="55AD16F9"/>
    <w:rsid w:val="55B96F5B"/>
    <w:rsid w:val="55BF2642"/>
    <w:rsid w:val="55C22A9A"/>
    <w:rsid w:val="55C23828"/>
    <w:rsid w:val="55C35226"/>
    <w:rsid w:val="55C46AAA"/>
    <w:rsid w:val="55C73002"/>
    <w:rsid w:val="55C82ECD"/>
    <w:rsid w:val="55D17F68"/>
    <w:rsid w:val="55DA13CB"/>
    <w:rsid w:val="55E55DA1"/>
    <w:rsid w:val="55EC5C65"/>
    <w:rsid w:val="55EF09CE"/>
    <w:rsid w:val="55FD14E7"/>
    <w:rsid w:val="56022F6D"/>
    <w:rsid w:val="561245B3"/>
    <w:rsid w:val="561869EB"/>
    <w:rsid w:val="56254BD3"/>
    <w:rsid w:val="56275871"/>
    <w:rsid w:val="56301712"/>
    <w:rsid w:val="56361B10"/>
    <w:rsid w:val="563C5A54"/>
    <w:rsid w:val="56435F3C"/>
    <w:rsid w:val="5644163D"/>
    <w:rsid w:val="564A0EBE"/>
    <w:rsid w:val="5655791C"/>
    <w:rsid w:val="565B598B"/>
    <w:rsid w:val="566D4A43"/>
    <w:rsid w:val="5674324F"/>
    <w:rsid w:val="567652E0"/>
    <w:rsid w:val="56767627"/>
    <w:rsid w:val="56820F04"/>
    <w:rsid w:val="568C3DB7"/>
    <w:rsid w:val="568C48FC"/>
    <w:rsid w:val="568F5336"/>
    <w:rsid w:val="56A46E8F"/>
    <w:rsid w:val="56AB0EB9"/>
    <w:rsid w:val="56AC6B27"/>
    <w:rsid w:val="56C1513B"/>
    <w:rsid w:val="56C6100A"/>
    <w:rsid w:val="56CE077E"/>
    <w:rsid w:val="56DB6149"/>
    <w:rsid w:val="56E72AF1"/>
    <w:rsid w:val="56EF6458"/>
    <w:rsid w:val="56F232EF"/>
    <w:rsid w:val="57003E6B"/>
    <w:rsid w:val="57155AD8"/>
    <w:rsid w:val="57185A16"/>
    <w:rsid w:val="571B324B"/>
    <w:rsid w:val="571F424A"/>
    <w:rsid w:val="572131F4"/>
    <w:rsid w:val="572B4C8E"/>
    <w:rsid w:val="57391D9B"/>
    <w:rsid w:val="573D2FE0"/>
    <w:rsid w:val="575771B2"/>
    <w:rsid w:val="575C0989"/>
    <w:rsid w:val="5762281E"/>
    <w:rsid w:val="576766E2"/>
    <w:rsid w:val="57687C51"/>
    <w:rsid w:val="576C7B52"/>
    <w:rsid w:val="576E6A84"/>
    <w:rsid w:val="577344CB"/>
    <w:rsid w:val="578117C6"/>
    <w:rsid w:val="578510FF"/>
    <w:rsid w:val="578A4FA3"/>
    <w:rsid w:val="578C1886"/>
    <w:rsid w:val="578D3D84"/>
    <w:rsid w:val="578E33DF"/>
    <w:rsid w:val="578E4942"/>
    <w:rsid w:val="57915C8C"/>
    <w:rsid w:val="579C5D64"/>
    <w:rsid w:val="57BC46D3"/>
    <w:rsid w:val="57CE431B"/>
    <w:rsid w:val="57DF1048"/>
    <w:rsid w:val="57E26A3C"/>
    <w:rsid w:val="57EB129C"/>
    <w:rsid w:val="57EE06A7"/>
    <w:rsid w:val="57F9012A"/>
    <w:rsid w:val="58061CE5"/>
    <w:rsid w:val="58112E57"/>
    <w:rsid w:val="58146990"/>
    <w:rsid w:val="58154E00"/>
    <w:rsid w:val="582E5A50"/>
    <w:rsid w:val="58315D0B"/>
    <w:rsid w:val="58357AD1"/>
    <w:rsid w:val="58361150"/>
    <w:rsid w:val="583B566D"/>
    <w:rsid w:val="58570994"/>
    <w:rsid w:val="58584E2D"/>
    <w:rsid w:val="585E6BEF"/>
    <w:rsid w:val="58712B85"/>
    <w:rsid w:val="58726012"/>
    <w:rsid w:val="58735CF5"/>
    <w:rsid w:val="587A5C6E"/>
    <w:rsid w:val="587D06DA"/>
    <w:rsid w:val="587F68C4"/>
    <w:rsid w:val="588A7CB2"/>
    <w:rsid w:val="588D6535"/>
    <w:rsid w:val="588E79D3"/>
    <w:rsid w:val="5892595B"/>
    <w:rsid w:val="589A755B"/>
    <w:rsid w:val="58B17AEC"/>
    <w:rsid w:val="58B22DC4"/>
    <w:rsid w:val="58B32DA5"/>
    <w:rsid w:val="58BD056D"/>
    <w:rsid w:val="58C15BE8"/>
    <w:rsid w:val="58C373C5"/>
    <w:rsid w:val="58C65E4C"/>
    <w:rsid w:val="58C97FF3"/>
    <w:rsid w:val="58CE1329"/>
    <w:rsid w:val="58DB3C17"/>
    <w:rsid w:val="58DB713D"/>
    <w:rsid w:val="58F26F14"/>
    <w:rsid w:val="58F75C1D"/>
    <w:rsid w:val="59055E47"/>
    <w:rsid w:val="59104B05"/>
    <w:rsid w:val="591F23DA"/>
    <w:rsid w:val="592015BF"/>
    <w:rsid w:val="59314C6F"/>
    <w:rsid w:val="5935668E"/>
    <w:rsid w:val="593B6746"/>
    <w:rsid w:val="593D61AD"/>
    <w:rsid w:val="594159E5"/>
    <w:rsid w:val="594825E7"/>
    <w:rsid w:val="595142A7"/>
    <w:rsid w:val="59550F13"/>
    <w:rsid w:val="595F442B"/>
    <w:rsid w:val="59685342"/>
    <w:rsid w:val="597134CB"/>
    <w:rsid w:val="597E2795"/>
    <w:rsid w:val="598B4547"/>
    <w:rsid w:val="598F3DB7"/>
    <w:rsid w:val="599C42C0"/>
    <w:rsid w:val="59A445DE"/>
    <w:rsid w:val="59B0526A"/>
    <w:rsid w:val="59B12A40"/>
    <w:rsid w:val="59B44739"/>
    <w:rsid w:val="59BF23EF"/>
    <w:rsid w:val="59BF3565"/>
    <w:rsid w:val="59C47651"/>
    <w:rsid w:val="59C62074"/>
    <w:rsid w:val="59CA2A99"/>
    <w:rsid w:val="59DA2860"/>
    <w:rsid w:val="59E269E5"/>
    <w:rsid w:val="59E9460E"/>
    <w:rsid w:val="59EC00CB"/>
    <w:rsid w:val="59F14D15"/>
    <w:rsid w:val="59F22BD7"/>
    <w:rsid w:val="59F67304"/>
    <w:rsid w:val="5A047D66"/>
    <w:rsid w:val="5A191BAD"/>
    <w:rsid w:val="5A257234"/>
    <w:rsid w:val="5A2972BC"/>
    <w:rsid w:val="5A2A147A"/>
    <w:rsid w:val="5A2A26D5"/>
    <w:rsid w:val="5A2E7D17"/>
    <w:rsid w:val="5A327DE6"/>
    <w:rsid w:val="5A346554"/>
    <w:rsid w:val="5A461504"/>
    <w:rsid w:val="5A4C63EF"/>
    <w:rsid w:val="5A601003"/>
    <w:rsid w:val="5A6150E6"/>
    <w:rsid w:val="5A6839E7"/>
    <w:rsid w:val="5A72280A"/>
    <w:rsid w:val="5A79727B"/>
    <w:rsid w:val="5A7E1C4B"/>
    <w:rsid w:val="5A8018DC"/>
    <w:rsid w:val="5A891034"/>
    <w:rsid w:val="5A8C18DE"/>
    <w:rsid w:val="5A9A07E3"/>
    <w:rsid w:val="5AB50F66"/>
    <w:rsid w:val="5AB751C5"/>
    <w:rsid w:val="5ABA7A0A"/>
    <w:rsid w:val="5ABB56F5"/>
    <w:rsid w:val="5AC57D02"/>
    <w:rsid w:val="5AC9538D"/>
    <w:rsid w:val="5ACE15EE"/>
    <w:rsid w:val="5AD8289A"/>
    <w:rsid w:val="5AE9074C"/>
    <w:rsid w:val="5AE91623"/>
    <w:rsid w:val="5B0038F6"/>
    <w:rsid w:val="5B003A25"/>
    <w:rsid w:val="5B0C24E0"/>
    <w:rsid w:val="5B111511"/>
    <w:rsid w:val="5B143961"/>
    <w:rsid w:val="5B171BF9"/>
    <w:rsid w:val="5B232476"/>
    <w:rsid w:val="5B242391"/>
    <w:rsid w:val="5B281E54"/>
    <w:rsid w:val="5B30348E"/>
    <w:rsid w:val="5B320F92"/>
    <w:rsid w:val="5B321A89"/>
    <w:rsid w:val="5B377CC0"/>
    <w:rsid w:val="5B3A531D"/>
    <w:rsid w:val="5B4928DA"/>
    <w:rsid w:val="5B5B6F1E"/>
    <w:rsid w:val="5B5D1AF7"/>
    <w:rsid w:val="5B624AEB"/>
    <w:rsid w:val="5B671705"/>
    <w:rsid w:val="5B737364"/>
    <w:rsid w:val="5B7B5D42"/>
    <w:rsid w:val="5B864F7E"/>
    <w:rsid w:val="5B8B1604"/>
    <w:rsid w:val="5B8C3187"/>
    <w:rsid w:val="5B9B7813"/>
    <w:rsid w:val="5B9D7DB1"/>
    <w:rsid w:val="5BAD58F5"/>
    <w:rsid w:val="5BC65C3D"/>
    <w:rsid w:val="5BC924F2"/>
    <w:rsid w:val="5BDC37A3"/>
    <w:rsid w:val="5BE24E58"/>
    <w:rsid w:val="5BE93577"/>
    <w:rsid w:val="5BEA22FD"/>
    <w:rsid w:val="5BF34584"/>
    <w:rsid w:val="5BF440A9"/>
    <w:rsid w:val="5BF56384"/>
    <w:rsid w:val="5BF72344"/>
    <w:rsid w:val="5C095670"/>
    <w:rsid w:val="5C161EDE"/>
    <w:rsid w:val="5C19254F"/>
    <w:rsid w:val="5C1E477C"/>
    <w:rsid w:val="5C4614D6"/>
    <w:rsid w:val="5C592C73"/>
    <w:rsid w:val="5C5A362D"/>
    <w:rsid w:val="5C741B3F"/>
    <w:rsid w:val="5C756CA1"/>
    <w:rsid w:val="5C877BB2"/>
    <w:rsid w:val="5C9C6853"/>
    <w:rsid w:val="5CAF6D25"/>
    <w:rsid w:val="5CB17D25"/>
    <w:rsid w:val="5CB91F84"/>
    <w:rsid w:val="5CBD0056"/>
    <w:rsid w:val="5CBF7ACD"/>
    <w:rsid w:val="5CC26E3C"/>
    <w:rsid w:val="5CC9509E"/>
    <w:rsid w:val="5CC972DA"/>
    <w:rsid w:val="5CCF6427"/>
    <w:rsid w:val="5CD0201A"/>
    <w:rsid w:val="5CD226D1"/>
    <w:rsid w:val="5CDC0D1C"/>
    <w:rsid w:val="5CF829B8"/>
    <w:rsid w:val="5CFC3333"/>
    <w:rsid w:val="5CFD3D68"/>
    <w:rsid w:val="5D0B312B"/>
    <w:rsid w:val="5D123DBB"/>
    <w:rsid w:val="5D1C2E0E"/>
    <w:rsid w:val="5D27508F"/>
    <w:rsid w:val="5D39709E"/>
    <w:rsid w:val="5D4379CB"/>
    <w:rsid w:val="5D5B25BB"/>
    <w:rsid w:val="5D5E2425"/>
    <w:rsid w:val="5D605F05"/>
    <w:rsid w:val="5D6904FB"/>
    <w:rsid w:val="5D6D7821"/>
    <w:rsid w:val="5D706898"/>
    <w:rsid w:val="5D7E7207"/>
    <w:rsid w:val="5D821D06"/>
    <w:rsid w:val="5D837B73"/>
    <w:rsid w:val="5D8503CC"/>
    <w:rsid w:val="5D8775D3"/>
    <w:rsid w:val="5D8C2067"/>
    <w:rsid w:val="5D934F42"/>
    <w:rsid w:val="5D993991"/>
    <w:rsid w:val="5D9D735C"/>
    <w:rsid w:val="5D9F57D6"/>
    <w:rsid w:val="5DA76786"/>
    <w:rsid w:val="5DA92296"/>
    <w:rsid w:val="5DBE05A0"/>
    <w:rsid w:val="5DC23BBA"/>
    <w:rsid w:val="5DCE46FF"/>
    <w:rsid w:val="5DDB6CCC"/>
    <w:rsid w:val="5DE6783E"/>
    <w:rsid w:val="5DF030F6"/>
    <w:rsid w:val="5DF1550D"/>
    <w:rsid w:val="5DFF400C"/>
    <w:rsid w:val="5E287C36"/>
    <w:rsid w:val="5E301604"/>
    <w:rsid w:val="5E391380"/>
    <w:rsid w:val="5E3F379C"/>
    <w:rsid w:val="5E407804"/>
    <w:rsid w:val="5E4347D4"/>
    <w:rsid w:val="5E44669D"/>
    <w:rsid w:val="5E4D6D7F"/>
    <w:rsid w:val="5E5C3CA4"/>
    <w:rsid w:val="5E6470AD"/>
    <w:rsid w:val="5E6E020D"/>
    <w:rsid w:val="5E717627"/>
    <w:rsid w:val="5E8E4A5B"/>
    <w:rsid w:val="5E8E65F4"/>
    <w:rsid w:val="5E9967A5"/>
    <w:rsid w:val="5EA02A0A"/>
    <w:rsid w:val="5EA049D3"/>
    <w:rsid w:val="5EAD3AFF"/>
    <w:rsid w:val="5EB86CBC"/>
    <w:rsid w:val="5ED65EDA"/>
    <w:rsid w:val="5ED864A3"/>
    <w:rsid w:val="5EDE1348"/>
    <w:rsid w:val="5EEA5E68"/>
    <w:rsid w:val="5EEB376E"/>
    <w:rsid w:val="5EEB68C1"/>
    <w:rsid w:val="5EEE0E31"/>
    <w:rsid w:val="5EF4357D"/>
    <w:rsid w:val="5EF91EFB"/>
    <w:rsid w:val="5F0D7E57"/>
    <w:rsid w:val="5F173B4A"/>
    <w:rsid w:val="5F1D0AEB"/>
    <w:rsid w:val="5F2E5C7C"/>
    <w:rsid w:val="5F3648E9"/>
    <w:rsid w:val="5F41253D"/>
    <w:rsid w:val="5F451484"/>
    <w:rsid w:val="5F4E7701"/>
    <w:rsid w:val="5F56443A"/>
    <w:rsid w:val="5F694BA6"/>
    <w:rsid w:val="5F702B80"/>
    <w:rsid w:val="5F7B7380"/>
    <w:rsid w:val="5F8F5D32"/>
    <w:rsid w:val="5F965EFC"/>
    <w:rsid w:val="5F966721"/>
    <w:rsid w:val="5F9A7BFD"/>
    <w:rsid w:val="5FA74ADA"/>
    <w:rsid w:val="5FA92465"/>
    <w:rsid w:val="5FAD2A44"/>
    <w:rsid w:val="5FAE0C0F"/>
    <w:rsid w:val="5FB11616"/>
    <w:rsid w:val="5FB27702"/>
    <w:rsid w:val="5FC2343E"/>
    <w:rsid w:val="5FC473A7"/>
    <w:rsid w:val="5FD00309"/>
    <w:rsid w:val="5FD5150B"/>
    <w:rsid w:val="5FE76A3B"/>
    <w:rsid w:val="5FF9506C"/>
    <w:rsid w:val="5FFA4971"/>
    <w:rsid w:val="5FFD520B"/>
    <w:rsid w:val="600475F9"/>
    <w:rsid w:val="602F7C9D"/>
    <w:rsid w:val="603177D2"/>
    <w:rsid w:val="60344713"/>
    <w:rsid w:val="60402D86"/>
    <w:rsid w:val="604F2FC5"/>
    <w:rsid w:val="605162ED"/>
    <w:rsid w:val="60622B08"/>
    <w:rsid w:val="6071623F"/>
    <w:rsid w:val="6077425D"/>
    <w:rsid w:val="607B0685"/>
    <w:rsid w:val="60800F1F"/>
    <w:rsid w:val="60821AA3"/>
    <w:rsid w:val="608941B4"/>
    <w:rsid w:val="608E0BDA"/>
    <w:rsid w:val="609B6CF4"/>
    <w:rsid w:val="60B049A6"/>
    <w:rsid w:val="60B94D0D"/>
    <w:rsid w:val="60C61B78"/>
    <w:rsid w:val="60CA5561"/>
    <w:rsid w:val="60CE504A"/>
    <w:rsid w:val="60DA691C"/>
    <w:rsid w:val="60DD5EB1"/>
    <w:rsid w:val="60DE0534"/>
    <w:rsid w:val="60EA0A10"/>
    <w:rsid w:val="60EA470B"/>
    <w:rsid w:val="60F05836"/>
    <w:rsid w:val="60F838E6"/>
    <w:rsid w:val="6108242F"/>
    <w:rsid w:val="610C32F5"/>
    <w:rsid w:val="61112140"/>
    <w:rsid w:val="61262818"/>
    <w:rsid w:val="613D0443"/>
    <w:rsid w:val="613F0A5C"/>
    <w:rsid w:val="61517E95"/>
    <w:rsid w:val="61521E67"/>
    <w:rsid w:val="615F221E"/>
    <w:rsid w:val="61663283"/>
    <w:rsid w:val="616A0C13"/>
    <w:rsid w:val="616F5317"/>
    <w:rsid w:val="617474E5"/>
    <w:rsid w:val="61747F49"/>
    <w:rsid w:val="617C37D4"/>
    <w:rsid w:val="619936DB"/>
    <w:rsid w:val="619E0BB2"/>
    <w:rsid w:val="61AC16BC"/>
    <w:rsid w:val="61AD1E69"/>
    <w:rsid w:val="61AE6814"/>
    <w:rsid w:val="61BD35D1"/>
    <w:rsid w:val="61C15686"/>
    <w:rsid w:val="61C46012"/>
    <w:rsid w:val="61CF42C7"/>
    <w:rsid w:val="61D3756A"/>
    <w:rsid w:val="61DF2DFA"/>
    <w:rsid w:val="61DF3963"/>
    <w:rsid w:val="61E0141F"/>
    <w:rsid w:val="61E95A23"/>
    <w:rsid w:val="61EE0F06"/>
    <w:rsid w:val="61FD65AA"/>
    <w:rsid w:val="620875EF"/>
    <w:rsid w:val="620A7E4D"/>
    <w:rsid w:val="620C5042"/>
    <w:rsid w:val="62163621"/>
    <w:rsid w:val="621779CD"/>
    <w:rsid w:val="62205A89"/>
    <w:rsid w:val="623A05A3"/>
    <w:rsid w:val="624448E4"/>
    <w:rsid w:val="62484134"/>
    <w:rsid w:val="62485DE0"/>
    <w:rsid w:val="62516FDA"/>
    <w:rsid w:val="62652744"/>
    <w:rsid w:val="626548F3"/>
    <w:rsid w:val="62663570"/>
    <w:rsid w:val="6273372B"/>
    <w:rsid w:val="627F14C5"/>
    <w:rsid w:val="627F27FF"/>
    <w:rsid w:val="629A70ED"/>
    <w:rsid w:val="629E5C56"/>
    <w:rsid w:val="62A345CC"/>
    <w:rsid w:val="62A60405"/>
    <w:rsid w:val="62AF5CFA"/>
    <w:rsid w:val="62B02D1D"/>
    <w:rsid w:val="62B04EAE"/>
    <w:rsid w:val="62BB37DB"/>
    <w:rsid w:val="62BE1E54"/>
    <w:rsid w:val="62BE787A"/>
    <w:rsid w:val="62C91733"/>
    <w:rsid w:val="62D014E2"/>
    <w:rsid w:val="62E0153E"/>
    <w:rsid w:val="62E1365A"/>
    <w:rsid w:val="62E32CA1"/>
    <w:rsid w:val="62E9550C"/>
    <w:rsid w:val="62E96F5E"/>
    <w:rsid w:val="62EF64B1"/>
    <w:rsid w:val="62F15153"/>
    <w:rsid w:val="62F44AD0"/>
    <w:rsid w:val="62F51C23"/>
    <w:rsid w:val="630164B6"/>
    <w:rsid w:val="630723F1"/>
    <w:rsid w:val="630D371A"/>
    <w:rsid w:val="63133F4E"/>
    <w:rsid w:val="63227530"/>
    <w:rsid w:val="632F6036"/>
    <w:rsid w:val="63324372"/>
    <w:rsid w:val="63561485"/>
    <w:rsid w:val="636608FB"/>
    <w:rsid w:val="637864A7"/>
    <w:rsid w:val="63790778"/>
    <w:rsid w:val="637B0345"/>
    <w:rsid w:val="637C3FA6"/>
    <w:rsid w:val="637F3391"/>
    <w:rsid w:val="63902F09"/>
    <w:rsid w:val="63A604C6"/>
    <w:rsid w:val="63B54DE2"/>
    <w:rsid w:val="63B7781A"/>
    <w:rsid w:val="63B95D8D"/>
    <w:rsid w:val="63BE04F6"/>
    <w:rsid w:val="63C04FEA"/>
    <w:rsid w:val="63CC7FA1"/>
    <w:rsid w:val="63E50892"/>
    <w:rsid w:val="63F70AE7"/>
    <w:rsid w:val="64124621"/>
    <w:rsid w:val="64196D3E"/>
    <w:rsid w:val="64202F86"/>
    <w:rsid w:val="642A20A3"/>
    <w:rsid w:val="64361418"/>
    <w:rsid w:val="64423AD4"/>
    <w:rsid w:val="64433B62"/>
    <w:rsid w:val="64433D29"/>
    <w:rsid w:val="644D6D4C"/>
    <w:rsid w:val="644F4239"/>
    <w:rsid w:val="644F5D22"/>
    <w:rsid w:val="64590474"/>
    <w:rsid w:val="645C7098"/>
    <w:rsid w:val="64721148"/>
    <w:rsid w:val="64790C54"/>
    <w:rsid w:val="647C721D"/>
    <w:rsid w:val="64832644"/>
    <w:rsid w:val="64953D93"/>
    <w:rsid w:val="649A771E"/>
    <w:rsid w:val="64A16025"/>
    <w:rsid w:val="64A23B4B"/>
    <w:rsid w:val="64A51B45"/>
    <w:rsid w:val="64AB5246"/>
    <w:rsid w:val="64B9183E"/>
    <w:rsid w:val="64BD7CC5"/>
    <w:rsid w:val="64C00105"/>
    <w:rsid w:val="64C51278"/>
    <w:rsid w:val="64D4770D"/>
    <w:rsid w:val="64E532B0"/>
    <w:rsid w:val="64F66A27"/>
    <w:rsid w:val="64FA4CF2"/>
    <w:rsid w:val="6507307A"/>
    <w:rsid w:val="6508170F"/>
    <w:rsid w:val="650C7A99"/>
    <w:rsid w:val="650D4382"/>
    <w:rsid w:val="65102E3B"/>
    <w:rsid w:val="65193051"/>
    <w:rsid w:val="652042F3"/>
    <w:rsid w:val="65234D2F"/>
    <w:rsid w:val="652C2846"/>
    <w:rsid w:val="652C356B"/>
    <w:rsid w:val="65370E47"/>
    <w:rsid w:val="653B70EE"/>
    <w:rsid w:val="65446328"/>
    <w:rsid w:val="65472667"/>
    <w:rsid w:val="65587A0E"/>
    <w:rsid w:val="656F097E"/>
    <w:rsid w:val="657A0FEB"/>
    <w:rsid w:val="658B0720"/>
    <w:rsid w:val="65925B5F"/>
    <w:rsid w:val="65925F8F"/>
    <w:rsid w:val="659B4BC8"/>
    <w:rsid w:val="65B300D0"/>
    <w:rsid w:val="65BF5477"/>
    <w:rsid w:val="65C63316"/>
    <w:rsid w:val="65CF299F"/>
    <w:rsid w:val="65CF7256"/>
    <w:rsid w:val="65D02A97"/>
    <w:rsid w:val="65E47E23"/>
    <w:rsid w:val="65ED2F0D"/>
    <w:rsid w:val="65F3404E"/>
    <w:rsid w:val="66083E9C"/>
    <w:rsid w:val="6608723C"/>
    <w:rsid w:val="660B5AA8"/>
    <w:rsid w:val="661208A1"/>
    <w:rsid w:val="661928AD"/>
    <w:rsid w:val="661B6F65"/>
    <w:rsid w:val="66242EEF"/>
    <w:rsid w:val="663E703A"/>
    <w:rsid w:val="663F4DDE"/>
    <w:rsid w:val="66473805"/>
    <w:rsid w:val="66502D15"/>
    <w:rsid w:val="666728E2"/>
    <w:rsid w:val="66730BA5"/>
    <w:rsid w:val="66772A36"/>
    <w:rsid w:val="667A3D9C"/>
    <w:rsid w:val="668B04DC"/>
    <w:rsid w:val="66934BF0"/>
    <w:rsid w:val="66976C44"/>
    <w:rsid w:val="66B45393"/>
    <w:rsid w:val="66BC2B4E"/>
    <w:rsid w:val="66CB7E87"/>
    <w:rsid w:val="66CF234A"/>
    <w:rsid w:val="66D571C3"/>
    <w:rsid w:val="66D6776C"/>
    <w:rsid w:val="66ED56A3"/>
    <w:rsid w:val="67052523"/>
    <w:rsid w:val="670A3FF8"/>
    <w:rsid w:val="670C2980"/>
    <w:rsid w:val="67185F6F"/>
    <w:rsid w:val="672D1BAE"/>
    <w:rsid w:val="67306247"/>
    <w:rsid w:val="67317098"/>
    <w:rsid w:val="67367FF9"/>
    <w:rsid w:val="674E5BDD"/>
    <w:rsid w:val="67516DF3"/>
    <w:rsid w:val="675325F2"/>
    <w:rsid w:val="675973AC"/>
    <w:rsid w:val="675D1F26"/>
    <w:rsid w:val="675E6C36"/>
    <w:rsid w:val="676A25AA"/>
    <w:rsid w:val="67722CFC"/>
    <w:rsid w:val="67854393"/>
    <w:rsid w:val="678760A5"/>
    <w:rsid w:val="678D598B"/>
    <w:rsid w:val="67971694"/>
    <w:rsid w:val="67991A9F"/>
    <w:rsid w:val="67A4786A"/>
    <w:rsid w:val="67A85617"/>
    <w:rsid w:val="67B13D35"/>
    <w:rsid w:val="67C056F7"/>
    <w:rsid w:val="67DE6D87"/>
    <w:rsid w:val="67E40B14"/>
    <w:rsid w:val="67E85EB2"/>
    <w:rsid w:val="68074DAC"/>
    <w:rsid w:val="680A3EEF"/>
    <w:rsid w:val="680D22C3"/>
    <w:rsid w:val="680F44A5"/>
    <w:rsid w:val="68233DF9"/>
    <w:rsid w:val="682C3E61"/>
    <w:rsid w:val="68312185"/>
    <w:rsid w:val="683256C8"/>
    <w:rsid w:val="68351FC8"/>
    <w:rsid w:val="68365137"/>
    <w:rsid w:val="68372F2A"/>
    <w:rsid w:val="684A7EDC"/>
    <w:rsid w:val="68652527"/>
    <w:rsid w:val="68685C48"/>
    <w:rsid w:val="686A7D0A"/>
    <w:rsid w:val="686F5874"/>
    <w:rsid w:val="687026BF"/>
    <w:rsid w:val="68774374"/>
    <w:rsid w:val="687C0D41"/>
    <w:rsid w:val="687E3034"/>
    <w:rsid w:val="6882638E"/>
    <w:rsid w:val="689301EE"/>
    <w:rsid w:val="68937FA3"/>
    <w:rsid w:val="6897117D"/>
    <w:rsid w:val="68A144C2"/>
    <w:rsid w:val="68AC59A3"/>
    <w:rsid w:val="68AD505C"/>
    <w:rsid w:val="68BA468F"/>
    <w:rsid w:val="68CD7BAE"/>
    <w:rsid w:val="68CE6B0F"/>
    <w:rsid w:val="68D80250"/>
    <w:rsid w:val="68DB6B1D"/>
    <w:rsid w:val="68E64B70"/>
    <w:rsid w:val="68EF5B22"/>
    <w:rsid w:val="690059AF"/>
    <w:rsid w:val="6913666B"/>
    <w:rsid w:val="691A3E1B"/>
    <w:rsid w:val="69216C99"/>
    <w:rsid w:val="692245FF"/>
    <w:rsid w:val="692B2E15"/>
    <w:rsid w:val="69311F43"/>
    <w:rsid w:val="6943405C"/>
    <w:rsid w:val="69451D53"/>
    <w:rsid w:val="694653A2"/>
    <w:rsid w:val="694A3905"/>
    <w:rsid w:val="694E797A"/>
    <w:rsid w:val="69505FF8"/>
    <w:rsid w:val="695825E0"/>
    <w:rsid w:val="69585607"/>
    <w:rsid w:val="695A40B2"/>
    <w:rsid w:val="697844CD"/>
    <w:rsid w:val="698C67B2"/>
    <w:rsid w:val="69960CCF"/>
    <w:rsid w:val="699B2742"/>
    <w:rsid w:val="69B76BEC"/>
    <w:rsid w:val="69C867A2"/>
    <w:rsid w:val="69ED085C"/>
    <w:rsid w:val="69ED1654"/>
    <w:rsid w:val="69F45E47"/>
    <w:rsid w:val="69FD5C28"/>
    <w:rsid w:val="6A021BB1"/>
    <w:rsid w:val="6A087BCB"/>
    <w:rsid w:val="6A093C61"/>
    <w:rsid w:val="6A1329D8"/>
    <w:rsid w:val="6A246A40"/>
    <w:rsid w:val="6A2E57A3"/>
    <w:rsid w:val="6A302C9B"/>
    <w:rsid w:val="6A3D4D5B"/>
    <w:rsid w:val="6A4F02A9"/>
    <w:rsid w:val="6A626A14"/>
    <w:rsid w:val="6A686C67"/>
    <w:rsid w:val="6A7645D5"/>
    <w:rsid w:val="6A8F67DC"/>
    <w:rsid w:val="6A920221"/>
    <w:rsid w:val="6A965C58"/>
    <w:rsid w:val="6A9969ED"/>
    <w:rsid w:val="6A9A3873"/>
    <w:rsid w:val="6AA11871"/>
    <w:rsid w:val="6AA635F7"/>
    <w:rsid w:val="6AB6732F"/>
    <w:rsid w:val="6AC27BBC"/>
    <w:rsid w:val="6AD4522E"/>
    <w:rsid w:val="6AF254DA"/>
    <w:rsid w:val="6AFD7CCE"/>
    <w:rsid w:val="6B1B37AD"/>
    <w:rsid w:val="6B334C8C"/>
    <w:rsid w:val="6B3E7416"/>
    <w:rsid w:val="6B460C38"/>
    <w:rsid w:val="6B534AAC"/>
    <w:rsid w:val="6B561366"/>
    <w:rsid w:val="6B6B5519"/>
    <w:rsid w:val="6B6D73FF"/>
    <w:rsid w:val="6B794BAE"/>
    <w:rsid w:val="6B7E4876"/>
    <w:rsid w:val="6B7F7145"/>
    <w:rsid w:val="6B825727"/>
    <w:rsid w:val="6B8A1CE1"/>
    <w:rsid w:val="6B8C0D41"/>
    <w:rsid w:val="6B8C75EA"/>
    <w:rsid w:val="6B8E0254"/>
    <w:rsid w:val="6B921D40"/>
    <w:rsid w:val="6B9F23E6"/>
    <w:rsid w:val="6BB1060E"/>
    <w:rsid w:val="6BB2529E"/>
    <w:rsid w:val="6BB42046"/>
    <w:rsid w:val="6BC55A2D"/>
    <w:rsid w:val="6BE81F08"/>
    <w:rsid w:val="6BF64520"/>
    <w:rsid w:val="6C3860B4"/>
    <w:rsid w:val="6C451EFA"/>
    <w:rsid w:val="6C716728"/>
    <w:rsid w:val="6C823EF2"/>
    <w:rsid w:val="6C84478B"/>
    <w:rsid w:val="6C8956C4"/>
    <w:rsid w:val="6C8B3251"/>
    <w:rsid w:val="6C9E4649"/>
    <w:rsid w:val="6CA21A60"/>
    <w:rsid w:val="6CAD4343"/>
    <w:rsid w:val="6CB45CE8"/>
    <w:rsid w:val="6CBE13CE"/>
    <w:rsid w:val="6CC16EB9"/>
    <w:rsid w:val="6CC63B4D"/>
    <w:rsid w:val="6CCE56FF"/>
    <w:rsid w:val="6CE20EEA"/>
    <w:rsid w:val="6CE81A34"/>
    <w:rsid w:val="6CF5311C"/>
    <w:rsid w:val="6CFC7AB9"/>
    <w:rsid w:val="6D00254D"/>
    <w:rsid w:val="6D06789F"/>
    <w:rsid w:val="6D0A3828"/>
    <w:rsid w:val="6D1A763D"/>
    <w:rsid w:val="6D32517C"/>
    <w:rsid w:val="6D384BDF"/>
    <w:rsid w:val="6D3D4F23"/>
    <w:rsid w:val="6D3E6B4B"/>
    <w:rsid w:val="6D3F7D70"/>
    <w:rsid w:val="6D431255"/>
    <w:rsid w:val="6D4D1A91"/>
    <w:rsid w:val="6D540992"/>
    <w:rsid w:val="6D60248E"/>
    <w:rsid w:val="6D685C7F"/>
    <w:rsid w:val="6D7273BF"/>
    <w:rsid w:val="6D736674"/>
    <w:rsid w:val="6D853C9A"/>
    <w:rsid w:val="6D9A344E"/>
    <w:rsid w:val="6D9B5BE1"/>
    <w:rsid w:val="6DA20B51"/>
    <w:rsid w:val="6DA83E86"/>
    <w:rsid w:val="6DB81690"/>
    <w:rsid w:val="6DB85127"/>
    <w:rsid w:val="6DC87FAF"/>
    <w:rsid w:val="6DDC6853"/>
    <w:rsid w:val="6DE342A4"/>
    <w:rsid w:val="6DEB37AE"/>
    <w:rsid w:val="6DF328FB"/>
    <w:rsid w:val="6DF90194"/>
    <w:rsid w:val="6DF93E9A"/>
    <w:rsid w:val="6E044A71"/>
    <w:rsid w:val="6E052F7C"/>
    <w:rsid w:val="6E13325E"/>
    <w:rsid w:val="6E1F596B"/>
    <w:rsid w:val="6E22622F"/>
    <w:rsid w:val="6E31202C"/>
    <w:rsid w:val="6E3A157F"/>
    <w:rsid w:val="6E3A2CD6"/>
    <w:rsid w:val="6E413A56"/>
    <w:rsid w:val="6E4726B0"/>
    <w:rsid w:val="6E645FA5"/>
    <w:rsid w:val="6E671DD8"/>
    <w:rsid w:val="6E7A5B4B"/>
    <w:rsid w:val="6E7F4B8D"/>
    <w:rsid w:val="6E856EEB"/>
    <w:rsid w:val="6E88638E"/>
    <w:rsid w:val="6E9532A4"/>
    <w:rsid w:val="6EA139A6"/>
    <w:rsid w:val="6EA36ACE"/>
    <w:rsid w:val="6EAA6A2B"/>
    <w:rsid w:val="6EAD5DB8"/>
    <w:rsid w:val="6EB82783"/>
    <w:rsid w:val="6EBA73DB"/>
    <w:rsid w:val="6EC203DE"/>
    <w:rsid w:val="6EC30B9D"/>
    <w:rsid w:val="6ECC5D0A"/>
    <w:rsid w:val="6EF4019F"/>
    <w:rsid w:val="6EF6181A"/>
    <w:rsid w:val="6EFF4591"/>
    <w:rsid w:val="6F1504B0"/>
    <w:rsid w:val="6F1B559B"/>
    <w:rsid w:val="6F1F0FA8"/>
    <w:rsid w:val="6F203B7F"/>
    <w:rsid w:val="6F2232D1"/>
    <w:rsid w:val="6F29165E"/>
    <w:rsid w:val="6F296DB6"/>
    <w:rsid w:val="6F382D16"/>
    <w:rsid w:val="6F3E2075"/>
    <w:rsid w:val="6F465BC5"/>
    <w:rsid w:val="6F534CF6"/>
    <w:rsid w:val="6F543924"/>
    <w:rsid w:val="6F6041F5"/>
    <w:rsid w:val="6F6401E8"/>
    <w:rsid w:val="6F6C08B9"/>
    <w:rsid w:val="6F6D4B6D"/>
    <w:rsid w:val="6F7075AD"/>
    <w:rsid w:val="6F810ABB"/>
    <w:rsid w:val="6F850341"/>
    <w:rsid w:val="6F866ABA"/>
    <w:rsid w:val="6F884464"/>
    <w:rsid w:val="6F963B00"/>
    <w:rsid w:val="6F9B4DC7"/>
    <w:rsid w:val="6FA6209F"/>
    <w:rsid w:val="6FCC71F6"/>
    <w:rsid w:val="6FD05670"/>
    <w:rsid w:val="6FD12146"/>
    <w:rsid w:val="6FEC4358"/>
    <w:rsid w:val="6FEE2D50"/>
    <w:rsid w:val="6FEE6F84"/>
    <w:rsid w:val="6FF3537D"/>
    <w:rsid w:val="700F280C"/>
    <w:rsid w:val="70111F7C"/>
    <w:rsid w:val="701622FB"/>
    <w:rsid w:val="702F5EDD"/>
    <w:rsid w:val="703600C0"/>
    <w:rsid w:val="703A567C"/>
    <w:rsid w:val="703F27C8"/>
    <w:rsid w:val="70450358"/>
    <w:rsid w:val="7049690C"/>
    <w:rsid w:val="705636CC"/>
    <w:rsid w:val="706037E0"/>
    <w:rsid w:val="706C249F"/>
    <w:rsid w:val="70730FF1"/>
    <w:rsid w:val="70776992"/>
    <w:rsid w:val="70836D07"/>
    <w:rsid w:val="70894366"/>
    <w:rsid w:val="708C18E6"/>
    <w:rsid w:val="70B05C58"/>
    <w:rsid w:val="70B7130A"/>
    <w:rsid w:val="70BD2180"/>
    <w:rsid w:val="70CA551C"/>
    <w:rsid w:val="70CE077B"/>
    <w:rsid w:val="70CF480E"/>
    <w:rsid w:val="70E45E67"/>
    <w:rsid w:val="70EF0170"/>
    <w:rsid w:val="70F92AA2"/>
    <w:rsid w:val="7105452B"/>
    <w:rsid w:val="71127564"/>
    <w:rsid w:val="711C3C03"/>
    <w:rsid w:val="712747EE"/>
    <w:rsid w:val="713306E4"/>
    <w:rsid w:val="714158B7"/>
    <w:rsid w:val="7144333C"/>
    <w:rsid w:val="71514AF6"/>
    <w:rsid w:val="71706B9E"/>
    <w:rsid w:val="7171219F"/>
    <w:rsid w:val="719458BA"/>
    <w:rsid w:val="71980BEF"/>
    <w:rsid w:val="71A47EAF"/>
    <w:rsid w:val="71A72E09"/>
    <w:rsid w:val="71AF7537"/>
    <w:rsid w:val="71C65E19"/>
    <w:rsid w:val="71C86640"/>
    <w:rsid w:val="71D41D84"/>
    <w:rsid w:val="71D6710F"/>
    <w:rsid w:val="71FE0320"/>
    <w:rsid w:val="72136293"/>
    <w:rsid w:val="7224772C"/>
    <w:rsid w:val="7233724E"/>
    <w:rsid w:val="72361C86"/>
    <w:rsid w:val="7242215A"/>
    <w:rsid w:val="725205A3"/>
    <w:rsid w:val="725767CF"/>
    <w:rsid w:val="72607A1B"/>
    <w:rsid w:val="726463FA"/>
    <w:rsid w:val="727B5128"/>
    <w:rsid w:val="727B60A5"/>
    <w:rsid w:val="72807126"/>
    <w:rsid w:val="728214FB"/>
    <w:rsid w:val="728442CA"/>
    <w:rsid w:val="729A3728"/>
    <w:rsid w:val="729C6593"/>
    <w:rsid w:val="72AD744F"/>
    <w:rsid w:val="72B3590A"/>
    <w:rsid w:val="72BB6006"/>
    <w:rsid w:val="72BF4EAC"/>
    <w:rsid w:val="72C365B1"/>
    <w:rsid w:val="72CD67C0"/>
    <w:rsid w:val="72DC1DE4"/>
    <w:rsid w:val="72E32CFB"/>
    <w:rsid w:val="72EE738E"/>
    <w:rsid w:val="72F318A6"/>
    <w:rsid w:val="73005DFF"/>
    <w:rsid w:val="73023F62"/>
    <w:rsid w:val="73032E3D"/>
    <w:rsid w:val="73165199"/>
    <w:rsid w:val="731E5A10"/>
    <w:rsid w:val="732B765B"/>
    <w:rsid w:val="733148C3"/>
    <w:rsid w:val="733E2993"/>
    <w:rsid w:val="734B05F4"/>
    <w:rsid w:val="73621B93"/>
    <w:rsid w:val="736735A8"/>
    <w:rsid w:val="736F074D"/>
    <w:rsid w:val="7370221C"/>
    <w:rsid w:val="73722BD4"/>
    <w:rsid w:val="737E5F00"/>
    <w:rsid w:val="737F14D3"/>
    <w:rsid w:val="73813156"/>
    <w:rsid w:val="738E0A00"/>
    <w:rsid w:val="739E2723"/>
    <w:rsid w:val="73AC4E07"/>
    <w:rsid w:val="73AF1626"/>
    <w:rsid w:val="73AF3A93"/>
    <w:rsid w:val="73B61F65"/>
    <w:rsid w:val="73C06709"/>
    <w:rsid w:val="73C151DC"/>
    <w:rsid w:val="73C4549B"/>
    <w:rsid w:val="73D01B0F"/>
    <w:rsid w:val="73D86CED"/>
    <w:rsid w:val="73EC06C5"/>
    <w:rsid w:val="73EE2446"/>
    <w:rsid w:val="73EE79C0"/>
    <w:rsid w:val="73F27EEE"/>
    <w:rsid w:val="73FA3425"/>
    <w:rsid w:val="73FD1A93"/>
    <w:rsid w:val="73FE6D75"/>
    <w:rsid w:val="7404763B"/>
    <w:rsid w:val="74050075"/>
    <w:rsid w:val="740E6241"/>
    <w:rsid w:val="7413761D"/>
    <w:rsid w:val="741B7106"/>
    <w:rsid w:val="74303FFE"/>
    <w:rsid w:val="74336247"/>
    <w:rsid w:val="74373E67"/>
    <w:rsid w:val="74387CB8"/>
    <w:rsid w:val="743E5E20"/>
    <w:rsid w:val="744E265F"/>
    <w:rsid w:val="74504243"/>
    <w:rsid w:val="745608B6"/>
    <w:rsid w:val="745E20CE"/>
    <w:rsid w:val="745E6EB8"/>
    <w:rsid w:val="746C05A3"/>
    <w:rsid w:val="746F6150"/>
    <w:rsid w:val="748C589E"/>
    <w:rsid w:val="74917377"/>
    <w:rsid w:val="74983EDA"/>
    <w:rsid w:val="74984DA6"/>
    <w:rsid w:val="74994FFC"/>
    <w:rsid w:val="74AA5A49"/>
    <w:rsid w:val="74AC7CBA"/>
    <w:rsid w:val="74BE1FFC"/>
    <w:rsid w:val="74BE7CC7"/>
    <w:rsid w:val="74BF6E72"/>
    <w:rsid w:val="74CC38DE"/>
    <w:rsid w:val="74D54C5E"/>
    <w:rsid w:val="74E612AB"/>
    <w:rsid w:val="74EF3209"/>
    <w:rsid w:val="75023849"/>
    <w:rsid w:val="75040010"/>
    <w:rsid w:val="75065D83"/>
    <w:rsid w:val="751378F1"/>
    <w:rsid w:val="751833CC"/>
    <w:rsid w:val="751A7AFE"/>
    <w:rsid w:val="752935C0"/>
    <w:rsid w:val="752B1716"/>
    <w:rsid w:val="752B4188"/>
    <w:rsid w:val="75380E3C"/>
    <w:rsid w:val="753C6589"/>
    <w:rsid w:val="754C74BD"/>
    <w:rsid w:val="754E1420"/>
    <w:rsid w:val="75760B0C"/>
    <w:rsid w:val="757E38FB"/>
    <w:rsid w:val="759C1905"/>
    <w:rsid w:val="75A36A1B"/>
    <w:rsid w:val="75B25768"/>
    <w:rsid w:val="75B578D7"/>
    <w:rsid w:val="75B83917"/>
    <w:rsid w:val="75C75003"/>
    <w:rsid w:val="75C82D7F"/>
    <w:rsid w:val="75CA545C"/>
    <w:rsid w:val="75D11800"/>
    <w:rsid w:val="75D2773D"/>
    <w:rsid w:val="75D45C9E"/>
    <w:rsid w:val="75D57A0A"/>
    <w:rsid w:val="75DF19D4"/>
    <w:rsid w:val="75E0609D"/>
    <w:rsid w:val="75F41C63"/>
    <w:rsid w:val="75F43E4D"/>
    <w:rsid w:val="75F92002"/>
    <w:rsid w:val="75FC11A8"/>
    <w:rsid w:val="75FE283B"/>
    <w:rsid w:val="760368FE"/>
    <w:rsid w:val="76130940"/>
    <w:rsid w:val="7614205F"/>
    <w:rsid w:val="761A519B"/>
    <w:rsid w:val="76262B0F"/>
    <w:rsid w:val="7629230A"/>
    <w:rsid w:val="762F2556"/>
    <w:rsid w:val="763202DA"/>
    <w:rsid w:val="7634625D"/>
    <w:rsid w:val="76347EF4"/>
    <w:rsid w:val="763730FE"/>
    <w:rsid w:val="76482864"/>
    <w:rsid w:val="76493846"/>
    <w:rsid w:val="764D3711"/>
    <w:rsid w:val="765237A2"/>
    <w:rsid w:val="765249BD"/>
    <w:rsid w:val="765D791A"/>
    <w:rsid w:val="76613012"/>
    <w:rsid w:val="766A0108"/>
    <w:rsid w:val="766A2F94"/>
    <w:rsid w:val="767879BF"/>
    <w:rsid w:val="76797F62"/>
    <w:rsid w:val="767A6CCF"/>
    <w:rsid w:val="767F3015"/>
    <w:rsid w:val="7680703A"/>
    <w:rsid w:val="7692074A"/>
    <w:rsid w:val="7693567A"/>
    <w:rsid w:val="76977CA2"/>
    <w:rsid w:val="76A755D7"/>
    <w:rsid w:val="76AC673B"/>
    <w:rsid w:val="76C07AF1"/>
    <w:rsid w:val="76C53F5F"/>
    <w:rsid w:val="76C8161D"/>
    <w:rsid w:val="76CA450F"/>
    <w:rsid w:val="76CE5E2E"/>
    <w:rsid w:val="76D21E5F"/>
    <w:rsid w:val="76D77062"/>
    <w:rsid w:val="76DA52C9"/>
    <w:rsid w:val="76DB5B83"/>
    <w:rsid w:val="76E539FB"/>
    <w:rsid w:val="7706142C"/>
    <w:rsid w:val="7708708E"/>
    <w:rsid w:val="770B0436"/>
    <w:rsid w:val="770C3856"/>
    <w:rsid w:val="77161AD6"/>
    <w:rsid w:val="771C5D73"/>
    <w:rsid w:val="771F0FB0"/>
    <w:rsid w:val="77316C41"/>
    <w:rsid w:val="77357DB1"/>
    <w:rsid w:val="7749505E"/>
    <w:rsid w:val="774C1393"/>
    <w:rsid w:val="774F4A16"/>
    <w:rsid w:val="775B05FE"/>
    <w:rsid w:val="7763306E"/>
    <w:rsid w:val="776673EF"/>
    <w:rsid w:val="77690189"/>
    <w:rsid w:val="776D326B"/>
    <w:rsid w:val="7770108D"/>
    <w:rsid w:val="77752D5E"/>
    <w:rsid w:val="77792C6C"/>
    <w:rsid w:val="777D5430"/>
    <w:rsid w:val="777F2769"/>
    <w:rsid w:val="77827CF6"/>
    <w:rsid w:val="77862662"/>
    <w:rsid w:val="778F74D7"/>
    <w:rsid w:val="7791134A"/>
    <w:rsid w:val="7792184F"/>
    <w:rsid w:val="77AE1E72"/>
    <w:rsid w:val="77BB1C26"/>
    <w:rsid w:val="77C15CBD"/>
    <w:rsid w:val="77D67BBF"/>
    <w:rsid w:val="77D8703D"/>
    <w:rsid w:val="77DF34C4"/>
    <w:rsid w:val="77E53E7F"/>
    <w:rsid w:val="77F1716B"/>
    <w:rsid w:val="77F74803"/>
    <w:rsid w:val="77FF06D1"/>
    <w:rsid w:val="78036580"/>
    <w:rsid w:val="78105677"/>
    <w:rsid w:val="78144598"/>
    <w:rsid w:val="78185EEF"/>
    <w:rsid w:val="78186093"/>
    <w:rsid w:val="78200263"/>
    <w:rsid w:val="78207E13"/>
    <w:rsid w:val="782346E1"/>
    <w:rsid w:val="7825377A"/>
    <w:rsid w:val="782D2455"/>
    <w:rsid w:val="783B69D7"/>
    <w:rsid w:val="78442ACC"/>
    <w:rsid w:val="784858FF"/>
    <w:rsid w:val="78527572"/>
    <w:rsid w:val="78597641"/>
    <w:rsid w:val="785F236E"/>
    <w:rsid w:val="78653FF1"/>
    <w:rsid w:val="7866488A"/>
    <w:rsid w:val="786D1EDD"/>
    <w:rsid w:val="786E3E8B"/>
    <w:rsid w:val="786E5F5F"/>
    <w:rsid w:val="787D47D8"/>
    <w:rsid w:val="7882718D"/>
    <w:rsid w:val="788B3F83"/>
    <w:rsid w:val="78AF42C1"/>
    <w:rsid w:val="78B804E3"/>
    <w:rsid w:val="78BA76F2"/>
    <w:rsid w:val="78C1217F"/>
    <w:rsid w:val="78D7372D"/>
    <w:rsid w:val="78DA69F4"/>
    <w:rsid w:val="78EC49CB"/>
    <w:rsid w:val="79065074"/>
    <w:rsid w:val="790D3AB5"/>
    <w:rsid w:val="79146E07"/>
    <w:rsid w:val="791D386A"/>
    <w:rsid w:val="7921641D"/>
    <w:rsid w:val="792502AA"/>
    <w:rsid w:val="79274926"/>
    <w:rsid w:val="792F1B39"/>
    <w:rsid w:val="79312430"/>
    <w:rsid w:val="79332475"/>
    <w:rsid w:val="793A1D08"/>
    <w:rsid w:val="793E4358"/>
    <w:rsid w:val="79461C38"/>
    <w:rsid w:val="79744532"/>
    <w:rsid w:val="79785DEB"/>
    <w:rsid w:val="797E390A"/>
    <w:rsid w:val="79800CCE"/>
    <w:rsid w:val="79802F1D"/>
    <w:rsid w:val="79805392"/>
    <w:rsid w:val="79963931"/>
    <w:rsid w:val="799752AD"/>
    <w:rsid w:val="79AA2D2E"/>
    <w:rsid w:val="79AF2C65"/>
    <w:rsid w:val="79BE7E34"/>
    <w:rsid w:val="79C340CC"/>
    <w:rsid w:val="79C63842"/>
    <w:rsid w:val="79CF168C"/>
    <w:rsid w:val="79D4107B"/>
    <w:rsid w:val="79D41EC2"/>
    <w:rsid w:val="79F37325"/>
    <w:rsid w:val="79FE60B2"/>
    <w:rsid w:val="7A04164E"/>
    <w:rsid w:val="7A135A3C"/>
    <w:rsid w:val="7A200D6C"/>
    <w:rsid w:val="7A2034C1"/>
    <w:rsid w:val="7A25364F"/>
    <w:rsid w:val="7A281328"/>
    <w:rsid w:val="7A2D0F81"/>
    <w:rsid w:val="7A2F2F6C"/>
    <w:rsid w:val="7A3370DE"/>
    <w:rsid w:val="7A33729C"/>
    <w:rsid w:val="7A377A01"/>
    <w:rsid w:val="7A395547"/>
    <w:rsid w:val="7A395685"/>
    <w:rsid w:val="7A3B0148"/>
    <w:rsid w:val="7A460332"/>
    <w:rsid w:val="7A511739"/>
    <w:rsid w:val="7A554706"/>
    <w:rsid w:val="7A560437"/>
    <w:rsid w:val="7A5E1475"/>
    <w:rsid w:val="7A627222"/>
    <w:rsid w:val="7A64726A"/>
    <w:rsid w:val="7A664711"/>
    <w:rsid w:val="7A6A43E5"/>
    <w:rsid w:val="7A6B41D5"/>
    <w:rsid w:val="7A736264"/>
    <w:rsid w:val="7A921121"/>
    <w:rsid w:val="7A9F2D03"/>
    <w:rsid w:val="7AAB11D5"/>
    <w:rsid w:val="7AB947AC"/>
    <w:rsid w:val="7AC1177C"/>
    <w:rsid w:val="7AC2134A"/>
    <w:rsid w:val="7ACA34E6"/>
    <w:rsid w:val="7AD27FEF"/>
    <w:rsid w:val="7AE36F12"/>
    <w:rsid w:val="7B183D19"/>
    <w:rsid w:val="7B1D4128"/>
    <w:rsid w:val="7B1D7859"/>
    <w:rsid w:val="7B2B1DED"/>
    <w:rsid w:val="7B36507D"/>
    <w:rsid w:val="7B3844D4"/>
    <w:rsid w:val="7B5632EB"/>
    <w:rsid w:val="7B6C4C42"/>
    <w:rsid w:val="7B6F5EC7"/>
    <w:rsid w:val="7B7119D7"/>
    <w:rsid w:val="7B7133D7"/>
    <w:rsid w:val="7B8052DD"/>
    <w:rsid w:val="7B847835"/>
    <w:rsid w:val="7B917CAE"/>
    <w:rsid w:val="7B9256AF"/>
    <w:rsid w:val="7B965896"/>
    <w:rsid w:val="7B9902A8"/>
    <w:rsid w:val="7BA4120D"/>
    <w:rsid w:val="7BAD58E7"/>
    <w:rsid w:val="7BB4248E"/>
    <w:rsid w:val="7BBA0C9C"/>
    <w:rsid w:val="7BCE0F02"/>
    <w:rsid w:val="7BD2277B"/>
    <w:rsid w:val="7BD71EDA"/>
    <w:rsid w:val="7BD83861"/>
    <w:rsid w:val="7BDB7D26"/>
    <w:rsid w:val="7BE05694"/>
    <w:rsid w:val="7BE45EE7"/>
    <w:rsid w:val="7BE941D5"/>
    <w:rsid w:val="7BED4E4B"/>
    <w:rsid w:val="7BF67C61"/>
    <w:rsid w:val="7C0E1FB5"/>
    <w:rsid w:val="7C183F2B"/>
    <w:rsid w:val="7C185216"/>
    <w:rsid w:val="7C247494"/>
    <w:rsid w:val="7C275361"/>
    <w:rsid w:val="7C311CDF"/>
    <w:rsid w:val="7C343FA1"/>
    <w:rsid w:val="7C3B62DD"/>
    <w:rsid w:val="7C41065B"/>
    <w:rsid w:val="7C626B26"/>
    <w:rsid w:val="7C6333F8"/>
    <w:rsid w:val="7C671C15"/>
    <w:rsid w:val="7C673E77"/>
    <w:rsid w:val="7C692525"/>
    <w:rsid w:val="7C693B45"/>
    <w:rsid w:val="7C747AC1"/>
    <w:rsid w:val="7C922FA3"/>
    <w:rsid w:val="7CA65CC3"/>
    <w:rsid w:val="7CB10B98"/>
    <w:rsid w:val="7CBC02BE"/>
    <w:rsid w:val="7CCA21C2"/>
    <w:rsid w:val="7CD027D6"/>
    <w:rsid w:val="7CE02C9B"/>
    <w:rsid w:val="7CE35645"/>
    <w:rsid w:val="7CE45897"/>
    <w:rsid w:val="7CEA23E7"/>
    <w:rsid w:val="7CEE1AB2"/>
    <w:rsid w:val="7CF15934"/>
    <w:rsid w:val="7CF16C56"/>
    <w:rsid w:val="7CF50899"/>
    <w:rsid w:val="7CFB2953"/>
    <w:rsid w:val="7CFC191B"/>
    <w:rsid w:val="7D0B2E58"/>
    <w:rsid w:val="7D3A6B63"/>
    <w:rsid w:val="7D4E6005"/>
    <w:rsid w:val="7D4F50C4"/>
    <w:rsid w:val="7D526650"/>
    <w:rsid w:val="7D530F17"/>
    <w:rsid w:val="7D557AE5"/>
    <w:rsid w:val="7D571FE0"/>
    <w:rsid w:val="7D625E07"/>
    <w:rsid w:val="7D6569D7"/>
    <w:rsid w:val="7D6D5D0E"/>
    <w:rsid w:val="7D800F4D"/>
    <w:rsid w:val="7D8A02E2"/>
    <w:rsid w:val="7D8E2653"/>
    <w:rsid w:val="7D9C2CAB"/>
    <w:rsid w:val="7DA2611B"/>
    <w:rsid w:val="7DA50A4A"/>
    <w:rsid w:val="7DA55A5D"/>
    <w:rsid w:val="7DAB522D"/>
    <w:rsid w:val="7DB022FA"/>
    <w:rsid w:val="7DB44E9B"/>
    <w:rsid w:val="7DC350B9"/>
    <w:rsid w:val="7DC475F2"/>
    <w:rsid w:val="7DC54251"/>
    <w:rsid w:val="7DC76700"/>
    <w:rsid w:val="7DCD5E4B"/>
    <w:rsid w:val="7DD7308D"/>
    <w:rsid w:val="7DEC38C1"/>
    <w:rsid w:val="7DEC7BC5"/>
    <w:rsid w:val="7DFE0275"/>
    <w:rsid w:val="7E0863D8"/>
    <w:rsid w:val="7E1756E5"/>
    <w:rsid w:val="7E382F5A"/>
    <w:rsid w:val="7E3A2CD4"/>
    <w:rsid w:val="7E3A7CF1"/>
    <w:rsid w:val="7E4523B8"/>
    <w:rsid w:val="7E4A65D9"/>
    <w:rsid w:val="7E4B1E67"/>
    <w:rsid w:val="7E661E9D"/>
    <w:rsid w:val="7E6A340D"/>
    <w:rsid w:val="7E6F4ED7"/>
    <w:rsid w:val="7E706C95"/>
    <w:rsid w:val="7E7237D3"/>
    <w:rsid w:val="7E79447D"/>
    <w:rsid w:val="7E7A4713"/>
    <w:rsid w:val="7E926217"/>
    <w:rsid w:val="7E940F00"/>
    <w:rsid w:val="7E9736D0"/>
    <w:rsid w:val="7E9A50CB"/>
    <w:rsid w:val="7E9E3855"/>
    <w:rsid w:val="7EA91116"/>
    <w:rsid w:val="7ECF2C12"/>
    <w:rsid w:val="7ED35067"/>
    <w:rsid w:val="7ED422B1"/>
    <w:rsid w:val="7EE74E79"/>
    <w:rsid w:val="7EEA7257"/>
    <w:rsid w:val="7EED3F78"/>
    <w:rsid w:val="7EEE36FF"/>
    <w:rsid w:val="7F003834"/>
    <w:rsid w:val="7F1B2CBA"/>
    <w:rsid w:val="7F2275F5"/>
    <w:rsid w:val="7F40008A"/>
    <w:rsid w:val="7F435ECF"/>
    <w:rsid w:val="7F465279"/>
    <w:rsid w:val="7F4718B4"/>
    <w:rsid w:val="7F551D33"/>
    <w:rsid w:val="7F5B7BC1"/>
    <w:rsid w:val="7F5E5B2B"/>
    <w:rsid w:val="7F611103"/>
    <w:rsid w:val="7F622772"/>
    <w:rsid w:val="7F722D59"/>
    <w:rsid w:val="7F884E84"/>
    <w:rsid w:val="7F8A0F49"/>
    <w:rsid w:val="7F8A15E4"/>
    <w:rsid w:val="7F9F6E3D"/>
    <w:rsid w:val="7FA91EE0"/>
    <w:rsid w:val="7FAC5589"/>
    <w:rsid w:val="7FAE3BB5"/>
    <w:rsid w:val="7FB25F6C"/>
    <w:rsid w:val="7FB512AB"/>
    <w:rsid w:val="7FC37D7E"/>
    <w:rsid w:val="7FC627DC"/>
    <w:rsid w:val="7FC80EAA"/>
    <w:rsid w:val="7FD4540A"/>
    <w:rsid w:val="7FD47BD9"/>
    <w:rsid w:val="7FD705C4"/>
    <w:rsid w:val="7FDC5C54"/>
    <w:rsid w:val="7FE82F97"/>
    <w:rsid w:val="7FEB045D"/>
    <w:rsid w:val="7FF13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qFormat="1" w:unhideWhenUsed="0" w:uiPriority="99" w:name="toc 2"/>
    <w:lsdException w:qFormat="1" w:uiPriority="39" w:semiHidden="0" w:name="toc 3"/>
    <w:lsdException w:uiPriority="39" w:name="toc 4"/>
    <w:lsdException w:qFormat="1" w:unhideWhenUsed="0" w:uiPriority="0" w:semiHidden="0"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uiPriority="99" w:name="Body Text 3"/>
    <w:lsdException w:qFormat="1" w:uiPriority="0" w:semiHidden="0"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qFormat="1" w:uiPriority="99" w:semiHidden="0"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qFormat="1" w:uiPriority="0" w:name="Table 3D effects 2"/>
    <w:lsdException w:qFormat="1" w:uiPriority="0"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4"/>
    <w:autoRedefine/>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65"/>
    <w:autoRedefine/>
    <w:qFormat/>
    <w:uiPriority w:val="0"/>
    <w:pPr>
      <w:keepNext/>
      <w:keepLines/>
      <w:adjustRightInd w:val="0"/>
      <w:spacing w:before="260" w:after="260"/>
      <w:textAlignment w:val="baseline"/>
      <w:outlineLvl w:val="1"/>
    </w:pPr>
    <w:rPr>
      <w:rFonts w:ascii="宋体"/>
      <w:b/>
      <w:kern w:val="0"/>
      <w:sz w:val="24"/>
      <w:szCs w:val="22"/>
    </w:rPr>
  </w:style>
  <w:style w:type="paragraph" w:styleId="4">
    <w:name w:val="heading 3"/>
    <w:basedOn w:val="1"/>
    <w:next w:val="1"/>
    <w:link w:val="66"/>
    <w:autoRedefine/>
    <w:qFormat/>
    <w:uiPriority w:val="0"/>
    <w:pPr>
      <w:spacing w:before="100" w:beforeAutospacing="1" w:after="100" w:afterAutospacing="1"/>
      <w:jc w:val="left"/>
      <w:outlineLvl w:val="2"/>
    </w:pPr>
    <w:rPr>
      <w:rFonts w:hint="eastAsia" w:ascii="宋体" w:hAnsi="宋体"/>
      <w:b/>
      <w:kern w:val="0"/>
      <w:sz w:val="27"/>
      <w:szCs w:val="27"/>
    </w:rPr>
  </w:style>
  <w:style w:type="paragraph" w:styleId="5">
    <w:name w:val="heading 4"/>
    <w:basedOn w:val="1"/>
    <w:next w:val="1"/>
    <w:qFormat/>
    <w:uiPriority w:val="0"/>
    <w:pPr>
      <w:keepNext/>
      <w:keepLines/>
      <w:outlineLvl w:val="3"/>
    </w:p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jc w:val="center"/>
    </w:pPr>
    <w:rPr>
      <w:szCs w:val="21"/>
    </w:rPr>
  </w:style>
  <w:style w:type="paragraph" w:styleId="7">
    <w:name w:val="E-mail Signature"/>
    <w:basedOn w:val="1"/>
    <w:next w:val="8"/>
    <w:autoRedefine/>
    <w:unhideWhenUsed/>
    <w:qFormat/>
    <w:uiPriority w:val="99"/>
    <w:pPr>
      <w:spacing w:line="460" w:lineRule="exact"/>
      <w:ind w:firstLine="200"/>
    </w:pPr>
  </w:style>
  <w:style w:type="paragraph" w:customStyle="1" w:styleId="8">
    <w:name w:val="文章"/>
    <w:basedOn w:val="9"/>
    <w:next w:val="10"/>
    <w:autoRedefine/>
    <w:qFormat/>
    <w:uiPriority w:val="0"/>
    <w:pPr>
      <w:ind w:firstLine="480"/>
      <w:jc w:val="center"/>
    </w:pPr>
    <w:rPr>
      <w:rFonts w:ascii="Calibri" w:hAnsi="Calibri"/>
      <w:sz w:val="26"/>
    </w:rPr>
  </w:style>
  <w:style w:type="paragraph" w:styleId="9">
    <w:name w:val="Body Text Indent"/>
    <w:basedOn w:val="1"/>
    <w:link w:val="69"/>
    <w:autoRedefine/>
    <w:qFormat/>
    <w:uiPriority w:val="0"/>
    <w:pPr>
      <w:spacing w:after="120"/>
      <w:ind w:left="420" w:leftChars="200"/>
    </w:pPr>
    <w:rPr>
      <w:rFonts w:asciiTheme="minorHAnsi" w:hAnsiTheme="minorHAnsi" w:eastAsiaTheme="minorEastAsia" w:cstheme="minorBidi"/>
      <w:sz w:val="24"/>
      <w:szCs w:val="22"/>
    </w:rPr>
  </w:style>
  <w:style w:type="paragraph" w:styleId="10">
    <w:name w:val="List"/>
    <w:basedOn w:val="1"/>
    <w:next w:val="11"/>
    <w:autoRedefine/>
    <w:qFormat/>
    <w:uiPriority w:val="0"/>
    <w:pPr>
      <w:widowControl/>
      <w:spacing w:line="360" w:lineRule="auto"/>
      <w:ind w:left="200" w:hanging="200" w:hangingChars="200"/>
      <w:jc w:val="left"/>
    </w:pPr>
    <w:rPr>
      <w:kern w:val="0"/>
      <w:sz w:val="24"/>
    </w:rPr>
  </w:style>
  <w:style w:type="paragraph" w:styleId="11">
    <w:name w:val="List Bullet 2"/>
    <w:basedOn w:val="1"/>
    <w:next w:val="12"/>
    <w:autoRedefine/>
    <w:semiHidden/>
    <w:unhideWhenUsed/>
    <w:qFormat/>
    <w:uiPriority w:val="99"/>
    <w:pPr>
      <w:numPr>
        <w:ilvl w:val="0"/>
        <w:numId w:val="1"/>
      </w:numPr>
    </w:pPr>
  </w:style>
  <w:style w:type="paragraph" w:customStyle="1" w:styleId="12">
    <w:name w:val="xl70"/>
    <w:basedOn w:val="1"/>
    <w:next w:val="13"/>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kern w:val="0"/>
    </w:rPr>
  </w:style>
  <w:style w:type="paragraph" w:customStyle="1" w:styleId="13">
    <w:name w:val="正文缩进1"/>
    <w:basedOn w:val="1"/>
    <w:next w:val="14"/>
    <w:autoRedefine/>
    <w:qFormat/>
    <w:uiPriority w:val="0"/>
    <w:pPr>
      <w:suppressAutoHyphens/>
      <w:ind w:firstLine="420"/>
      <w:jc w:val="left"/>
    </w:pPr>
    <w:rPr>
      <w:kern w:val="1"/>
      <w:szCs w:val="20"/>
      <w:lang w:eastAsia="ar-SA"/>
    </w:rPr>
  </w:style>
  <w:style w:type="paragraph" w:customStyle="1" w:styleId="14">
    <w:name w:val="td1"/>
    <w:basedOn w:val="1"/>
    <w:next w:val="1"/>
    <w:autoRedefine/>
    <w:qFormat/>
    <w:uiPriority w:val="0"/>
    <w:pPr>
      <w:widowControl/>
      <w:spacing w:before="280" w:after="280" w:line="300" w:lineRule="atLeast"/>
      <w:ind w:firstLine="200"/>
    </w:pPr>
    <w:rPr>
      <w:color w:val="000000"/>
      <w:sz w:val="18"/>
    </w:rPr>
  </w:style>
  <w:style w:type="paragraph" w:styleId="15">
    <w:name w:val="Normal Indent"/>
    <w:basedOn w:val="1"/>
    <w:link w:val="110"/>
    <w:autoRedefine/>
    <w:qFormat/>
    <w:uiPriority w:val="0"/>
    <w:pPr>
      <w:adjustRightInd w:val="0"/>
      <w:spacing w:line="360" w:lineRule="auto"/>
      <w:ind w:firstLine="200" w:firstLineChars="200"/>
      <w:jc w:val="left"/>
    </w:pPr>
    <w:rPr>
      <w:rFonts w:ascii="宋体" w:hAnsi="宋体"/>
      <w:kern w:val="0"/>
      <w:sz w:val="24"/>
      <w:szCs w:val="20"/>
    </w:rPr>
  </w:style>
  <w:style w:type="paragraph" w:styleId="16">
    <w:name w:val="caption"/>
    <w:basedOn w:val="1"/>
    <w:next w:val="1"/>
    <w:autoRedefine/>
    <w:qFormat/>
    <w:uiPriority w:val="0"/>
    <w:rPr>
      <w:rFonts w:ascii="Arial" w:hAnsi="Arial" w:eastAsia="黑体"/>
      <w:sz w:val="20"/>
    </w:rPr>
  </w:style>
  <w:style w:type="paragraph" w:styleId="17">
    <w:name w:val="Document Map"/>
    <w:basedOn w:val="1"/>
    <w:link w:val="179"/>
    <w:qFormat/>
    <w:uiPriority w:val="0"/>
    <w:rPr>
      <w:rFonts w:ascii="宋体"/>
      <w:sz w:val="18"/>
      <w:szCs w:val="18"/>
    </w:rPr>
  </w:style>
  <w:style w:type="paragraph" w:styleId="18">
    <w:name w:val="annotation text"/>
    <w:basedOn w:val="1"/>
    <w:link w:val="72"/>
    <w:autoRedefine/>
    <w:qFormat/>
    <w:uiPriority w:val="0"/>
    <w:pPr>
      <w:jc w:val="left"/>
    </w:pPr>
    <w:rPr>
      <w:rFonts w:asciiTheme="minorHAnsi" w:hAnsiTheme="minorHAnsi" w:eastAsiaTheme="minorEastAsia" w:cstheme="minorBidi"/>
      <w:sz w:val="24"/>
      <w:szCs w:val="22"/>
    </w:rPr>
  </w:style>
  <w:style w:type="paragraph" w:styleId="19">
    <w:name w:val="Body Text"/>
    <w:basedOn w:val="1"/>
    <w:link w:val="62"/>
    <w:autoRedefine/>
    <w:unhideWhenUsed/>
    <w:qFormat/>
    <w:uiPriority w:val="1"/>
    <w:pPr>
      <w:spacing w:after="120"/>
    </w:pPr>
  </w:style>
  <w:style w:type="paragraph" w:styleId="20">
    <w:name w:val="toc 5"/>
    <w:basedOn w:val="1"/>
    <w:next w:val="1"/>
    <w:qFormat/>
    <w:uiPriority w:val="0"/>
    <w:pPr>
      <w:ind w:left="1680"/>
    </w:pPr>
  </w:style>
  <w:style w:type="paragraph" w:styleId="21">
    <w:name w:val="toc 3"/>
    <w:basedOn w:val="1"/>
    <w:next w:val="1"/>
    <w:unhideWhenUsed/>
    <w:qFormat/>
    <w:uiPriority w:val="39"/>
    <w:pPr>
      <w:ind w:left="840" w:leftChars="400"/>
    </w:pPr>
  </w:style>
  <w:style w:type="paragraph" w:styleId="22">
    <w:name w:val="Plain Text"/>
    <w:basedOn w:val="1"/>
    <w:next w:val="23"/>
    <w:link w:val="84"/>
    <w:autoRedefine/>
    <w:qFormat/>
    <w:uiPriority w:val="99"/>
    <w:pPr>
      <w:adjustRightInd w:val="0"/>
      <w:snapToGrid w:val="0"/>
      <w:spacing w:line="312" w:lineRule="atLeast"/>
      <w:textAlignment w:val="baseline"/>
    </w:pPr>
    <w:rPr>
      <w:rFonts w:hAnsi="Courier New"/>
      <w:kern w:val="0"/>
      <w:szCs w:val="20"/>
    </w:rPr>
  </w:style>
  <w:style w:type="paragraph" w:styleId="23">
    <w:name w:val="toc 1"/>
    <w:basedOn w:val="1"/>
    <w:next w:val="1"/>
    <w:autoRedefine/>
    <w:unhideWhenUsed/>
    <w:qFormat/>
    <w:uiPriority w:val="0"/>
  </w:style>
  <w:style w:type="paragraph" w:styleId="24">
    <w:name w:val="Date"/>
    <w:basedOn w:val="1"/>
    <w:next w:val="1"/>
    <w:link w:val="79"/>
    <w:autoRedefine/>
    <w:qFormat/>
    <w:uiPriority w:val="0"/>
    <w:pPr>
      <w:ind w:left="100" w:leftChars="2500"/>
    </w:pPr>
    <w:rPr>
      <w:rFonts w:asciiTheme="minorHAnsi" w:hAnsiTheme="minorHAnsi" w:eastAsiaTheme="minorEastAsia" w:cstheme="minorBidi"/>
      <w:sz w:val="24"/>
      <w:szCs w:val="22"/>
    </w:rPr>
  </w:style>
  <w:style w:type="paragraph" w:styleId="25">
    <w:name w:val="Body Text Indent 2"/>
    <w:basedOn w:val="1"/>
    <w:next w:val="1"/>
    <w:link w:val="114"/>
    <w:autoRedefine/>
    <w:unhideWhenUsed/>
    <w:qFormat/>
    <w:uiPriority w:val="0"/>
    <w:pPr>
      <w:spacing w:after="120" w:line="480" w:lineRule="auto"/>
      <w:ind w:left="420" w:leftChars="200"/>
    </w:pPr>
  </w:style>
  <w:style w:type="paragraph" w:styleId="26">
    <w:name w:val="Balloon Text"/>
    <w:basedOn w:val="1"/>
    <w:link w:val="75"/>
    <w:autoRedefine/>
    <w:qFormat/>
    <w:uiPriority w:val="0"/>
    <w:rPr>
      <w:rFonts w:asciiTheme="minorHAnsi" w:hAnsiTheme="minorHAnsi" w:eastAsiaTheme="minorEastAsia" w:cstheme="minorBidi"/>
      <w:sz w:val="18"/>
      <w:szCs w:val="22"/>
    </w:rPr>
  </w:style>
  <w:style w:type="paragraph" w:styleId="27">
    <w:name w:val="footer"/>
    <w:basedOn w:val="1"/>
    <w:link w:val="68"/>
    <w:autoRedefine/>
    <w:unhideWhenUsed/>
    <w:qFormat/>
    <w:uiPriority w:val="0"/>
    <w:pPr>
      <w:tabs>
        <w:tab w:val="center" w:pos="4153"/>
        <w:tab w:val="right" w:pos="8306"/>
      </w:tabs>
      <w:snapToGrid w:val="0"/>
      <w:jc w:val="left"/>
    </w:pPr>
    <w:rPr>
      <w:sz w:val="18"/>
      <w:szCs w:val="18"/>
    </w:rPr>
  </w:style>
  <w:style w:type="paragraph" w:styleId="28">
    <w:name w:val="header"/>
    <w:basedOn w:val="1"/>
    <w:link w:val="67"/>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9">
    <w:name w:val="footnote text"/>
    <w:basedOn w:val="1"/>
    <w:autoRedefine/>
    <w:unhideWhenUsed/>
    <w:qFormat/>
    <w:uiPriority w:val="0"/>
    <w:pPr>
      <w:snapToGrid w:val="0"/>
      <w:jc w:val="left"/>
    </w:pPr>
    <w:rPr>
      <w:sz w:val="18"/>
      <w:szCs w:val="18"/>
    </w:rPr>
  </w:style>
  <w:style w:type="paragraph" w:styleId="30">
    <w:name w:val="toc 2"/>
    <w:basedOn w:val="1"/>
    <w:next w:val="7"/>
    <w:autoRedefine/>
    <w:semiHidden/>
    <w:qFormat/>
    <w:uiPriority w:val="99"/>
    <w:rPr>
      <w:rFonts w:ascii="宋体" w:hAnsi="宋体"/>
      <w:smallCaps/>
      <w:sz w:val="24"/>
    </w:rPr>
  </w:style>
  <w:style w:type="paragraph" w:styleId="31">
    <w:name w:val="Body Text 2"/>
    <w:basedOn w:val="1"/>
    <w:link w:val="101"/>
    <w:autoRedefine/>
    <w:unhideWhenUsed/>
    <w:qFormat/>
    <w:uiPriority w:val="0"/>
    <w:pPr>
      <w:spacing w:after="120" w:line="480" w:lineRule="auto"/>
    </w:pPr>
  </w:style>
  <w:style w:type="paragraph" w:styleId="32">
    <w:name w:val="HTML Preformatted"/>
    <w:basedOn w:val="1"/>
    <w:link w:val="107"/>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szCs w:val="21"/>
    </w:rPr>
  </w:style>
  <w:style w:type="paragraph" w:styleId="33">
    <w:name w:val="Normal (Web)"/>
    <w:basedOn w:val="1"/>
    <w:link w:val="76"/>
    <w:autoRedefine/>
    <w:qFormat/>
    <w:uiPriority w:val="99"/>
    <w:pPr>
      <w:widowControl/>
      <w:spacing w:before="100" w:beforeAutospacing="1" w:after="100" w:afterAutospacing="1"/>
      <w:jc w:val="left"/>
    </w:pPr>
    <w:rPr>
      <w:rFonts w:ascii="宋体" w:hAnsi="宋体" w:eastAsiaTheme="minorEastAsia" w:cstheme="minorBidi"/>
      <w:sz w:val="24"/>
      <w:szCs w:val="22"/>
    </w:rPr>
  </w:style>
  <w:style w:type="paragraph" w:styleId="34">
    <w:name w:val="annotation subject"/>
    <w:basedOn w:val="18"/>
    <w:next w:val="18"/>
    <w:link w:val="71"/>
    <w:autoRedefine/>
    <w:qFormat/>
    <w:uiPriority w:val="0"/>
    <w:rPr>
      <w:b/>
    </w:rPr>
  </w:style>
  <w:style w:type="paragraph" w:styleId="35">
    <w:name w:val="Body Text First Indent"/>
    <w:basedOn w:val="1"/>
    <w:next w:val="1"/>
    <w:link w:val="63"/>
    <w:autoRedefine/>
    <w:unhideWhenUsed/>
    <w:qFormat/>
    <w:uiPriority w:val="0"/>
    <w:pPr>
      <w:ind w:firstLine="420" w:firstLineChars="100"/>
    </w:pPr>
  </w:style>
  <w:style w:type="paragraph" w:styleId="36">
    <w:name w:val="Body Text First Indent 2"/>
    <w:basedOn w:val="9"/>
    <w:next w:val="1"/>
    <w:autoRedefine/>
    <w:qFormat/>
    <w:uiPriority w:val="0"/>
    <w:pPr>
      <w:ind w:firstLine="420"/>
    </w:pPr>
    <w:rPr>
      <w:rFonts w:ascii="宋体" w:cs="Times New Roman"/>
      <w:sz w:val="21"/>
    </w:rPr>
  </w:style>
  <w:style w:type="table" w:styleId="38">
    <w:name w:val="Table Grid"/>
    <w:basedOn w:val="3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autoRedefine/>
    <w:qFormat/>
    <w:uiPriority w:val="0"/>
    <w:rPr>
      <w:b/>
      <w:bCs/>
    </w:rPr>
  </w:style>
  <w:style w:type="character" w:styleId="41">
    <w:name w:val="page number"/>
    <w:basedOn w:val="39"/>
    <w:autoRedefine/>
    <w:qFormat/>
    <w:uiPriority w:val="0"/>
  </w:style>
  <w:style w:type="character" w:styleId="42">
    <w:name w:val="FollowedHyperlink"/>
    <w:basedOn w:val="39"/>
    <w:autoRedefine/>
    <w:semiHidden/>
    <w:unhideWhenUsed/>
    <w:qFormat/>
    <w:uiPriority w:val="99"/>
    <w:rPr>
      <w:color w:val="595758"/>
      <w:u w:val="none"/>
    </w:rPr>
  </w:style>
  <w:style w:type="character" w:styleId="43">
    <w:name w:val="Hyperlink"/>
    <w:autoRedefine/>
    <w:qFormat/>
    <w:uiPriority w:val="0"/>
    <w:rPr>
      <w:color w:val="0000FF"/>
      <w:u w:val="single"/>
    </w:rPr>
  </w:style>
  <w:style w:type="character" w:styleId="44">
    <w:name w:val="annotation reference"/>
    <w:autoRedefine/>
    <w:qFormat/>
    <w:uiPriority w:val="0"/>
    <w:rPr>
      <w:sz w:val="21"/>
    </w:rPr>
  </w:style>
  <w:style w:type="character" w:styleId="45">
    <w:name w:val="footnote reference"/>
    <w:autoRedefine/>
    <w:unhideWhenUsed/>
    <w:qFormat/>
    <w:uiPriority w:val="0"/>
    <w:rPr>
      <w:rFonts w:ascii="Times New Roman" w:hAnsi="Times New Roman" w:eastAsia="宋体" w:cs="Times New Roman"/>
      <w:vertAlign w:val="superscript"/>
    </w:rPr>
  </w:style>
  <w:style w:type="paragraph" w:customStyle="1" w:styleId="46">
    <w:name w:val="Default"/>
    <w:basedOn w:val="47"/>
    <w:next w:val="48"/>
    <w:autoRedefine/>
    <w:unhideWhenUsed/>
    <w:qFormat/>
    <w:uiPriority w:val="0"/>
    <w:pPr>
      <w:autoSpaceDE w:val="0"/>
      <w:autoSpaceDN w:val="0"/>
      <w:adjustRightInd w:val="0"/>
    </w:pPr>
    <w:rPr>
      <w:rFonts w:hint="eastAsia" w:ascii="宋体" w:hAnsi="宋体"/>
      <w:color w:val="000000"/>
      <w:kern w:val="0"/>
      <w:sz w:val="24"/>
      <w:szCs w:val="20"/>
    </w:rPr>
  </w:style>
  <w:style w:type="paragraph" w:customStyle="1" w:styleId="47">
    <w:name w:val="纯文本1"/>
    <w:basedOn w:val="1"/>
    <w:next w:val="1"/>
    <w:autoRedefine/>
    <w:qFormat/>
    <w:uiPriority w:val="0"/>
    <w:pPr>
      <w:textAlignment w:val="baseline"/>
    </w:pPr>
    <w:rPr>
      <w:rFonts w:hAnsi="Courier New"/>
      <w:sz w:val="28"/>
    </w:rPr>
  </w:style>
  <w:style w:type="paragraph" w:customStyle="1" w:styleId="48">
    <w:name w:val="正文文字 6"/>
    <w:basedOn w:val="49"/>
    <w:next w:val="1"/>
    <w:autoRedefine/>
    <w:qFormat/>
    <w:uiPriority w:val="0"/>
    <w:pPr>
      <w:ind w:left="240"/>
      <w:jc w:val="both"/>
    </w:pPr>
    <w:rPr>
      <w:rFonts w:ascii="宋体" w:cs="Times New Roman"/>
      <w:bCs/>
      <w:sz w:val="32"/>
      <w:szCs w:val="32"/>
    </w:rPr>
  </w:style>
  <w:style w:type="paragraph" w:customStyle="1" w:styleId="49">
    <w:name w:val="TT标题"/>
    <w:basedOn w:val="1"/>
    <w:autoRedefine/>
    <w:qFormat/>
    <w:uiPriority w:val="0"/>
    <w:pPr>
      <w:jc w:val="center"/>
    </w:pPr>
    <w:rPr>
      <w:rFonts w:cs="宋体"/>
      <w:b/>
      <w:szCs w:val="20"/>
    </w:rPr>
  </w:style>
  <w:style w:type="paragraph" w:customStyle="1" w:styleId="50">
    <w:name w:val="纯文本12"/>
    <w:basedOn w:val="1"/>
    <w:qFormat/>
    <w:uiPriority w:val="0"/>
    <w:pPr>
      <w:adjustRightInd w:val="0"/>
    </w:pPr>
    <w:rPr>
      <w:rFonts w:hAnsi="Courier New"/>
      <w:szCs w:val="20"/>
    </w:rPr>
  </w:style>
  <w:style w:type="paragraph" w:customStyle="1" w:styleId="51">
    <w:name w:val="样式35"/>
    <w:basedOn w:val="52"/>
    <w:next w:val="56"/>
    <w:autoRedefine/>
    <w:qFormat/>
    <w:uiPriority w:val="0"/>
    <w:pPr>
      <w:tabs>
        <w:tab w:val="left" w:pos="0"/>
        <w:tab w:val="left" w:pos="360"/>
        <w:tab w:val="left" w:pos="540"/>
        <w:tab w:val="left" w:pos="567"/>
        <w:tab w:val="center" w:pos="4153"/>
        <w:tab w:val="right" w:pos="8306"/>
      </w:tabs>
      <w:spacing w:line="312" w:lineRule="auto"/>
      <w:ind w:firstLine="567"/>
    </w:pPr>
    <w:rPr>
      <w:rFonts w:hAnsi="Calibri"/>
      <w:szCs w:val="22"/>
    </w:rPr>
  </w:style>
  <w:style w:type="paragraph" w:customStyle="1" w:styleId="52">
    <w:name w:val="样式26"/>
    <w:basedOn w:val="53"/>
    <w:autoRedefine/>
    <w:qFormat/>
    <w:uiPriority w:val="0"/>
    <w:pPr>
      <w:tabs>
        <w:tab w:val="left" w:pos="0"/>
        <w:tab w:val="left" w:pos="360"/>
        <w:tab w:val="left" w:pos="540"/>
        <w:tab w:val="left" w:pos="567"/>
      </w:tabs>
    </w:pPr>
  </w:style>
  <w:style w:type="paragraph" w:customStyle="1" w:styleId="53">
    <w:name w:val="样式21"/>
    <w:basedOn w:val="54"/>
    <w:autoRedefine/>
    <w:qFormat/>
    <w:uiPriority w:val="0"/>
    <w:pPr>
      <w:tabs>
        <w:tab w:val="left" w:pos="360"/>
        <w:tab w:val="left" w:pos="567"/>
      </w:tabs>
      <w:spacing w:beforeLines="0" w:afterLines="0"/>
      <w:ind w:hanging="992"/>
    </w:pPr>
  </w:style>
  <w:style w:type="paragraph" w:customStyle="1" w:styleId="54">
    <w:name w:val="样式5"/>
    <w:basedOn w:val="55"/>
    <w:autoRedefine/>
    <w:qFormat/>
    <w:uiPriority w:val="0"/>
    <w:pPr>
      <w:tabs>
        <w:tab w:val="left" w:pos="360"/>
      </w:tabs>
      <w:ind w:right="-50" w:rightChars="-50"/>
      <w:jc w:val="center"/>
    </w:pPr>
    <w:rPr>
      <w:rFonts w:ascii="宋体"/>
      <w:kern w:val="0"/>
      <w:sz w:val="21"/>
    </w:rPr>
  </w:style>
  <w:style w:type="paragraph" w:customStyle="1" w:styleId="55">
    <w:name w:val="样式12"/>
    <w:basedOn w:val="1"/>
    <w:autoRedefine/>
    <w:qFormat/>
    <w:uiPriority w:val="0"/>
    <w:pPr>
      <w:keepNext/>
      <w:keepLines/>
      <w:tabs>
        <w:tab w:val="left" w:pos="360"/>
      </w:tabs>
      <w:spacing w:beforeLines="50" w:afterLines="50"/>
      <w:ind w:left="567" w:hanging="567"/>
      <w:outlineLvl w:val="1"/>
    </w:pPr>
    <w:rPr>
      <w:rFonts w:eastAsia="MS Mincho"/>
      <w:sz w:val="28"/>
      <w:szCs w:val="28"/>
    </w:rPr>
  </w:style>
  <w:style w:type="paragraph" w:customStyle="1" w:styleId="56">
    <w:name w:val="font6"/>
    <w:next w:val="30"/>
    <w:autoRedefine/>
    <w:qFormat/>
    <w:uiPriority w:val="0"/>
    <w:pPr>
      <w:spacing w:before="280" w:after="280"/>
      <w:jc w:val="both"/>
    </w:pPr>
    <w:rPr>
      <w:rFonts w:ascii="Calibri" w:hAnsi="Calibri" w:eastAsia="宋体" w:cs="Times New Roman"/>
      <w:kern w:val="2"/>
      <w:sz w:val="21"/>
      <w:szCs w:val="22"/>
      <w:lang w:val="en-US" w:eastAsia="zh-CN" w:bidi="ar-SA"/>
    </w:rPr>
  </w:style>
  <w:style w:type="paragraph" w:customStyle="1" w:styleId="57">
    <w:name w:val="样式8"/>
    <w:basedOn w:val="58"/>
    <w:qFormat/>
    <w:uiPriority w:val="0"/>
    <w:pPr>
      <w:ind w:firstLine="480"/>
    </w:pPr>
    <w:rPr>
      <w:rFonts w:cs="宋体"/>
    </w:rPr>
  </w:style>
  <w:style w:type="paragraph" w:customStyle="1" w:styleId="58">
    <w:name w:val="表内正文"/>
    <w:basedOn w:val="19"/>
    <w:qFormat/>
    <w:uiPriority w:val="0"/>
    <w:pPr>
      <w:adjustRightInd w:val="0"/>
      <w:snapToGrid w:val="0"/>
      <w:spacing w:line="360" w:lineRule="auto"/>
      <w:ind w:firstLine="200" w:firstLineChars="200"/>
      <w:jc w:val="left"/>
    </w:pPr>
    <w:rPr>
      <w:rFonts w:ascii="宋体" w:hAnsi="宋体"/>
      <w:sz w:val="24"/>
    </w:rPr>
  </w:style>
  <w:style w:type="paragraph" w:customStyle="1" w:styleId="59">
    <w:name w:val="xl27"/>
    <w:basedOn w:val="1"/>
    <w:autoRedefine/>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60">
    <w:name w:val="WPSOffice手动目录 1"/>
    <w:autoRedefine/>
    <w:qFormat/>
    <w:uiPriority w:val="0"/>
    <w:rPr>
      <w:rFonts w:ascii="Times New Roman" w:hAnsi="Times New Roman" w:eastAsia="宋体" w:cs="Times New Roman"/>
      <w:sz w:val="24"/>
      <w:lang w:val="en-US" w:eastAsia="zh-CN" w:bidi="ar-SA"/>
    </w:rPr>
  </w:style>
  <w:style w:type="paragraph" w:customStyle="1" w:styleId="61">
    <w:name w:val="biaoge"/>
    <w:basedOn w:val="47"/>
    <w:next w:val="10"/>
    <w:autoRedefine/>
    <w:qFormat/>
    <w:uiPriority w:val="0"/>
    <w:pPr>
      <w:autoSpaceDE w:val="0"/>
      <w:autoSpaceDN w:val="0"/>
      <w:adjustRightInd w:val="0"/>
      <w:jc w:val="center"/>
    </w:pPr>
    <w:rPr>
      <w:rFonts w:ascii="宋体" w:cs="宋体"/>
      <w:color w:val="000000"/>
      <w:sz w:val="21"/>
    </w:rPr>
  </w:style>
  <w:style w:type="character" w:customStyle="1" w:styleId="62">
    <w:name w:val="正文文本 字符"/>
    <w:basedOn w:val="39"/>
    <w:link w:val="19"/>
    <w:autoRedefine/>
    <w:qFormat/>
    <w:uiPriority w:val="1"/>
    <w:rPr>
      <w:rFonts w:ascii="Times New Roman" w:hAnsi="Times New Roman" w:eastAsia="宋体" w:cs="Times New Roman"/>
      <w:szCs w:val="24"/>
    </w:rPr>
  </w:style>
  <w:style w:type="character" w:customStyle="1" w:styleId="63">
    <w:name w:val="正文首行缩进 字符"/>
    <w:basedOn w:val="62"/>
    <w:link w:val="35"/>
    <w:autoRedefine/>
    <w:qFormat/>
    <w:uiPriority w:val="0"/>
    <w:rPr>
      <w:rFonts w:ascii="Times New Roman" w:hAnsi="Times New Roman" w:eastAsia="宋体" w:cs="Times New Roman"/>
      <w:szCs w:val="24"/>
    </w:rPr>
  </w:style>
  <w:style w:type="character" w:customStyle="1" w:styleId="64">
    <w:name w:val="标题 1 字符"/>
    <w:basedOn w:val="39"/>
    <w:link w:val="2"/>
    <w:autoRedefine/>
    <w:qFormat/>
    <w:uiPriority w:val="0"/>
    <w:rPr>
      <w:rFonts w:ascii="Times New Roman" w:hAnsi="Times New Roman" w:eastAsia="黑体" w:cs="Times New Roman"/>
      <w:b/>
      <w:bCs/>
      <w:color w:val="000000"/>
      <w:kern w:val="44"/>
      <w:sz w:val="30"/>
      <w:szCs w:val="30"/>
    </w:rPr>
  </w:style>
  <w:style w:type="character" w:customStyle="1" w:styleId="65">
    <w:name w:val="标题 2 字符"/>
    <w:basedOn w:val="39"/>
    <w:link w:val="3"/>
    <w:autoRedefine/>
    <w:qFormat/>
    <w:uiPriority w:val="0"/>
    <w:rPr>
      <w:rFonts w:ascii="宋体" w:hAnsi="Times New Roman" w:eastAsia="宋体" w:cs="Times New Roman"/>
      <w:b/>
      <w:kern w:val="0"/>
      <w:sz w:val="24"/>
    </w:rPr>
  </w:style>
  <w:style w:type="character" w:customStyle="1" w:styleId="66">
    <w:name w:val="标题 3 字符"/>
    <w:basedOn w:val="39"/>
    <w:link w:val="4"/>
    <w:autoRedefine/>
    <w:qFormat/>
    <w:uiPriority w:val="0"/>
    <w:rPr>
      <w:rFonts w:ascii="宋体" w:hAnsi="宋体" w:eastAsia="宋体" w:cs="Times New Roman"/>
      <w:b/>
      <w:kern w:val="0"/>
      <w:sz w:val="27"/>
      <w:szCs w:val="27"/>
    </w:rPr>
  </w:style>
  <w:style w:type="character" w:customStyle="1" w:styleId="67">
    <w:name w:val="页眉 字符"/>
    <w:basedOn w:val="39"/>
    <w:link w:val="28"/>
    <w:autoRedefine/>
    <w:qFormat/>
    <w:uiPriority w:val="0"/>
    <w:rPr>
      <w:sz w:val="18"/>
      <w:szCs w:val="18"/>
    </w:rPr>
  </w:style>
  <w:style w:type="character" w:customStyle="1" w:styleId="68">
    <w:name w:val="页脚 字符1"/>
    <w:basedOn w:val="39"/>
    <w:link w:val="27"/>
    <w:autoRedefine/>
    <w:qFormat/>
    <w:uiPriority w:val="0"/>
    <w:rPr>
      <w:sz w:val="18"/>
      <w:szCs w:val="18"/>
    </w:rPr>
  </w:style>
  <w:style w:type="character" w:customStyle="1" w:styleId="69">
    <w:name w:val="正文文本缩进 字符"/>
    <w:link w:val="9"/>
    <w:autoRedefine/>
    <w:qFormat/>
    <w:uiPriority w:val="0"/>
    <w:rPr>
      <w:sz w:val="24"/>
    </w:rPr>
  </w:style>
  <w:style w:type="character" w:customStyle="1" w:styleId="70">
    <w:name w:val="页脚 字符"/>
    <w:basedOn w:val="39"/>
    <w:autoRedefine/>
    <w:qFormat/>
    <w:uiPriority w:val="99"/>
  </w:style>
  <w:style w:type="character" w:customStyle="1" w:styleId="71">
    <w:name w:val="批注主题 字符"/>
    <w:link w:val="34"/>
    <w:autoRedefine/>
    <w:qFormat/>
    <w:uiPriority w:val="0"/>
    <w:rPr>
      <w:b/>
      <w:sz w:val="24"/>
    </w:rPr>
  </w:style>
  <w:style w:type="character" w:customStyle="1" w:styleId="72">
    <w:name w:val="批注文字 字符"/>
    <w:link w:val="18"/>
    <w:autoRedefine/>
    <w:qFormat/>
    <w:uiPriority w:val="0"/>
    <w:rPr>
      <w:sz w:val="24"/>
    </w:rPr>
  </w:style>
  <w:style w:type="character" w:customStyle="1" w:styleId="73">
    <w:name w:val="biaoti"/>
    <w:autoRedefine/>
    <w:qFormat/>
    <w:uiPriority w:val="0"/>
    <w:rPr>
      <w:rFonts w:ascii="宋体" w:hAnsi="宋体" w:eastAsia="宋体"/>
      <w:b/>
      <w:color w:val="000000"/>
      <w:sz w:val="21"/>
      <w:szCs w:val="24"/>
    </w:rPr>
  </w:style>
  <w:style w:type="character" w:customStyle="1" w:styleId="74">
    <w:name w:val="日期 字符"/>
    <w:autoRedefine/>
    <w:semiHidden/>
    <w:qFormat/>
    <w:uiPriority w:val="0"/>
    <w:rPr>
      <w:rFonts w:ascii="Times New Roman" w:hAnsi="Times New Roman" w:eastAsia="宋体"/>
      <w:sz w:val="24"/>
    </w:rPr>
  </w:style>
  <w:style w:type="character" w:customStyle="1" w:styleId="75">
    <w:name w:val="批注框文本 字符"/>
    <w:link w:val="26"/>
    <w:autoRedefine/>
    <w:qFormat/>
    <w:uiPriority w:val="0"/>
    <w:rPr>
      <w:sz w:val="18"/>
    </w:rPr>
  </w:style>
  <w:style w:type="character" w:customStyle="1" w:styleId="76">
    <w:name w:val="普通(网站) 字符"/>
    <w:link w:val="33"/>
    <w:autoRedefine/>
    <w:qFormat/>
    <w:uiPriority w:val="0"/>
    <w:rPr>
      <w:rFonts w:ascii="宋体" w:hAnsi="宋体"/>
      <w:sz w:val="24"/>
    </w:rPr>
  </w:style>
  <w:style w:type="character" w:customStyle="1" w:styleId="77">
    <w:name w:val="表格 Char"/>
    <w:link w:val="78"/>
    <w:autoRedefine/>
    <w:qFormat/>
    <w:uiPriority w:val="0"/>
    <w:rPr>
      <w:rFonts w:ascii="宋体"/>
    </w:rPr>
  </w:style>
  <w:style w:type="paragraph" w:customStyle="1" w:styleId="78">
    <w:name w:val="表格"/>
    <w:basedOn w:val="15"/>
    <w:link w:val="77"/>
    <w:autoRedefine/>
    <w:qFormat/>
    <w:uiPriority w:val="0"/>
    <w:pPr>
      <w:adjustRightInd w:val="0"/>
      <w:snapToGrid w:val="0"/>
      <w:spacing w:beforeLines="10" w:afterLines="10" w:line="259" w:lineRule="auto"/>
      <w:jc w:val="center"/>
    </w:pPr>
    <w:rPr>
      <w:rFonts w:ascii="宋体" w:hAnsiTheme="minorHAnsi" w:eastAsiaTheme="minorEastAsia" w:cstheme="minorBidi"/>
      <w:szCs w:val="22"/>
    </w:rPr>
  </w:style>
  <w:style w:type="character" w:customStyle="1" w:styleId="79">
    <w:name w:val="日期 字符1"/>
    <w:link w:val="24"/>
    <w:autoRedefine/>
    <w:qFormat/>
    <w:uiPriority w:val="0"/>
    <w:rPr>
      <w:sz w:val="24"/>
    </w:rPr>
  </w:style>
  <w:style w:type="character" w:customStyle="1" w:styleId="80">
    <w:name w:val="批注文字 字符1"/>
    <w:autoRedefine/>
    <w:semiHidden/>
    <w:qFormat/>
    <w:uiPriority w:val="0"/>
    <w:rPr>
      <w:rFonts w:ascii="Times New Roman" w:hAnsi="Times New Roman" w:eastAsia="宋体"/>
      <w:sz w:val="24"/>
    </w:rPr>
  </w:style>
  <w:style w:type="character" w:customStyle="1" w:styleId="81">
    <w:name w:val="fontstyle21"/>
    <w:basedOn w:val="39"/>
    <w:autoRedefine/>
    <w:qFormat/>
    <w:uiPriority w:val="0"/>
    <w:rPr>
      <w:rFonts w:hint="eastAsia" w:ascii="TimesNewRomanPSMT" w:hAnsi="TimesNewRomanPSMT" w:eastAsia="TimesNewRomanPSMT"/>
      <w:color w:val="000000"/>
      <w:sz w:val="24"/>
      <w:szCs w:val="24"/>
    </w:rPr>
  </w:style>
  <w:style w:type="character" w:customStyle="1" w:styleId="82">
    <w:name w:val="正文文本 字符1"/>
    <w:autoRedefine/>
    <w:semiHidden/>
    <w:qFormat/>
    <w:uiPriority w:val="0"/>
    <w:rPr>
      <w:rFonts w:ascii="Times New Roman" w:hAnsi="Times New Roman" w:eastAsia="宋体"/>
      <w:sz w:val="24"/>
    </w:rPr>
  </w:style>
  <w:style w:type="paragraph" w:customStyle="1" w:styleId="83">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4">
    <w:name w:val="纯文本 字符"/>
    <w:basedOn w:val="39"/>
    <w:link w:val="22"/>
    <w:autoRedefine/>
    <w:qFormat/>
    <w:uiPriority w:val="99"/>
    <w:rPr>
      <w:rFonts w:ascii="Times New Roman" w:hAnsi="Courier New" w:eastAsia="宋体" w:cs="Times New Roman"/>
      <w:kern w:val="0"/>
      <w:szCs w:val="20"/>
    </w:rPr>
  </w:style>
  <w:style w:type="character" w:customStyle="1" w:styleId="85">
    <w:name w:val="正文文本缩进 Char1"/>
    <w:basedOn w:val="39"/>
    <w:autoRedefine/>
    <w:semiHidden/>
    <w:qFormat/>
    <w:uiPriority w:val="99"/>
    <w:rPr>
      <w:rFonts w:ascii="Times New Roman" w:hAnsi="Times New Roman" w:eastAsia="宋体" w:cs="Times New Roman"/>
      <w:szCs w:val="24"/>
    </w:rPr>
  </w:style>
  <w:style w:type="paragraph" w:styleId="86">
    <w:name w:val="List Paragraph"/>
    <w:basedOn w:val="1"/>
    <w:autoRedefine/>
    <w:qFormat/>
    <w:uiPriority w:val="99"/>
    <w:pPr>
      <w:ind w:firstLine="420" w:firstLineChars="200"/>
    </w:pPr>
  </w:style>
  <w:style w:type="character" w:customStyle="1" w:styleId="87">
    <w:name w:val="页脚 Char1"/>
    <w:basedOn w:val="39"/>
    <w:autoRedefine/>
    <w:semiHidden/>
    <w:qFormat/>
    <w:uiPriority w:val="99"/>
    <w:rPr>
      <w:kern w:val="2"/>
      <w:sz w:val="18"/>
      <w:szCs w:val="18"/>
    </w:rPr>
  </w:style>
  <w:style w:type="character" w:customStyle="1" w:styleId="88">
    <w:name w:val="批注文字 Char1"/>
    <w:basedOn w:val="39"/>
    <w:autoRedefine/>
    <w:semiHidden/>
    <w:qFormat/>
    <w:uiPriority w:val="99"/>
    <w:rPr>
      <w:rFonts w:ascii="Times New Roman" w:hAnsi="Times New Roman" w:eastAsia="宋体" w:cs="Times New Roman"/>
      <w:szCs w:val="24"/>
    </w:rPr>
  </w:style>
  <w:style w:type="paragraph" w:customStyle="1" w:styleId="89">
    <w:name w:val="!正文"/>
    <w:basedOn w:val="1"/>
    <w:next w:val="1"/>
    <w:autoRedefine/>
    <w:qFormat/>
    <w:uiPriority w:val="0"/>
    <w:pPr>
      <w:spacing w:before="50" w:beforeLines="50" w:line="360" w:lineRule="auto"/>
      <w:ind w:firstLine="200" w:firstLineChars="200"/>
      <w:jc w:val="left"/>
    </w:pPr>
    <w:rPr>
      <w:rFonts w:cs="宋体"/>
    </w:rPr>
  </w:style>
  <w:style w:type="character" w:customStyle="1" w:styleId="90">
    <w:name w:val="批注主题 Char1"/>
    <w:basedOn w:val="88"/>
    <w:autoRedefine/>
    <w:semiHidden/>
    <w:qFormat/>
    <w:uiPriority w:val="99"/>
    <w:rPr>
      <w:rFonts w:ascii="Times New Roman" w:hAnsi="Times New Roman" w:eastAsia="宋体" w:cs="Times New Roman"/>
      <w:b/>
      <w:bCs/>
      <w:szCs w:val="24"/>
    </w:rPr>
  </w:style>
  <w:style w:type="paragraph" w:customStyle="1" w:styleId="91">
    <w:name w:val="段落正文"/>
    <w:basedOn w:val="92"/>
    <w:link w:val="93"/>
    <w:autoRedefine/>
    <w:qFormat/>
    <w:uiPriority w:val="0"/>
    <w:pPr>
      <w:ind w:firstLine="1446"/>
    </w:pPr>
  </w:style>
  <w:style w:type="paragraph" w:customStyle="1" w:styleId="92">
    <w:name w:val="样式20"/>
    <w:basedOn w:val="1"/>
    <w:autoRedefine/>
    <w:qFormat/>
    <w:uiPriority w:val="0"/>
    <w:pPr>
      <w:spacing w:line="360" w:lineRule="auto"/>
      <w:ind w:firstLine="480" w:firstLineChars="200"/>
    </w:pPr>
    <w:rPr>
      <w:rFonts w:ascii="Calibri" w:hAnsi="宋体"/>
      <w:sz w:val="24"/>
    </w:rPr>
  </w:style>
  <w:style w:type="character" w:customStyle="1" w:styleId="93">
    <w:name w:val="段落正文 Char"/>
    <w:link w:val="91"/>
    <w:autoRedefine/>
    <w:qFormat/>
    <w:uiPriority w:val="0"/>
    <w:rPr>
      <w:rFonts w:ascii="Times New Roman" w:hAnsi="Times New Roman" w:eastAsia="宋体" w:cs="Times New Roman"/>
      <w:sz w:val="24"/>
      <w:szCs w:val="24"/>
    </w:rPr>
  </w:style>
  <w:style w:type="paragraph" w:customStyle="1" w:styleId="94">
    <w:name w:val="正文正文"/>
    <w:basedOn w:val="1"/>
    <w:autoRedefine/>
    <w:qFormat/>
    <w:uiPriority w:val="0"/>
    <w:pPr>
      <w:spacing w:line="360" w:lineRule="auto"/>
      <w:ind w:firstLine="420" w:firstLineChars="200"/>
    </w:pPr>
    <w:rPr>
      <w:sz w:val="24"/>
    </w:rPr>
  </w:style>
  <w:style w:type="paragraph" w:customStyle="1" w:styleId="95">
    <w:name w:val="表格文字"/>
    <w:basedOn w:val="22"/>
    <w:autoRedefine/>
    <w:qFormat/>
    <w:uiPriority w:val="0"/>
    <w:pPr>
      <w:adjustRightInd/>
      <w:snapToGrid/>
      <w:spacing w:line="240" w:lineRule="auto"/>
      <w:ind w:left="16" w:leftChars="-38" w:right="-77" w:rightChars="-32" w:hanging="107" w:hangingChars="51"/>
      <w:jc w:val="center"/>
      <w:textAlignment w:val="auto"/>
    </w:pPr>
    <w:rPr>
      <w:rFonts w:hAnsi="Times New Roman"/>
    </w:rPr>
  </w:style>
  <w:style w:type="paragraph" w:customStyle="1" w:styleId="96">
    <w:name w:val="表格文字！！！！"/>
    <w:basedOn w:val="1"/>
    <w:autoRedefine/>
    <w:qFormat/>
    <w:uiPriority w:val="0"/>
    <w:pPr>
      <w:jc w:val="center"/>
    </w:pPr>
  </w:style>
  <w:style w:type="character" w:customStyle="1" w:styleId="97">
    <w:name w:val="页眉 Char1"/>
    <w:basedOn w:val="39"/>
    <w:autoRedefine/>
    <w:semiHidden/>
    <w:qFormat/>
    <w:uiPriority w:val="99"/>
    <w:rPr>
      <w:kern w:val="2"/>
      <w:sz w:val="18"/>
      <w:szCs w:val="18"/>
    </w:rPr>
  </w:style>
  <w:style w:type="character" w:customStyle="1" w:styleId="98">
    <w:name w:val="批注框文本 Char1"/>
    <w:basedOn w:val="39"/>
    <w:autoRedefine/>
    <w:semiHidden/>
    <w:qFormat/>
    <w:uiPriority w:val="99"/>
    <w:rPr>
      <w:rFonts w:ascii="Times New Roman" w:hAnsi="Times New Roman" w:eastAsia="宋体" w:cs="Times New Roman"/>
      <w:sz w:val="18"/>
      <w:szCs w:val="18"/>
    </w:rPr>
  </w:style>
  <w:style w:type="character" w:customStyle="1" w:styleId="99">
    <w:name w:val="日期 Char1"/>
    <w:basedOn w:val="39"/>
    <w:autoRedefine/>
    <w:semiHidden/>
    <w:qFormat/>
    <w:uiPriority w:val="99"/>
    <w:rPr>
      <w:rFonts w:ascii="Times New Roman" w:hAnsi="Times New Roman" w:eastAsia="宋体" w:cs="Times New Roman"/>
      <w:szCs w:val="24"/>
    </w:rPr>
  </w:style>
  <w:style w:type="paragraph" w:customStyle="1" w:styleId="100">
    <w:name w:val="普通(网站)2"/>
    <w:basedOn w:val="1"/>
    <w:autoRedefine/>
    <w:qFormat/>
    <w:uiPriority w:val="0"/>
    <w:pPr>
      <w:widowControl/>
      <w:spacing w:before="100" w:beforeAutospacing="1" w:after="100" w:afterAutospacing="1"/>
      <w:jc w:val="left"/>
    </w:pPr>
    <w:rPr>
      <w:rFonts w:ascii="宋体" w:hAnsi="宋体"/>
      <w:sz w:val="24"/>
      <w:szCs w:val="20"/>
    </w:rPr>
  </w:style>
  <w:style w:type="character" w:customStyle="1" w:styleId="101">
    <w:name w:val="正文文本 2 字符"/>
    <w:basedOn w:val="39"/>
    <w:link w:val="31"/>
    <w:autoRedefine/>
    <w:qFormat/>
    <w:uiPriority w:val="0"/>
    <w:rPr>
      <w:rFonts w:ascii="Times New Roman" w:hAnsi="Times New Roman" w:eastAsia="宋体" w:cs="Times New Roman"/>
      <w:szCs w:val="24"/>
    </w:rPr>
  </w:style>
  <w:style w:type="character" w:customStyle="1" w:styleId="102">
    <w:name w:val="样式2 Char"/>
    <w:link w:val="103"/>
    <w:autoRedefine/>
    <w:qFormat/>
    <w:uiPriority w:val="0"/>
  </w:style>
  <w:style w:type="paragraph" w:customStyle="1" w:styleId="103">
    <w:name w:val="样式2"/>
    <w:basedOn w:val="1"/>
    <w:link w:val="102"/>
    <w:autoRedefine/>
    <w:qFormat/>
    <w:uiPriority w:val="0"/>
    <w:pPr>
      <w:jc w:val="center"/>
    </w:pPr>
    <w:rPr>
      <w:rFonts w:asciiTheme="minorHAnsi" w:hAnsiTheme="minorHAnsi" w:eastAsiaTheme="minorEastAsia" w:cstheme="minorBidi"/>
      <w:szCs w:val="22"/>
    </w:rPr>
  </w:style>
  <w:style w:type="paragraph" w:customStyle="1" w:styleId="104">
    <w:name w:val="样式1"/>
    <w:basedOn w:val="23"/>
    <w:link w:val="105"/>
    <w:autoRedefine/>
    <w:qFormat/>
    <w:uiPriority w:val="0"/>
    <w:pPr>
      <w:spacing w:line="360" w:lineRule="auto"/>
      <w:ind w:firstLine="200" w:firstLineChars="200"/>
    </w:pPr>
    <w:rPr>
      <w:sz w:val="24"/>
      <w:szCs w:val="22"/>
    </w:rPr>
  </w:style>
  <w:style w:type="character" w:customStyle="1" w:styleId="105">
    <w:name w:val="样式1 字符"/>
    <w:link w:val="104"/>
    <w:autoRedefine/>
    <w:qFormat/>
    <w:uiPriority w:val="0"/>
    <w:rPr>
      <w:rFonts w:ascii="Times New Roman" w:hAnsi="Times New Roman" w:eastAsia="宋体" w:cs="Times New Roman"/>
      <w:sz w:val="24"/>
    </w:rPr>
  </w:style>
  <w:style w:type="paragraph" w:customStyle="1" w:styleId="106">
    <w:name w:val="正文首行缩进1"/>
    <w:basedOn w:val="19"/>
    <w:next w:val="1"/>
    <w:autoRedefine/>
    <w:qFormat/>
    <w:uiPriority w:val="0"/>
    <w:pPr>
      <w:ind w:firstLine="420" w:firstLineChars="100"/>
    </w:pPr>
    <w:rPr>
      <w:szCs w:val="20"/>
    </w:rPr>
  </w:style>
  <w:style w:type="character" w:customStyle="1" w:styleId="107">
    <w:name w:val="HTML 预设格式 字符"/>
    <w:basedOn w:val="39"/>
    <w:link w:val="32"/>
    <w:autoRedefine/>
    <w:qFormat/>
    <w:uiPriority w:val="0"/>
    <w:rPr>
      <w:rFonts w:ascii="Arial" w:hAnsi="Arial" w:eastAsia="宋体" w:cs="Times New Roman"/>
      <w:kern w:val="0"/>
      <w:szCs w:val="21"/>
    </w:rPr>
  </w:style>
  <w:style w:type="character" w:customStyle="1" w:styleId="108">
    <w:name w:val="格式正文 Char"/>
    <w:link w:val="109"/>
    <w:autoRedefine/>
    <w:qFormat/>
    <w:uiPriority w:val="0"/>
    <w:rPr>
      <w:sz w:val="24"/>
      <w:szCs w:val="24"/>
    </w:rPr>
  </w:style>
  <w:style w:type="paragraph" w:customStyle="1" w:styleId="109">
    <w:name w:val="格式正文"/>
    <w:basedOn w:val="1"/>
    <w:link w:val="108"/>
    <w:autoRedefine/>
    <w:qFormat/>
    <w:uiPriority w:val="0"/>
    <w:pPr>
      <w:spacing w:line="360" w:lineRule="auto"/>
      <w:ind w:firstLine="1446" w:firstLineChars="200"/>
      <w:jc w:val="left"/>
    </w:pPr>
    <w:rPr>
      <w:rFonts w:asciiTheme="minorHAnsi" w:hAnsiTheme="minorHAnsi" w:eastAsiaTheme="minorEastAsia" w:cstheme="minorBidi"/>
      <w:sz w:val="24"/>
    </w:rPr>
  </w:style>
  <w:style w:type="character" w:customStyle="1" w:styleId="110">
    <w:name w:val="正文缩进 字符"/>
    <w:link w:val="15"/>
    <w:autoRedefine/>
    <w:qFormat/>
    <w:uiPriority w:val="0"/>
    <w:rPr>
      <w:rFonts w:ascii="宋体" w:hAnsi="宋体" w:eastAsia="宋体" w:cs="Times New Roman"/>
      <w:kern w:val="0"/>
      <w:sz w:val="24"/>
      <w:szCs w:val="20"/>
    </w:rPr>
  </w:style>
  <w:style w:type="character" w:customStyle="1" w:styleId="111">
    <w:name w:val="正文文本 2 Char1"/>
    <w:autoRedefine/>
    <w:qFormat/>
    <w:uiPriority w:val="0"/>
    <w:rPr>
      <w:rFonts w:ascii="Calibri" w:hAnsi="Calibri"/>
      <w:kern w:val="2"/>
      <w:sz w:val="24"/>
      <w:szCs w:val="24"/>
    </w:rPr>
  </w:style>
  <w:style w:type="character" w:customStyle="1" w:styleId="112">
    <w:name w:val="fontstyle01"/>
    <w:basedOn w:val="39"/>
    <w:autoRedefine/>
    <w:qFormat/>
    <w:uiPriority w:val="0"/>
    <w:rPr>
      <w:rFonts w:hint="eastAsia" w:ascii="宋体" w:hAnsi="宋体" w:eastAsia="宋体"/>
      <w:color w:val="000000"/>
      <w:sz w:val="24"/>
      <w:szCs w:val="24"/>
    </w:rPr>
  </w:style>
  <w:style w:type="paragraph" w:customStyle="1" w:styleId="113">
    <w:name w:val="规定正文"/>
    <w:basedOn w:val="1"/>
    <w:autoRedefine/>
    <w:qFormat/>
    <w:uiPriority w:val="0"/>
    <w:pPr>
      <w:spacing w:line="360" w:lineRule="auto"/>
      <w:ind w:firstLine="420" w:firstLineChars="200"/>
    </w:pPr>
    <w:rPr>
      <w:sz w:val="24"/>
      <w:szCs w:val="22"/>
    </w:rPr>
  </w:style>
  <w:style w:type="character" w:customStyle="1" w:styleId="114">
    <w:name w:val="正文文本缩进 2 字符"/>
    <w:basedOn w:val="39"/>
    <w:link w:val="25"/>
    <w:autoRedefine/>
    <w:qFormat/>
    <w:uiPriority w:val="0"/>
    <w:rPr>
      <w:rFonts w:ascii="Times New Roman" w:hAnsi="Times New Roman" w:eastAsia="宋体" w:cs="Times New Roman"/>
      <w:szCs w:val="24"/>
    </w:rPr>
  </w:style>
  <w:style w:type="paragraph" w:customStyle="1" w:styleId="115">
    <w:name w:val="章节标题"/>
    <w:basedOn w:val="1"/>
    <w:link w:val="116"/>
    <w:autoRedefine/>
    <w:qFormat/>
    <w:uiPriority w:val="0"/>
    <w:pPr>
      <w:ind w:firstLine="281" w:firstLineChars="100"/>
      <w:outlineLvl w:val="0"/>
    </w:pPr>
    <w:rPr>
      <w:b/>
      <w:sz w:val="28"/>
      <w:szCs w:val="22"/>
    </w:rPr>
  </w:style>
  <w:style w:type="character" w:customStyle="1" w:styleId="116">
    <w:name w:val="章节标题 Char"/>
    <w:link w:val="115"/>
    <w:autoRedefine/>
    <w:qFormat/>
    <w:uiPriority w:val="0"/>
    <w:rPr>
      <w:rFonts w:ascii="Times New Roman" w:hAnsi="Times New Roman" w:eastAsia="宋体" w:cs="Times New Roman"/>
      <w:b/>
      <w:sz w:val="28"/>
    </w:rPr>
  </w:style>
  <w:style w:type="character" w:customStyle="1" w:styleId="117">
    <w:name w:val="size13"/>
    <w:basedOn w:val="39"/>
    <w:autoRedefine/>
    <w:qFormat/>
    <w:uiPriority w:val="0"/>
  </w:style>
  <w:style w:type="character" w:customStyle="1" w:styleId="118">
    <w:name w:val="段落中文 Char"/>
    <w:link w:val="119"/>
    <w:autoRedefine/>
    <w:qFormat/>
    <w:uiPriority w:val="0"/>
    <w:rPr>
      <w:sz w:val="24"/>
      <w:szCs w:val="24"/>
    </w:rPr>
  </w:style>
  <w:style w:type="paragraph" w:customStyle="1" w:styleId="119">
    <w:name w:val="段落中文"/>
    <w:basedOn w:val="1"/>
    <w:link w:val="118"/>
    <w:autoRedefine/>
    <w:qFormat/>
    <w:uiPriority w:val="0"/>
    <w:pPr>
      <w:spacing w:line="360" w:lineRule="auto"/>
      <w:ind w:firstLine="1446" w:firstLineChars="200"/>
      <w:jc w:val="left"/>
    </w:pPr>
    <w:rPr>
      <w:rFonts w:asciiTheme="minorHAnsi" w:hAnsiTheme="minorHAnsi" w:eastAsiaTheme="minorEastAsia" w:cstheme="minorBidi"/>
      <w:sz w:val="24"/>
    </w:rPr>
  </w:style>
  <w:style w:type="character" w:customStyle="1" w:styleId="120">
    <w:name w:val="正文首行缩进 Char1"/>
    <w:autoRedefine/>
    <w:qFormat/>
    <w:uiPriority w:val="0"/>
    <w:rPr>
      <w:rFonts w:ascii="宋体" w:hAnsi="宋体" w:cs="宋体"/>
      <w:kern w:val="2"/>
      <w:sz w:val="21"/>
      <w:szCs w:val="22"/>
      <w:lang w:val="zh-CN" w:bidi="zh-CN"/>
    </w:rPr>
  </w:style>
  <w:style w:type="character" w:customStyle="1" w:styleId="121">
    <w:name w:val="font61"/>
    <w:autoRedefine/>
    <w:qFormat/>
    <w:uiPriority w:val="0"/>
    <w:rPr>
      <w:rFonts w:hint="eastAsia" w:ascii="宋体" w:hAnsi="宋体" w:eastAsia="宋体" w:cs="宋体"/>
      <w:color w:val="000000"/>
      <w:sz w:val="18"/>
      <w:szCs w:val="18"/>
      <w:u w:val="none"/>
    </w:rPr>
  </w:style>
  <w:style w:type="paragraph" w:customStyle="1" w:styleId="122">
    <w:name w:val="p15"/>
    <w:basedOn w:val="1"/>
    <w:autoRedefine/>
    <w:qFormat/>
    <w:uiPriority w:val="0"/>
    <w:pPr>
      <w:widowControl/>
      <w:spacing w:after="120"/>
      <w:ind w:left="420"/>
    </w:pPr>
    <w:rPr>
      <w:kern w:val="0"/>
      <w:sz w:val="16"/>
      <w:szCs w:val="16"/>
    </w:rPr>
  </w:style>
  <w:style w:type="paragraph" w:customStyle="1" w:styleId="123">
    <w:name w:val="简单回函地址"/>
    <w:basedOn w:val="1"/>
    <w:autoRedefine/>
    <w:qFormat/>
    <w:uiPriority w:val="0"/>
    <w:rPr>
      <w:szCs w:val="22"/>
    </w:rPr>
  </w:style>
  <w:style w:type="paragraph" w:customStyle="1" w:styleId="124">
    <w:name w:val="一级标题"/>
    <w:basedOn w:val="1"/>
    <w:autoRedefine/>
    <w:qFormat/>
    <w:uiPriority w:val="0"/>
    <w:pPr>
      <w:spacing w:line="360" w:lineRule="auto"/>
      <w:jc w:val="center"/>
    </w:pPr>
    <w:rPr>
      <w:b/>
      <w:bCs/>
      <w:sz w:val="30"/>
      <w:szCs w:val="30"/>
    </w:rPr>
  </w:style>
  <w:style w:type="paragraph" w:customStyle="1" w:styleId="125">
    <w:name w:val="Table Paragraph"/>
    <w:basedOn w:val="1"/>
    <w:autoRedefine/>
    <w:qFormat/>
    <w:uiPriority w:val="1"/>
    <w:pPr>
      <w:jc w:val="center"/>
    </w:pPr>
    <w:rPr>
      <w:rFonts w:ascii="宋体" w:hAnsi="宋体" w:cs="宋体"/>
      <w:szCs w:val="22"/>
    </w:rPr>
  </w:style>
  <w:style w:type="paragraph" w:customStyle="1" w:styleId="126">
    <w:name w:val="样式3"/>
    <w:basedOn w:val="1"/>
    <w:autoRedefine/>
    <w:qFormat/>
    <w:uiPriority w:val="0"/>
    <w:pPr>
      <w:adjustRightInd w:val="0"/>
      <w:snapToGrid w:val="0"/>
      <w:jc w:val="center"/>
    </w:pPr>
    <w:rPr>
      <w:snapToGrid w:val="0"/>
      <w:color w:val="000000"/>
      <w:szCs w:val="21"/>
    </w:rPr>
  </w:style>
  <w:style w:type="paragraph" w:customStyle="1" w:styleId="127">
    <w:name w:val="p0"/>
    <w:basedOn w:val="1"/>
    <w:autoRedefine/>
    <w:qFormat/>
    <w:uiPriority w:val="0"/>
    <w:pPr>
      <w:widowControl/>
    </w:pPr>
    <w:rPr>
      <w:kern w:val="0"/>
      <w:szCs w:val="21"/>
    </w:rPr>
  </w:style>
  <w:style w:type="paragraph" w:customStyle="1" w:styleId="128">
    <w:name w:val="表头"/>
    <w:basedOn w:val="129"/>
    <w:next w:val="1"/>
    <w:autoRedefine/>
    <w:qFormat/>
    <w:uiPriority w:val="0"/>
    <w:pPr>
      <w:ind w:firstLine="0" w:firstLineChars="0"/>
      <w:jc w:val="center"/>
    </w:pPr>
    <w:rPr>
      <w:b/>
      <w:bCs/>
      <w:sz w:val="21"/>
      <w:szCs w:val="21"/>
    </w:rPr>
  </w:style>
  <w:style w:type="paragraph" w:customStyle="1" w:styleId="129">
    <w:name w:val="段落正文111"/>
    <w:basedOn w:val="130"/>
    <w:autoRedefine/>
    <w:qFormat/>
    <w:uiPriority w:val="0"/>
    <w:pPr>
      <w:ind w:firstLine="602" w:firstLineChars="200"/>
    </w:pPr>
    <w:rPr>
      <w:b w:val="0"/>
      <w:bCs w:val="0"/>
    </w:rPr>
  </w:style>
  <w:style w:type="paragraph" w:customStyle="1" w:styleId="130">
    <w:name w:val="三级标题"/>
    <w:basedOn w:val="131"/>
    <w:autoRedefine/>
    <w:qFormat/>
    <w:uiPriority w:val="0"/>
    <w:pPr>
      <w:ind w:firstLine="301" w:firstLineChars="100"/>
    </w:pPr>
  </w:style>
  <w:style w:type="paragraph" w:customStyle="1" w:styleId="131">
    <w:name w:val="二级标题"/>
    <w:basedOn w:val="124"/>
    <w:autoRedefine/>
    <w:qFormat/>
    <w:uiPriority w:val="0"/>
    <w:pPr>
      <w:ind w:firstLine="151" w:firstLineChars="50"/>
      <w:jc w:val="left"/>
    </w:pPr>
    <w:rPr>
      <w:sz w:val="24"/>
      <w:szCs w:val="24"/>
    </w:rPr>
  </w:style>
  <w:style w:type="paragraph" w:customStyle="1" w:styleId="132">
    <w:name w:val="报告表  段"/>
    <w:basedOn w:val="1"/>
    <w:autoRedefine/>
    <w:qFormat/>
    <w:uiPriority w:val="0"/>
    <w:pPr>
      <w:adjustRightInd w:val="0"/>
      <w:spacing w:line="360" w:lineRule="auto"/>
      <w:ind w:firstLine="505"/>
    </w:pPr>
    <w:rPr>
      <w:rFonts w:hint="eastAsia" w:ascii="宋体"/>
      <w:kern w:val="0"/>
      <w:sz w:val="24"/>
      <w:szCs w:val="20"/>
    </w:rPr>
  </w:style>
  <w:style w:type="paragraph" w:customStyle="1" w:styleId="133">
    <w:name w:val="表1表2"/>
    <w:basedOn w:val="1"/>
    <w:autoRedefine/>
    <w:qFormat/>
    <w:uiPriority w:val="0"/>
    <w:pPr>
      <w:autoSpaceDE w:val="0"/>
      <w:autoSpaceDN w:val="0"/>
      <w:adjustRightInd w:val="0"/>
      <w:spacing w:line="360" w:lineRule="auto"/>
      <w:ind w:firstLine="200" w:firstLineChars="200"/>
      <w:jc w:val="center"/>
      <w:textAlignment w:val="center"/>
    </w:pPr>
    <w:rPr>
      <w:rFonts w:eastAsia="黑体"/>
      <w:kern w:val="0"/>
      <w:sz w:val="24"/>
      <w:szCs w:val="20"/>
    </w:rPr>
  </w:style>
  <w:style w:type="paragraph" w:customStyle="1" w:styleId="134">
    <w:name w:val="正 文"/>
    <w:autoRedefine/>
    <w:qFormat/>
    <w:uiPriority w:val="0"/>
    <w:pPr>
      <w:widowControl w:val="0"/>
      <w:spacing w:line="480" w:lineRule="exact"/>
      <w:ind w:firstLine="471"/>
      <w:jc w:val="both"/>
    </w:pPr>
    <w:rPr>
      <w:rFonts w:ascii="Times New Roman" w:hAnsi="Times New Roman" w:eastAsia="宋体" w:cs="Times New Roman"/>
      <w:kern w:val="2"/>
      <w:sz w:val="24"/>
      <w:szCs w:val="21"/>
      <w:lang w:val="en-US" w:eastAsia="zh-CN" w:bidi="ar-SA"/>
    </w:rPr>
  </w:style>
  <w:style w:type="paragraph" w:customStyle="1" w:styleId="135">
    <w:name w:val="表格 32"/>
    <w:basedOn w:val="1"/>
    <w:autoRedefine/>
    <w:qFormat/>
    <w:uiPriority w:val="0"/>
    <w:pPr>
      <w:autoSpaceDE w:val="0"/>
      <w:autoSpaceDN w:val="0"/>
      <w:adjustRightInd w:val="0"/>
      <w:jc w:val="center"/>
      <w:textAlignment w:val="baseline"/>
    </w:pPr>
    <w:rPr>
      <w:rFonts w:ascii="宋体" w:hAnsi="Impact"/>
      <w:kern w:val="24"/>
      <w:sz w:val="24"/>
      <w:szCs w:val="22"/>
    </w:rPr>
  </w:style>
  <w:style w:type="paragraph" w:customStyle="1" w:styleId="136">
    <w:name w:val="猜猜我是不是表格"/>
    <w:basedOn w:val="78"/>
    <w:autoRedefine/>
    <w:qFormat/>
    <w:uiPriority w:val="0"/>
    <w:pPr>
      <w:adjustRightInd/>
      <w:snapToGrid/>
      <w:spacing w:beforeLines="0" w:afterLines="0" w:line="240" w:lineRule="auto"/>
    </w:pPr>
    <w:rPr>
      <w:rFonts w:ascii="Times New Roman" w:hAnsi="Times New Roman" w:eastAsia="宋体" w:cs="Times New Roman"/>
      <w:szCs w:val="21"/>
    </w:rPr>
  </w:style>
  <w:style w:type="character" w:customStyle="1" w:styleId="137">
    <w:name w:val="纯文本 Char1"/>
    <w:autoRedefine/>
    <w:qFormat/>
    <w:uiPriority w:val="99"/>
    <w:rPr>
      <w:rFonts w:ascii="宋体" w:hAnsi="Courier New" w:cs="Courier New"/>
      <w:kern w:val="2"/>
      <w:sz w:val="21"/>
      <w:szCs w:val="21"/>
    </w:rPr>
  </w:style>
  <w:style w:type="paragraph" w:customStyle="1" w:styleId="138">
    <w:name w:val="正文1"/>
    <w:autoRedefine/>
    <w:qFormat/>
    <w:uiPriority w:val="0"/>
    <w:pPr>
      <w:jc w:val="both"/>
    </w:pPr>
    <w:rPr>
      <w:rFonts w:ascii="Times New Roman" w:hAnsi="Times New Roman" w:eastAsia="宋体" w:cs="Times New Roman"/>
      <w:kern w:val="2"/>
      <w:sz w:val="21"/>
      <w:szCs w:val="21"/>
      <w:lang w:val="en-US" w:eastAsia="zh-CN" w:bidi="ar-SA"/>
    </w:rPr>
  </w:style>
  <w:style w:type="character" w:customStyle="1" w:styleId="139">
    <w:name w:val="fontstyle11"/>
    <w:basedOn w:val="39"/>
    <w:autoRedefine/>
    <w:qFormat/>
    <w:uiPriority w:val="0"/>
    <w:rPr>
      <w:rFonts w:hint="default" w:ascii="Times New Roman" w:hAnsi="Times New Roman" w:cs="Times New Roman"/>
      <w:color w:val="000000"/>
      <w:sz w:val="24"/>
      <w:szCs w:val="24"/>
    </w:rPr>
  </w:style>
  <w:style w:type="character" w:customStyle="1" w:styleId="140">
    <w:name w:val="checkbox"/>
    <w:basedOn w:val="39"/>
    <w:autoRedefine/>
    <w:qFormat/>
    <w:uiPriority w:val="0"/>
  </w:style>
  <w:style w:type="character" w:customStyle="1" w:styleId="141">
    <w:name w:val="fontstyle31"/>
    <w:basedOn w:val="39"/>
    <w:autoRedefine/>
    <w:qFormat/>
    <w:uiPriority w:val="0"/>
    <w:rPr>
      <w:rFonts w:ascii="TimesNewRomanPSMT" w:hAnsi="TimesNewRomanPSMT" w:eastAsia="TimesNewRomanPSMT" w:cs="TimesNewRomanPSMT"/>
      <w:color w:val="000000"/>
      <w:sz w:val="22"/>
      <w:szCs w:val="22"/>
    </w:rPr>
  </w:style>
  <w:style w:type="paragraph" w:customStyle="1" w:styleId="142">
    <w:name w:val="题注 New"/>
    <w:basedOn w:val="143"/>
    <w:next w:val="143"/>
    <w:autoRedefine/>
    <w:qFormat/>
    <w:uiPriority w:val="0"/>
    <w:pPr>
      <w:adjustRightInd w:val="0"/>
      <w:snapToGrid w:val="0"/>
      <w:jc w:val="center"/>
    </w:pPr>
    <w:rPr>
      <w:rFonts w:eastAsia="仿宋_GB2312"/>
      <w:sz w:val="24"/>
      <w:szCs w:val="20"/>
    </w:rPr>
  </w:style>
  <w:style w:type="paragraph" w:customStyle="1" w:styleId="143">
    <w:name w:val="正文 New New New"/>
    <w:autoRedefine/>
    <w:qFormat/>
    <w:uiPriority w:val="0"/>
    <w:pPr>
      <w:widowControl w:val="0"/>
      <w:jc w:val="both"/>
    </w:pPr>
    <w:rPr>
      <w:rFonts w:ascii="Calibri" w:hAnsi="Calibri" w:eastAsia="宋体" w:cstheme="minorBidi"/>
      <w:kern w:val="2"/>
      <w:sz w:val="21"/>
      <w:szCs w:val="22"/>
      <w:lang w:val="en-US" w:eastAsia="zh-CN" w:bidi="ar-SA"/>
    </w:rPr>
  </w:style>
  <w:style w:type="paragraph" w:customStyle="1" w:styleId="144">
    <w:name w:val="正文 New New"/>
    <w:autoRedefine/>
    <w:qFormat/>
    <w:uiPriority w:val="0"/>
    <w:pPr>
      <w:widowControl w:val="0"/>
      <w:jc w:val="both"/>
    </w:pPr>
    <w:rPr>
      <w:rFonts w:ascii="Calibri" w:hAnsi="Calibri" w:eastAsia="宋体" w:cstheme="minorBidi"/>
      <w:kern w:val="2"/>
      <w:sz w:val="21"/>
      <w:lang w:val="en-US" w:eastAsia="zh-CN" w:bidi="ar-SA"/>
    </w:rPr>
  </w:style>
  <w:style w:type="paragraph" w:customStyle="1" w:styleId="145">
    <w:name w:val="正文 New"/>
    <w:autoRedefine/>
    <w:qFormat/>
    <w:uiPriority w:val="0"/>
    <w:pPr>
      <w:widowControl w:val="0"/>
      <w:jc w:val="both"/>
    </w:pPr>
    <w:rPr>
      <w:rFonts w:ascii="Times New Roman" w:hAnsi="Times New Roman" w:eastAsia="宋体" w:cstheme="minorBidi"/>
      <w:kern w:val="2"/>
      <w:sz w:val="21"/>
      <w:szCs w:val="22"/>
      <w:lang w:val="en-US" w:eastAsia="zh-CN" w:bidi="ar-SA"/>
    </w:rPr>
  </w:style>
  <w:style w:type="character" w:customStyle="1" w:styleId="146">
    <w:name w:val="font21"/>
    <w:basedOn w:val="39"/>
    <w:autoRedefine/>
    <w:qFormat/>
    <w:uiPriority w:val="0"/>
    <w:rPr>
      <w:rFonts w:hint="eastAsia" w:ascii="宋体" w:hAnsi="宋体" w:eastAsia="宋体" w:cs="宋体"/>
      <w:color w:val="000000"/>
      <w:sz w:val="21"/>
      <w:szCs w:val="21"/>
      <w:u w:val="none"/>
    </w:rPr>
  </w:style>
  <w:style w:type="paragraph" w:customStyle="1" w:styleId="147">
    <w:name w:val="0正文"/>
    <w:basedOn w:val="1"/>
    <w:autoRedefine/>
    <w:qFormat/>
    <w:uiPriority w:val="0"/>
    <w:pPr>
      <w:spacing w:line="360" w:lineRule="auto"/>
      <w:ind w:firstLine="480"/>
      <w:jc w:val="left"/>
    </w:pPr>
    <w:rPr>
      <w:rFonts w:ascii="Calibri" w:hAnsi="Calibri"/>
      <w:kern w:val="0"/>
      <w:sz w:val="24"/>
      <w:szCs w:val="20"/>
      <w:lang w:bidi="en-US"/>
    </w:rPr>
  </w:style>
  <w:style w:type="paragraph" w:customStyle="1" w:styleId="148">
    <w:name w:val="小四缩进2"/>
    <w:basedOn w:val="1"/>
    <w:autoRedefine/>
    <w:qFormat/>
    <w:uiPriority w:val="0"/>
    <w:pPr>
      <w:spacing w:line="360" w:lineRule="auto"/>
      <w:ind w:firstLine="480" w:firstLineChars="200"/>
    </w:pPr>
    <w:rPr>
      <w:rFonts w:hAnsi="宋体"/>
      <w:sz w:val="24"/>
    </w:rPr>
  </w:style>
  <w:style w:type="paragraph" w:customStyle="1" w:styleId="149">
    <w:name w:val="Default1"/>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0">
    <w:name w:val="表内文字"/>
    <w:basedOn w:val="1"/>
    <w:autoRedefine/>
    <w:qFormat/>
    <w:uiPriority w:val="0"/>
    <w:pPr>
      <w:ind w:left="-120" w:leftChars="-50" w:right="-120" w:rightChars="-50"/>
      <w:jc w:val="center"/>
    </w:pPr>
    <w:rPr>
      <w:rFonts w:cs="宋体"/>
      <w:kern w:val="0"/>
    </w:rPr>
  </w:style>
  <w:style w:type="paragraph" w:customStyle="1" w:styleId="151">
    <w:name w:val="报告表正文"/>
    <w:basedOn w:val="1"/>
    <w:autoRedefine/>
    <w:qFormat/>
    <w:uiPriority w:val="0"/>
    <w:pPr>
      <w:adjustRightInd w:val="0"/>
      <w:spacing w:line="312" w:lineRule="auto"/>
      <w:ind w:left="113" w:right="113" w:firstLine="482"/>
      <w:jc w:val="left"/>
    </w:pPr>
    <w:rPr>
      <w:rFonts w:ascii="Calibri" w:hAnsi="Calibri" w:cs="宋体"/>
      <w:sz w:val="24"/>
      <w:szCs w:val="22"/>
    </w:rPr>
  </w:style>
  <w:style w:type="paragraph" w:customStyle="1" w:styleId="152">
    <w:name w:val="正文（新）"/>
    <w:basedOn w:val="1"/>
    <w:autoRedefine/>
    <w:qFormat/>
    <w:uiPriority w:val="0"/>
    <w:pPr>
      <w:widowControl/>
      <w:spacing w:line="360" w:lineRule="auto"/>
      <w:ind w:firstLine="560" w:firstLineChars="200"/>
      <w:jc w:val="left"/>
    </w:pPr>
    <w:rPr>
      <w:rFonts w:ascii="宋体" w:hAnsi="宋体"/>
      <w:kern w:val="0"/>
      <w:sz w:val="28"/>
      <w:szCs w:val="22"/>
      <w:lang w:bidi="en-US"/>
    </w:rPr>
  </w:style>
  <w:style w:type="paragraph" w:customStyle="1" w:styleId="153">
    <w:name w:val="环评表格"/>
    <w:basedOn w:val="1"/>
    <w:autoRedefine/>
    <w:qFormat/>
    <w:uiPriority w:val="0"/>
    <w:pPr>
      <w:adjustRightInd w:val="0"/>
      <w:snapToGrid w:val="0"/>
      <w:jc w:val="center"/>
    </w:pPr>
    <w:rPr>
      <w:kern w:val="0"/>
      <w:szCs w:val="20"/>
      <w:lang w:val="zh-CN"/>
    </w:rPr>
  </w:style>
  <w:style w:type="paragraph" w:customStyle="1" w:styleId="154">
    <w:name w:val="样式 (符号) 宋体 小四 行距: 1.5 倍行距"/>
    <w:basedOn w:val="1"/>
    <w:autoRedefine/>
    <w:qFormat/>
    <w:uiPriority w:val="0"/>
    <w:pPr>
      <w:adjustRightInd w:val="0"/>
      <w:snapToGrid w:val="0"/>
      <w:spacing w:afterLines="20" w:line="360" w:lineRule="auto"/>
      <w:ind w:firstLine="480" w:firstLineChars="200"/>
      <w:jc w:val="left"/>
      <w:textAlignment w:val="baseline"/>
    </w:pPr>
    <w:rPr>
      <w:rFonts w:hAnsi="宋体"/>
      <w:sz w:val="24"/>
    </w:rPr>
  </w:style>
  <w:style w:type="character" w:customStyle="1" w:styleId="155">
    <w:name w:val="font11"/>
    <w:basedOn w:val="39"/>
    <w:autoRedefine/>
    <w:qFormat/>
    <w:uiPriority w:val="0"/>
    <w:rPr>
      <w:rFonts w:hint="default" w:ascii="Times New Roman" w:hAnsi="Times New Roman" w:cs="Times New Roman"/>
      <w:b/>
      <w:bCs/>
      <w:color w:val="000000"/>
      <w:sz w:val="21"/>
      <w:szCs w:val="21"/>
      <w:u w:val="none"/>
    </w:rPr>
  </w:style>
  <w:style w:type="character" w:customStyle="1" w:styleId="156">
    <w:name w:val="font31"/>
    <w:basedOn w:val="39"/>
    <w:autoRedefine/>
    <w:qFormat/>
    <w:uiPriority w:val="0"/>
    <w:rPr>
      <w:rFonts w:hint="eastAsia" w:ascii="宋体" w:hAnsi="宋体" w:eastAsia="宋体" w:cs="宋体"/>
      <w:color w:val="000000"/>
      <w:sz w:val="21"/>
      <w:szCs w:val="21"/>
      <w:u w:val="none"/>
    </w:rPr>
  </w:style>
  <w:style w:type="character" w:customStyle="1" w:styleId="157">
    <w:name w:val="font41"/>
    <w:basedOn w:val="39"/>
    <w:autoRedefine/>
    <w:qFormat/>
    <w:uiPriority w:val="0"/>
    <w:rPr>
      <w:rFonts w:hint="default" w:ascii="Times New Roman" w:hAnsi="Times New Roman" w:cs="Times New Roman"/>
      <w:color w:val="000000"/>
      <w:sz w:val="21"/>
      <w:szCs w:val="21"/>
      <w:u w:val="none"/>
    </w:rPr>
  </w:style>
  <w:style w:type="paragraph" w:customStyle="1" w:styleId="158">
    <w:name w:val="表头图尾"/>
    <w:next w:val="1"/>
    <w:autoRedefine/>
    <w:qFormat/>
    <w:uiPriority w:val="0"/>
    <w:pPr>
      <w:spacing w:line="360" w:lineRule="auto"/>
      <w:jc w:val="center"/>
    </w:pPr>
    <w:rPr>
      <w:rFonts w:ascii="宋体" w:hAnsi="宋体" w:eastAsia="宋体" w:cs="宋体"/>
      <w:b/>
      <w:bCs/>
      <w:sz w:val="24"/>
      <w:szCs w:val="24"/>
      <w:lang w:val="en-US" w:eastAsia="zh-CN" w:bidi="ar-SA"/>
    </w:rPr>
  </w:style>
  <w:style w:type="paragraph" w:customStyle="1" w:styleId="159">
    <w:name w:val="Table Text"/>
    <w:basedOn w:val="1"/>
    <w:semiHidden/>
    <w:qFormat/>
    <w:uiPriority w:val="0"/>
    <w:rPr>
      <w:rFonts w:ascii="宋体" w:hAnsi="宋体" w:cs="宋体"/>
      <w:sz w:val="24"/>
      <w:lang w:eastAsia="en-US"/>
    </w:rPr>
  </w:style>
  <w:style w:type="character" w:customStyle="1" w:styleId="160">
    <w:name w:val="font51"/>
    <w:basedOn w:val="39"/>
    <w:qFormat/>
    <w:uiPriority w:val="0"/>
    <w:rPr>
      <w:rFonts w:hint="default" w:ascii="Times New Roman" w:hAnsi="Times New Roman" w:cs="Times New Roman"/>
      <w:color w:val="3222FE"/>
      <w:sz w:val="21"/>
      <w:szCs w:val="21"/>
      <w:u w:val="none"/>
    </w:rPr>
  </w:style>
  <w:style w:type="table" w:customStyle="1" w:styleId="161">
    <w:name w:val="Table Normal"/>
    <w:semiHidden/>
    <w:unhideWhenUsed/>
    <w:qFormat/>
    <w:uiPriority w:val="0"/>
    <w:tblPr>
      <w:tblCellMar>
        <w:top w:w="0" w:type="dxa"/>
        <w:left w:w="0" w:type="dxa"/>
        <w:bottom w:w="0" w:type="dxa"/>
        <w:right w:w="0" w:type="dxa"/>
      </w:tblCellMar>
    </w:tblPr>
  </w:style>
  <w:style w:type="character" w:customStyle="1" w:styleId="162">
    <w:name w:val="0正文内容 Char"/>
    <w:link w:val="163"/>
    <w:qFormat/>
    <w:uiPriority w:val="0"/>
    <w:rPr>
      <w:rFonts w:cs="宋体" w:asciiTheme="minorHAnsi" w:hAnsiTheme="minorHAnsi" w:eastAsiaTheme="minorEastAsia"/>
      <w:kern w:val="0"/>
      <w:sz w:val="21"/>
      <w:szCs w:val="20"/>
    </w:rPr>
  </w:style>
  <w:style w:type="paragraph" w:customStyle="1" w:styleId="163">
    <w:name w:val="0正文内容"/>
    <w:basedOn w:val="1"/>
    <w:link w:val="162"/>
    <w:autoRedefine/>
    <w:qFormat/>
    <w:uiPriority w:val="0"/>
    <w:pPr>
      <w:jc w:val="center"/>
    </w:pPr>
    <w:rPr>
      <w:rFonts w:cs="宋体" w:asciiTheme="minorHAnsi" w:hAnsiTheme="minorHAnsi" w:eastAsiaTheme="minorEastAsia"/>
      <w:kern w:val="0"/>
      <w:szCs w:val="20"/>
    </w:rPr>
  </w:style>
  <w:style w:type="paragraph" w:customStyle="1" w:styleId="164">
    <w:name w:val="表题"/>
    <w:basedOn w:val="1"/>
    <w:qFormat/>
    <w:uiPriority w:val="0"/>
    <w:pPr>
      <w:autoSpaceDE w:val="0"/>
      <w:autoSpaceDN w:val="0"/>
      <w:adjustRightInd w:val="0"/>
      <w:snapToGrid w:val="0"/>
      <w:jc w:val="center"/>
    </w:pPr>
    <w:rPr>
      <w:b/>
      <w:bCs/>
      <w:kern w:val="0"/>
      <w:szCs w:val="21"/>
    </w:rPr>
  </w:style>
  <w:style w:type="paragraph" w:customStyle="1" w:styleId="165">
    <w:name w:val="环评正文"/>
    <w:basedOn w:val="1"/>
    <w:autoRedefine/>
    <w:qFormat/>
    <w:uiPriority w:val="0"/>
    <w:pPr>
      <w:adjustRightInd w:val="0"/>
      <w:snapToGrid w:val="0"/>
      <w:spacing w:line="360" w:lineRule="auto"/>
      <w:ind w:firstLine="560" w:firstLineChars="200"/>
    </w:pPr>
    <w:rPr>
      <w:rFonts w:eastAsia="Times New Roman"/>
      <w:sz w:val="28"/>
    </w:rPr>
  </w:style>
  <w:style w:type="character" w:customStyle="1" w:styleId="166">
    <w:name w:val="zw1"/>
    <w:basedOn w:val="39"/>
    <w:qFormat/>
    <w:uiPriority w:val="0"/>
    <w:rPr>
      <w:rFonts w:hint="eastAsia" w:ascii="宋体" w:hAnsi="宋体" w:eastAsia="宋体" w:cs="宋体"/>
      <w:sz w:val="22"/>
      <w:szCs w:val="22"/>
    </w:rPr>
  </w:style>
  <w:style w:type="character" w:customStyle="1" w:styleId="167">
    <w:name w:val="bt21"/>
    <w:basedOn w:val="39"/>
    <w:qFormat/>
    <w:uiPriority w:val="0"/>
    <w:rPr>
      <w:rFonts w:hint="eastAsia" w:ascii="黑体" w:hAnsi="宋体" w:eastAsia="黑体" w:cs="黑体"/>
      <w:sz w:val="24"/>
      <w:szCs w:val="24"/>
    </w:rPr>
  </w:style>
  <w:style w:type="paragraph" w:customStyle="1" w:styleId="168">
    <w:name w:val="表格内容居中"/>
    <w:basedOn w:val="1"/>
    <w:qFormat/>
    <w:uiPriority w:val="99"/>
    <w:pPr>
      <w:widowControl/>
      <w:adjustRightInd w:val="0"/>
      <w:snapToGrid w:val="0"/>
      <w:spacing w:line="560" w:lineRule="exact"/>
      <w:ind w:firstLine="562" w:firstLineChars="200"/>
      <w:jc w:val="center"/>
    </w:pPr>
    <w:rPr>
      <w:rFonts w:ascii="Calibri" w:hAnsi="Calibri"/>
      <w:kern w:val="0"/>
      <w:sz w:val="28"/>
      <w:szCs w:val="21"/>
    </w:rPr>
  </w:style>
  <w:style w:type="paragraph" w:customStyle="1" w:styleId="169">
    <w:name w:val="5.表图标题"/>
    <w:next w:val="1"/>
    <w:qFormat/>
    <w:uiPriority w:val="0"/>
    <w:pPr>
      <w:widowControl w:val="0"/>
      <w:jc w:val="center"/>
    </w:pPr>
    <w:rPr>
      <w:rFonts w:ascii="Times New Roman" w:hAnsi="Times New Roman" w:eastAsia="宋体" w:cs="Times New Roman"/>
      <w:b/>
      <w:kern w:val="2"/>
      <w:sz w:val="21"/>
      <w:szCs w:val="22"/>
      <w:lang w:val="en-US" w:eastAsia="zh-CN" w:bidi="ar-SA"/>
    </w:rPr>
  </w:style>
  <w:style w:type="table" w:customStyle="1" w:styleId="170">
    <w:name w:val="网格型12"/>
    <w:basedOn w:val="37"/>
    <w:qFormat/>
    <w:uiPriority w:val="39"/>
    <w:rPr>
      <w:rFonts w:asciiTheme="minorHAnsi" w:hAnsiTheme="minorHAnsi" w:eastAsiaTheme="minorEastAsia" w:cstheme="minorBid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71">
    <w:name w:val="正文 首行缩进:  2 字符"/>
    <w:basedOn w:val="1"/>
    <w:qFormat/>
    <w:uiPriority w:val="0"/>
    <w:pPr>
      <w:suppressAutoHyphens/>
      <w:ind w:firstLine="579" w:firstLineChars="200"/>
    </w:pPr>
    <w:rPr>
      <w:rFonts w:cs="宋体"/>
      <w:kern w:val="1"/>
      <w:lang w:eastAsia="ar-SA"/>
    </w:rPr>
  </w:style>
  <w:style w:type="character" w:customStyle="1" w:styleId="172">
    <w:name w:val="font71"/>
    <w:basedOn w:val="39"/>
    <w:qFormat/>
    <w:uiPriority w:val="0"/>
    <w:rPr>
      <w:rFonts w:hint="default" w:ascii="Times New Roman" w:hAnsi="Times New Roman" w:cs="Times New Roman"/>
      <w:b/>
      <w:bCs/>
      <w:color w:val="000000"/>
      <w:sz w:val="21"/>
      <w:szCs w:val="21"/>
      <w:u w:val="none"/>
    </w:rPr>
  </w:style>
  <w:style w:type="paragraph" w:customStyle="1" w:styleId="173">
    <w:name w:val="TT正文"/>
    <w:basedOn w:val="1"/>
    <w:qFormat/>
    <w:uiPriority w:val="0"/>
    <w:pPr>
      <w:spacing w:line="360" w:lineRule="auto"/>
      <w:ind w:firstLine="200" w:firstLineChars="200"/>
    </w:pPr>
    <w:rPr>
      <w:sz w:val="24"/>
    </w:rPr>
  </w:style>
  <w:style w:type="paragraph" w:customStyle="1" w:styleId="174">
    <w:name w:val="6-正文"/>
    <w:basedOn w:val="1"/>
    <w:qFormat/>
    <w:uiPriority w:val="0"/>
    <w:rPr>
      <w:szCs w:val="28"/>
    </w:rPr>
  </w:style>
  <w:style w:type="paragraph" w:customStyle="1" w:styleId="175">
    <w:name w:val="1正文段落"/>
    <w:qFormat/>
    <w:uiPriority w:val="0"/>
    <w:pPr>
      <w:widowControl w:val="0"/>
      <w:spacing w:line="360" w:lineRule="auto"/>
      <w:ind w:firstLine="480" w:firstLineChars="200"/>
    </w:pPr>
    <w:rPr>
      <w:rFonts w:ascii="Times New Roman" w:hAnsi="Times New Roman" w:eastAsia="宋体" w:cs="Times New Roman"/>
      <w:snapToGrid w:val="0"/>
      <w:sz w:val="24"/>
      <w:szCs w:val="24"/>
      <w:lang w:val="en-US" w:eastAsia="zh-CN" w:bidi="ar-SA"/>
    </w:rPr>
  </w:style>
  <w:style w:type="paragraph" w:customStyle="1" w:styleId="176">
    <w:name w:val="正文 03"/>
    <w:basedOn w:val="1"/>
    <w:qFormat/>
    <w:uiPriority w:val="0"/>
    <w:pPr>
      <w:autoSpaceDE w:val="0"/>
      <w:autoSpaceDN w:val="0"/>
      <w:adjustRightInd w:val="0"/>
      <w:textAlignment w:val="baseline"/>
    </w:pPr>
    <w:rPr>
      <w:rFonts w:eastAsia="楷体_GB2312"/>
      <w:kern w:val="0"/>
      <w:sz w:val="24"/>
      <w:szCs w:val="20"/>
    </w:rPr>
  </w:style>
  <w:style w:type="paragraph" w:customStyle="1" w:styleId="177">
    <w:name w:val="表格填充1"/>
    <w:basedOn w:val="1"/>
    <w:qFormat/>
    <w:uiPriority w:val="0"/>
    <w:pPr>
      <w:adjustRightInd w:val="0"/>
      <w:snapToGrid w:val="0"/>
      <w:spacing w:line="400" w:lineRule="exact"/>
      <w:jc w:val="center"/>
    </w:pPr>
    <w:rPr>
      <w:snapToGrid w:val="0"/>
      <w:kern w:val="0"/>
      <w:szCs w:val="18"/>
    </w:rPr>
  </w:style>
  <w:style w:type="paragraph" w:customStyle="1" w:styleId="178">
    <w:name w:val="表1"/>
    <w:basedOn w:val="1"/>
    <w:next w:val="78"/>
    <w:autoRedefine/>
    <w:qFormat/>
    <w:uiPriority w:val="0"/>
    <w:pPr>
      <w:numPr>
        <w:ilvl w:val="0"/>
        <w:numId w:val="2"/>
      </w:numPr>
      <w:spacing w:line="360" w:lineRule="auto"/>
      <w:ind w:firstLine="0" w:firstLineChars="0"/>
      <w:jc w:val="center"/>
    </w:pPr>
    <w:rPr>
      <w:b/>
      <w:sz w:val="24"/>
    </w:rPr>
  </w:style>
  <w:style w:type="character" w:customStyle="1" w:styleId="179">
    <w:name w:val="文档结构图 字符"/>
    <w:link w:val="17"/>
    <w:qFormat/>
    <w:uiPriority w:val="0"/>
    <w:rPr>
      <w:rFonts w:ascii="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3533D4-4D92-4F69-A101-C79B9B189C6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85</Pages>
  <Words>610</Words>
  <Characters>706</Characters>
  <Lines>410</Lines>
  <Paragraphs>115</Paragraphs>
  <TotalTime>2</TotalTime>
  <ScaleCrop>false</ScaleCrop>
  <LinksUpToDate>false</LinksUpToDate>
  <CharactersWithSpaces>842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2025-12-03T08:02:00Z</dcterms:created>
  <dc:creator>L</dc:creator>
  <cp:lastModifiedBy>胡姣旦</cp:lastModifiedBy>
  <cp:lastPrinted>2024-04-11T08:33:00Z</cp:lastPrinted>
  <dcterms:modified xsi:type="dcterms:W3CDTF">2026-07-31T01:48:17Z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commondata">
    <vt:lpwstr>eyJoZGlkIjoiN2NiZTE1MzIxNmMxZWE0ODNiOTgyODBlOThlYjE3YmUifQ==</vt:lpwstr>
  </property>
  <property fmtid="{D5CDD505-2E9C-101B-9397-08002B2CF9AE}" pid="4" name="ICV">
    <vt:lpwstr>61E9FB4FBE3B4F02A25A09444BB3A2F9_13</vt:lpwstr>
  </property>
  <property fmtid="{D5CDD505-2E9C-101B-9397-08002B2CF9AE}" pid="5" name="KSOTemplateDocerSaveRecord">
    <vt:lpwstr>eyJoZGlkIjoiNTM0M2VkOTVjY2I0N2RiODE3MTFiNmU4ZDk2ZjBhNzkiLCJ1c2VySWQiOiIxODU4MjMxMzc1In0=</vt:lpwstr>
  </property>
</Properties>
</file>